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rPr>
          <w:rFonts w:ascii="Times New Roman" w:hAnsi="Times New Roman" w:cs="Times New Roman"/>
          <w:b/>
          <w:bCs/>
          <w:sz w:val="28"/>
          <w:szCs w:val="28"/>
        </w:rPr>
      </w:pPr>
      <w:r>
        <w:rPr>
          <w:rFonts w:hint="default" w:ascii="Times New Roman" w:hAnsi="Times New Roman" w:cs="Times New Roman"/>
          <w:b/>
          <w:bCs/>
          <w:sz w:val="28"/>
          <w:szCs w:val="28"/>
        </w:rPr>
        <w:t xml:space="preserve">Supplemental File for Jiang et al. </w:t>
      </w:r>
      <w:r>
        <w:rPr>
          <w:rFonts w:ascii="Times New Roman" w:hAnsi="Times New Roman" w:cs="Times New Roman"/>
          <w:b/>
          <w:bCs/>
          <w:sz w:val="28"/>
          <w:szCs w:val="28"/>
        </w:rPr>
        <w:t>RVFS</w:t>
      </w:r>
      <w:r>
        <w:rPr>
          <w:rFonts w:hint="eastAsia" w:ascii="Times New Roman" w:hAnsi="Times New Roman" w:cs="Times New Roman"/>
          <w:b/>
          <w:bCs/>
          <w:sz w:val="28"/>
          <w:szCs w:val="28"/>
        </w:rPr>
        <w:t>c</w:t>
      </w:r>
      <w:r>
        <w:rPr>
          <w:rFonts w:ascii="Times New Roman" w:hAnsi="Times New Roman" w:cs="Times New Roman"/>
          <w:b/>
          <w:bCs/>
          <w:sz w:val="28"/>
          <w:szCs w:val="28"/>
        </w:rPr>
        <w:t>an predicts virulence factor genes and hypervirulence of the clinical metagenome</w:t>
      </w:r>
    </w:p>
    <w:p>
      <w:pPr>
        <w:spacing w:line="360" w:lineRule="auto"/>
        <w:rPr>
          <w:rFonts w:hint="default" w:ascii="Times New Roman Bold" w:hAnsi="Times New Roman Bold" w:eastAsia="等线" w:cs="Times New Roman Bold"/>
          <w:b/>
          <w:bCs/>
          <w:color w:val="auto"/>
          <w:sz w:val="28"/>
          <w:szCs w:val="28"/>
          <w:highlight w:val="none"/>
        </w:rPr>
      </w:pPr>
    </w:p>
    <w:p>
      <w:pPr>
        <w:spacing w:line="360" w:lineRule="auto"/>
        <w:rPr>
          <w:rFonts w:hint="default" w:ascii="Times New Roman Bold" w:hAnsi="Times New Roman Bold" w:eastAsia="等线" w:cs="Times New Roman Bold"/>
          <w:b/>
          <w:bCs/>
          <w:color w:val="auto"/>
          <w:sz w:val="28"/>
          <w:szCs w:val="28"/>
          <w:highlight w:val="none"/>
        </w:rPr>
      </w:pPr>
      <w:r>
        <w:rPr>
          <w:rFonts w:hint="default" w:ascii="Times New Roman Bold" w:hAnsi="Times New Roman Bold" w:eastAsia="等线" w:cs="Times New Roman Bold"/>
          <w:b/>
          <w:bCs/>
          <w:color w:val="auto"/>
          <w:sz w:val="28"/>
          <w:szCs w:val="28"/>
          <w:highlight w:val="none"/>
        </w:rPr>
        <w:t>I Supplementary Materials</w:t>
      </w:r>
    </w:p>
    <w:p>
      <w:pPr>
        <w:spacing w:line="360" w:lineRule="auto"/>
        <w:rPr>
          <w:rFonts w:hint="default" w:ascii="Times New Roman Bold" w:hAnsi="Times New Roman Bold" w:eastAsia="等线" w:cs="Times New Roman Bold"/>
          <w:b/>
          <w:bCs/>
          <w:color w:val="auto"/>
          <w:sz w:val="28"/>
          <w:szCs w:val="28"/>
          <w:highlight w:val="none"/>
        </w:rPr>
      </w:pPr>
    </w:p>
    <w:p>
      <w:pPr>
        <w:spacing w:line="360" w:lineRule="auto"/>
        <w:rPr>
          <w:rFonts w:hint="default" w:ascii="Times New Roman Bold" w:hAnsi="Times New Roman Bold" w:eastAsia="等线" w:cs="Times New Roman Bold"/>
          <w:b/>
          <w:bCs/>
          <w:color w:val="auto"/>
          <w:sz w:val="28"/>
          <w:szCs w:val="28"/>
          <w:highlight w:val="none"/>
        </w:rPr>
      </w:pPr>
      <w:r>
        <w:rPr>
          <w:rFonts w:hint="default" w:ascii="Times New Roman Bold" w:hAnsi="Times New Roman Bold" w:eastAsia="等线" w:cs="Times New Roman Bold"/>
          <w:b/>
          <w:bCs/>
          <w:color w:val="auto"/>
          <w:sz w:val="28"/>
          <w:szCs w:val="28"/>
          <w:highlight w:val="none"/>
        </w:rPr>
        <w:t>II Supplementary Tables</w:t>
      </w:r>
    </w:p>
    <w:p>
      <w:pPr>
        <w:spacing w:line="360" w:lineRule="auto"/>
        <w:rPr>
          <w:rFonts w:hint="default" w:ascii="Times New Roman" w:hAnsi="Times New Roman" w:eastAsia="等线" w:cs="Times New Roman"/>
          <w:b w:val="0"/>
          <w:bCs w:val="0"/>
          <w:sz w:val="24"/>
          <w:szCs w:val="24"/>
          <w:shd w:val="clear" w:color="auto" w:fill="FFFFFF"/>
        </w:rPr>
      </w:pPr>
      <w:r>
        <w:rPr>
          <w:rFonts w:hint="default" w:ascii="Times New Roman Bold" w:hAnsi="Times New Roman Bold" w:eastAsia="等线" w:cs="Times New Roman Bold"/>
          <w:b/>
          <w:bCs/>
          <w:sz w:val="24"/>
          <w:szCs w:val="24"/>
          <w:shd w:val="clear" w:color="auto" w:fill="FFFFFF"/>
        </w:rPr>
        <w:t>Table S1.</w:t>
      </w:r>
      <w:r>
        <w:rPr>
          <w:rFonts w:hint="default" w:ascii="Times New Roman" w:hAnsi="Times New Roman" w:eastAsia="等线" w:cs="Times New Roman"/>
          <w:b w:val="0"/>
          <w:bCs w:val="0"/>
          <w:sz w:val="24"/>
          <w:szCs w:val="24"/>
          <w:shd w:val="clear" w:color="auto" w:fill="FFFFFF"/>
        </w:rPr>
        <w:t xml:space="preserve"> The 24 clinically pathogenic bacteria and primary VFs and VFGs.</w:t>
      </w:r>
    </w:p>
    <w:p>
      <w:pPr>
        <w:spacing w:line="360" w:lineRule="auto"/>
        <w:rPr>
          <w:rFonts w:hint="default" w:ascii="Times New Roman" w:hAnsi="Times New Roman" w:eastAsia="等线" w:cs="Times New Roman"/>
          <w:b w:val="0"/>
          <w:bCs w:val="0"/>
          <w:sz w:val="24"/>
          <w:szCs w:val="24"/>
          <w:shd w:val="clear" w:color="auto" w:fill="FFFFFF"/>
        </w:rPr>
      </w:pPr>
      <w:r>
        <w:rPr>
          <w:rFonts w:hint="default" w:ascii="Times New Roman Bold" w:hAnsi="Times New Roman Bold" w:eastAsia="等线" w:cs="Times New Roman Bold"/>
          <w:b/>
          <w:bCs/>
          <w:sz w:val="24"/>
          <w:szCs w:val="24"/>
          <w:shd w:val="clear" w:color="auto" w:fill="FFFFFF"/>
        </w:rPr>
        <w:t xml:space="preserve">Table S2. </w:t>
      </w:r>
      <w:r>
        <w:rPr>
          <w:rFonts w:hint="default" w:ascii="Times New Roman" w:hAnsi="Times New Roman" w:eastAsia="等线" w:cs="Times New Roman"/>
          <w:b w:val="0"/>
          <w:bCs w:val="0"/>
          <w:sz w:val="24"/>
          <w:szCs w:val="24"/>
          <w:shd w:val="clear" w:color="auto" w:fill="FFFFFF"/>
        </w:rPr>
        <w:t xml:space="preserve">VFG detection rates of </w:t>
      </w:r>
      <w:r>
        <w:rPr>
          <w:rFonts w:hint="default" w:ascii="Times New Roman Italic" w:hAnsi="Times New Roman Italic" w:eastAsia="等线" w:cs="Times New Roman Italic"/>
          <w:b w:val="0"/>
          <w:bCs w:val="0"/>
          <w:i/>
          <w:iCs/>
          <w:sz w:val="24"/>
          <w:szCs w:val="24"/>
          <w:shd w:val="clear" w:color="auto" w:fill="FFFFFF"/>
        </w:rPr>
        <w:t>A. baumannii</w:t>
      </w:r>
      <w:r>
        <w:rPr>
          <w:rFonts w:hint="default" w:ascii="Times New Roman" w:hAnsi="Times New Roman" w:eastAsia="等线" w:cs="Times New Roman"/>
          <w:b w:val="0"/>
          <w:bCs w:val="0"/>
          <w:sz w:val="24"/>
          <w:szCs w:val="24"/>
          <w:shd w:val="clear" w:color="auto" w:fill="FFFFFF"/>
        </w:rPr>
        <w:t xml:space="preserve">, </w:t>
      </w:r>
      <w:r>
        <w:rPr>
          <w:rFonts w:hint="default" w:ascii="Times New Roman Italic" w:hAnsi="Times New Roman Italic" w:eastAsia="等线" w:cs="Times New Roman Italic"/>
          <w:b w:val="0"/>
          <w:bCs w:val="0"/>
          <w:i/>
          <w:iCs/>
          <w:sz w:val="24"/>
          <w:szCs w:val="24"/>
          <w:shd w:val="clear" w:color="auto" w:fill="FFFFFF"/>
        </w:rPr>
        <w:t>K. pneumoniae</w:t>
      </w:r>
      <w:r>
        <w:rPr>
          <w:rFonts w:hint="default" w:ascii="Times New Roman" w:hAnsi="Times New Roman" w:eastAsia="等线" w:cs="Times New Roman"/>
          <w:b w:val="0"/>
          <w:bCs w:val="0"/>
          <w:sz w:val="24"/>
          <w:szCs w:val="24"/>
          <w:shd w:val="clear" w:color="auto" w:fill="FFFFFF"/>
        </w:rPr>
        <w:t xml:space="preserve">, and </w:t>
      </w:r>
      <w:r>
        <w:rPr>
          <w:rFonts w:hint="default" w:ascii="Times New Roman Italic" w:hAnsi="Times New Roman Italic" w:eastAsia="等线" w:cs="Times New Roman Italic"/>
          <w:b w:val="0"/>
          <w:bCs w:val="0"/>
          <w:i/>
          <w:iCs/>
          <w:sz w:val="24"/>
          <w:szCs w:val="24"/>
          <w:shd w:val="clear" w:color="auto" w:fill="FFFFFF"/>
        </w:rPr>
        <w:t>P. aeruginosa</w:t>
      </w:r>
      <w:r>
        <w:rPr>
          <w:rFonts w:hint="default" w:ascii="Times New Roman" w:hAnsi="Times New Roman" w:eastAsia="等线" w:cs="Times New Roman"/>
          <w:b w:val="0"/>
          <w:bCs w:val="0"/>
          <w:sz w:val="24"/>
          <w:szCs w:val="24"/>
          <w:shd w:val="clear" w:color="auto" w:fill="FFFFFF"/>
        </w:rPr>
        <w:t xml:space="preserve"> in DNA and RNA samples.</w:t>
      </w:r>
    </w:p>
    <w:p>
      <w:pPr>
        <w:spacing w:line="360" w:lineRule="auto"/>
        <w:rPr>
          <w:rFonts w:hint="default" w:ascii="Times New Roman" w:hAnsi="Times New Roman" w:eastAsia="等线" w:cs="Times New Roman"/>
          <w:b w:val="0"/>
          <w:bCs w:val="0"/>
          <w:sz w:val="24"/>
          <w:szCs w:val="24"/>
          <w:shd w:val="clear" w:color="auto" w:fill="FFFFFF"/>
        </w:rPr>
      </w:pPr>
      <w:r>
        <w:rPr>
          <w:rFonts w:hint="default" w:ascii="Times New Roman Bold" w:hAnsi="Times New Roman Bold" w:eastAsia="等线" w:cs="Times New Roman Bold"/>
          <w:b/>
          <w:bCs/>
          <w:sz w:val="24"/>
          <w:szCs w:val="24"/>
          <w:shd w:val="clear" w:color="auto" w:fill="FFFFFF"/>
        </w:rPr>
        <w:t>Table S3.</w:t>
      </w:r>
      <w:r>
        <w:rPr>
          <w:rFonts w:hint="default" w:ascii="Times New Roman" w:hAnsi="Times New Roman" w:eastAsia="等线" w:cs="Times New Roman"/>
          <w:b w:val="0"/>
          <w:bCs w:val="0"/>
          <w:sz w:val="24"/>
          <w:szCs w:val="24"/>
          <w:shd w:val="clear" w:color="auto" w:fill="FFFFFF"/>
        </w:rPr>
        <w:t xml:space="preserve"> The 53 VFGs with significantly higher detection rates in hvKps than in cKps.</w:t>
      </w:r>
    </w:p>
    <w:p>
      <w:pPr>
        <w:spacing w:line="360" w:lineRule="auto"/>
        <w:rPr>
          <w:rFonts w:hint="default" w:ascii="Times New Roman" w:hAnsi="Times New Roman" w:eastAsia="等线" w:cs="Times New Roman"/>
          <w:b w:val="0"/>
          <w:bCs w:val="0"/>
          <w:sz w:val="24"/>
          <w:szCs w:val="24"/>
          <w:shd w:val="clear" w:color="auto" w:fill="FFFFFF"/>
        </w:rPr>
      </w:pPr>
      <w:r>
        <w:rPr>
          <w:rFonts w:hint="default" w:ascii="Times New Roman Bold" w:hAnsi="Times New Roman Bold" w:eastAsia="等线" w:cs="Times New Roman Bold"/>
          <w:b/>
          <w:bCs/>
          <w:sz w:val="24"/>
          <w:szCs w:val="24"/>
          <w:shd w:val="clear" w:color="auto" w:fill="FFFFFF"/>
        </w:rPr>
        <w:t xml:space="preserve">Table S4. </w:t>
      </w:r>
      <w:r>
        <w:rPr>
          <w:rFonts w:hint="default" w:ascii="Times New Roman" w:hAnsi="Times New Roman" w:eastAsia="等线" w:cs="Times New Roman"/>
          <w:b w:val="0"/>
          <w:bCs w:val="0"/>
          <w:sz w:val="24"/>
          <w:szCs w:val="24"/>
          <w:shd w:val="clear" w:color="auto" w:fill="FFFFFF"/>
        </w:rPr>
        <w:t xml:space="preserve">The clinical information and </w:t>
      </w:r>
      <w:r>
        <w:rPr>
          <w:rFonts w:hint="default" w:ascii="Times New Roman Italic" w:hAnsi="Times New Roman Italic" w:eastAsia="等线" w:cs="Times New Roman Italic"/>
          <w:b w:val="0"/>
          <w:bCs w:val="0"/>
          <w:i/>
          <w:iCs/>
          <w:sz w:val="24"/>
          <w:szCs w:val="24"/>
          <w:shd w:val="clear" w:color="auto" w:fill="FFFFFF"/>
        </w:rPr>
        <w:t>K. pneumoniae</w:t>
      </w:r>
      <w:r>
        <w:rPr>
          <w:rFonts w:hint="default" w:ascii="Times New Roman" w:hAnsi="Times New Roman" w:eastAsia="等线" w:cs="Times New Roman"/>
          <w:b w:val="0"/>
          <w:bCs w:val="0"/>
          <w:sz w:val="24"/>
          <w:szCs w:val="24"/>
          <w:shd w:val="clear" w:color="auto" w:fill="FFFFFF"/>
        </w:rPr>
        <w:t xml:space="preserve"> VFG profile of 84 infected patients.</w:t>
      </w:r>
    </w:p>
    <w:p>
      <w:pPr>
        <w:spacing w:line="360" w:lineRule="auto"/>
        <w:rPr>
          <w:rFonts w:hint="default" w:ascii="Times New Roman" w:hAnsi="Times New Roman" w:eastAsia="等线" w:cs="Times New Roman"/>
          <w:b w:val="0"/>
          <w:bCs w:val="0"/>
          <w:sz w:val="24"/>
          <w:szCs w:val="24"/>
          <w:shd w:val="clear" w:color="auto" w:fill="FFFFFF"/>
        </w:rPr>
      </w:pPr>
      <w:r>
        <w:rPr>
          <w:rFonts w:hint="default" w:ascii="Times New Roman Bold" w:hAnsi="Times New Roman Bold" w:eastAsia="等线" w:cs="Times New Roman Bold"/>
          <w:b/>
          <w:bCs/>
          <w:sz w:val="24"/>
          <w:szCs w:val="24"/>
          <w:shd w:val="clear" w:color="auto" w:fill="FFFFFF"/>
        </w:rPr>
        <w:t>Table S5.</w:t>
      </w:r>
      <w:r>
        <w:rPr>
          <w:rFonts w:hint="default" w:ascii="Times New Roman" w:hAnsi="Times New Roman" w:eastAsia="等线" w:cs="Times New Roman"/>
          <w:b w:val="0"/>
          <w:bCs w:val="0"/>
          <w:sz w:val="24"/>
          <w:szCs w:val="24"/>
          <w:shd w:val="clear" w:color="auto" w:fill="FFFFFF"/>
        </w:rPr>
        <w:t xml:space="preserve"> Diagnostic performance of the hvKp-like score by RVFScan in the prospective cohort.</w:t>
      </w:r>
    </w:p>
    <w:p>
      <w:pPr>
        <w:spacing w:line="360" w:lineRule="auto"/>
        <w:rPr>
          <w:rFonts w:hint="default" w:ascii="Times New Roman Bold" w:hAnsi="Times New Roman Bold" w:eastAsia="等线" w:cs="Times New Roman Bold"/>
          <w:b/>
          <w:bCs/>
          <w:color w:val="auto"/>
          <w:sz w:val="28"/>
          <w:szCs w:val="28"/>
          <w:highlight w:val="none"/>
        </w:rPr>
      </w:pPr>
    </w:p>
    <w:p>
      <w:pPr>
        <w:spacing w:line="360" w:lineRule="auto"/>
        <w:rPr>
          <w:rFonts w:hint="default" w:ascii="Times New Roman Bold" w:hAnsi="Times New Roman Bold" w:eastAsia="等线" w:cs="Times New Roman Bold"/>
          <w:b/>
          <w:bCs/>
          <w:color w:val="auto"/>
          <w:sz w:val="28"/>
          <w:szCs w:val="28"/>
          <w:highlight w:val="none"/>
          <w:shd w:val="clear" w:color="auto" w:fill="FFFFFF"/>
        </w:rPr>
      </w:pPr>
      <w:r>
        <w:rPr>
          <w:rFonts w:hint="default" w:ascii="Times New Roman Bold" w:hAnsi="Times New Roman Bold" w:eastAsia="等线" w:cs="Times New Roman Bold"/>
          <w:b/>
          <w:bCs/>
          <w:color w:val="auto"/>
          <w:sz w:val="28"/>
          <w:szCs w:val="28"/>
          <w:highlight w:val="none"/>
        </w:rPr>
        <w:t>III Supplementary Figures</w:t>
      </w:r>
    </w:p>
    <w:p>
      <w:pPr>
        <w:spacing w:line="360" w:lineRule="auto"/>
        <w:rPr>
          <w:rFonts w:hint="default" w:ascii="Times New Roman" w:hAnsi="Times New Roman" w:cs="Times New Roman"/>
          <w:b w:val="0"/>
          <w:bCs w:val="0"/>
          <w:sz w:val="24"/>
          <w:szCs w:val="24"/>
          <w:highlight w:val="none"/>
        </w:rPr>
      </w:pPr>
      <w:r>
        <w:rPr>
          <w:rFonts w:hint="default" w:ascii="Times New Roman" w:hAnsi="Times New Roman" w:cs="Times New Roman"/>
          <w:b/>
          <w:bCs/>
          <w:sz w:val="24"/>
          <w:szCs w:val="24"/>
          <w:highlight w:val="none"/>
        </w:rPr>
        <w:t xml:space="preserve">Figure S1. </w:t>
      </w:r>
      <w:r>
        <w:rPr>
          <w:rFonts w:hint="default" w:ascii="Times New Roman Bold" w:hAnsi="Times New Roman Bold" w:cs="Times New Roman Bold"/>
          <w:b/>
          <w:bCs/>
          <w:sz w:val="24"/>
          <w:szCs w:val="24"/>
          <w:highlight w:val="none"/>
        </w:rPr>
        <w:t xml:space="preserve">The effect of sequencing depth and read length on VFG detection. </w:t>
      </w:r>
      <w:r>
        <w:rPr>
          <w:rFonts w:hint="default" w:ascii="Times New Roman" w:hAnsi="Times New Roman" w:cs="Times New Roman"/>
          <w:b w:val="0"/>
          <w:bCs w:val="0"/>
          <w:sz w:val="24"/>
          <w:szCs w:val="24"/>
          <w:highlight w:val="none"/>
        </w:rPr>
        <w:t xml:space="preserve">a-b. The effect of sequencing </w:t>
      </w:r>
      <w:bookmarkStart w:id="3" w:name="_GoBack"/>
      <w:bookmarkEnd w:id="3"/>
      <w:r>
        <w:rPr>
          <w:rFonts w:hint="default" w:ascii="Times New Roman" w:hAnsi="Times New Roman" w:cs="Times New Roman"/>
          <w:b w:val="0"/>
          <w:bCs w:val="0"/>
          <w:sz w:val="24"/>
          <w:szCs w:val="24"/>
          <w:highlight w:val="none"/>
        </w:rPr>
        <w:t>depth on VFG detection by RVFScan and ShortBRED. c-d. Effect of read length on the performance of RVFScan.</w:t>
      </w:r>
    </w:p>
    <w:p>
      <w:pPr>
        <w:spacing w:line="360" w:lineRule="auto"/>
        <w:rPr>
          <w:rFonts w:hint="default" w:ascii="Times New Roman" w:hAnsi="Times New Roman" w:cs="Times New Roman"/>
          <w:b w:val="0"/>
          <w:bCs w:val="0"/>
          <w:sz w:val="24"/>
          <w:szCs w:val="24"/>
          <w:highlight w:val="none"/>
        </w:rPr>
      </w:pPr>
      <w:r>
        <w:rPr>
          <w:rFonts w:hint="default" w:ascii="Times New Roman" w:hAnsi="Times New Roman" w:cs="Times New Roman"/>
          <w:b/>
          <w:bCs/>
          <w:sz w:val="24"/>
          <w:szCs w:val="24"/>
          <w:highlight w:val="none"/>
        </w:rPr>
        <w:t xml:space="preserve">Figure S2. </w:t>
      </w:r>
      <w:r>
        <w:rPr>
          <w:rFonts w:hint="default" w:ascii="Times New Roman Bold" w:hAnsi="Times New Roman Bold" w:cs="Times New Roman Bold"/>
          <w:b/>
          <w:bCs/>
          <w:sz w:val="24"/>
          <w:szCs w:val="24"/>
          <w:highlight w:val="none"/>
        </w:rPr>
        <w:t>The rate of VFG detection for pathogens ranked according to VF units</w:t>
      </w:r>
      <w:r>
        <w:rPr>
          <w:rFonts w:hint="default" w:ascii="Times New Roman" w:hAnsi="Times New Roman" w:cs="Times New Roman"/>
          <w:b w:val="0"/>
          <w:bCs w:val="0"/>
          <w:sz w:val="24"/>
          <w:szCs w:val="24"/>
          <w:highlight w:val="none"/>
        </w:rPr>
        <w:t>. Colors represent the VFG detection rates from high to low (red to blue). a and b indicate DNA and RNA levels, respectively.</w:t>
      </w:r>
    </w:p>
    <w:p>
      <w:pPr>
        <w:spacing w:line="360" w:lineRule="auto"/>
        <w:rPr>
          <w:rFonts w:hint="default" w:ascii="Times New Roman" w:hAnsi="Times New Roman" w:cs="Times New Roman"/>
          <w:b w:val="0"/>
          <w:bCs w:val="0"/>
          <w:sz w:val="24"/>
          <w:szCs w:val="24"/>
          <w:highlight w:val="none"/>
        </w:rPr>
      </w:pPr>
      <w:r>
        <w:rPr>
          <w:rFonts w:hint="default" w:ascii="Times New Roman Bold" w:hAnsi="Times New Roman Bold" w:cs="Times New Roman Bold"/>
          <w:b/>
          <w:bCs/>
          <w:sz w:val="24"/>
          <w:szCs w:val="24"/>
          <w:highlight w:val="none"/>
        </w:rPr>
        <w:t>Figure S3.</w:t>
      </w:r>
      <w:r>
        <w:rPr>
          <w:rFonts w:hint="default" w:ascii="Times New Roman" w:hAnsi="Times New Roman" w:cs="Times New Roman"/>
          <w:b w:val="0"/>
          <w:bCs w:val="0"/>
          <w:sz w:val="24"/>
          <w:szCs w:val="24"/>
          <w:highlight w:val="none"/>
        </w:rPr>
        <w:t xml:space="preserve"> </w:t>
      </w:r>
      <w:r>
        <w:rPr>
          <w:rFonts w:hint="default" w:ascii="Times New Roman Bold" w:hAnsi="Times New Roman Bold" w:cs="Times New Roman Bold"/>
          <w:b/>
          <w:bCs/>
          <w:sz w:val="24"/>
          <w:szCs w:val="24"/>
          <w:highlight w:val="none"/>
        </w:rPr>
        <w:t>The functional units of high-frequency VFGs detected in DNA and RNA samples from infected patients</w:t>
      </w:r>
      <w:r>
        <w:rPr>
          <w:rFonts w:hint="default" w:ascii="Times New Roman" w:hAnsi="Times New Roman" w:cs="Times New Roman"/>
          <w:b w:val="0"/>
          <w:bCs w:val="0"/>
          <w:sz w:val="24"/>
          <w:szCs w:val="24"/>
          <w:highlight w:val="none"/>
        </w:rPr>
        <w:t>. The left panel is the heatmap of high-frequency VFG (detection rate ≥ 0.3) in DNA samples. The right panel is the heatmap of high-frequency VFG (detection rate ≥ 0.1) in RNA samples.</w:t>
      </w:r>
    </w:p>
    <w:p>
      <w:pPr>
        <w:spacing w:line="360" w:lineRule="auto"/>
        <w:rPr>
          <w:rFonts w:hint="default" w:ascii="Times New Roman" w:hAnsi="Times New Roman" w:cs="Times New Roman"/>
          <w:b w:val="0"/>
          <w:bCs w:val="0"/>
          <w:sz w:val="24"/>
          <w:szCs w:val="24"/>
          <w:highlight w:val="none"/>
        </w:rPr>
      </w:pPr>
      <w:r>
        <w:rPr>
          <w:rFonts w:hint="default" w:ascii="Times New Roman Bold" w:hAnsi="Times New Roman Bold" w:cs="Times New Roman Bold"/>
          <w:b/>
          <w:bCs/>
          <w:sz w:val="24"/>
          <w:szCs w:val="24"/>
          <w:highlight w:val="none"/>
        </w:rPr>
        <w:t>Figure S4.</w:t>
      </w:r>
      <w:r>
        <w:rPr>
          <w:rFonts w:hint="default" w:ascii="Times New Roman" w:hAnsi="Times New Roman" w:cs="Times New Roman"/>
          <w:b w:val="0"/>
          <w:bCs w:val="0"/>
          <w:sz w:val="24"/>
          <w:szCs w:val="24"/>
          <w:highlight w:val="none"/>
        </w:rPr>
        <w:t xml:space="preserve"> </w:t>
      </w:r>
      <w:r>
        <w:rPr>
          <w:rFonts w:hint="default" w:ascii="Times New Roman" w:hAnsi="Times New Roman" w:cs="Times New Roman"/>
          <w:b/>
          <w:bCs/>
          <w:sz w:val="24"/>
          <w:szCs w:val="24"/>
          <w:highlight w:val="none"/>
        </w:rPr>
        <w:t xml:space="preserve">VFG co-occurrence network in </w:t>
      </w:r>
      <w:r>
        <w:rPr>
          <w:rFonts w:hint="default" w:ascii="Times New Roman Bold Italic" w:hAnsi="Times New Roman Bold Italic" w:cs="Times New Roman Bold Italic"/>
          <w:b/>
          <w:bCs/>
          <w:i/>
          <w:iCs/>
          <w:sz w:val="24"/>
          <w:szCs w:val="24"/>
          <w:highlight w:val="none"/>
        </w:rPr>
        <w:t>K. pneumoniae</w:t>
      </w:r>
      <w:r>
        <w:rPr>
          <w:rFonts w:hint="default" w:ascii="Times New Roman" w:hAnsi="Times New Roman" w:cs="Times New Roman"/>
          <w:b w:val="0"/>
          <w:bCs w:val="0"/>
          <w:sz w:val="24"/>
          <w:szCs w:val="24"/>
          <w:highlight w:val="none"/>
        </w:rPr>
        <w:t>. Different colors represent different functional units. The node size represents the frequency of VFGs at the DNA level. The node label represents the VFG symbol and the frequency at the DNA and RNA levels.</w:t>
      </w:r>
    </w:p>
    <w:p>
      <w:pPr>
        <w:spacing w:line="360" w:lineRule="auto"/>
        <w:rPr>
          <w:rFonts w:hint="default" w:ascii="Times New Roman" w:hAnsi="Times New Roman" w:cs="Times New Roman"/>
          <w:b w:val="0"/>
          <w:bCs w:val="0"/>
          <w:sz w:val="24"/>
          <w:szCs w:val="24"/>
          <w:highlight w:val="none"/>
        </w:rPr>
        <w:sectPr>
          <w:pgSz w:w="11906" w:h="16838"/>
          <w:pgMar w:top="1440" w:right="1800" w:bottom="1440" w:left="1800" w:header="851" w:footer="992" w:gutter="0"/>
          <w:cols w:space="425" w:num="1"/>
          <w:docGrid w:type="lines" w:linePitch="312" w:charSpace="0"/>
        </w:sectPr>
      </w:pPr>
      <w:r>
        <w:rPr>
          <w:rFonts w:hint="default" w:ascii="Times New Roman Bold" w:hAnsi="Times New Roman Bold" w:cs="Times New Roman Bold"/>
          <w:b/>
          <w:bCs/>
          <w:sz w:val="24"/>
          <w:szCs w:val="24"/>
          <w:highlight w:val="none"/>
        </w:rPr>
        <w:t>Figure S5.</w:t>
      </w:r>
      <w:r>
        <w:rPr>
          <w:rFonts w:hint="default" w:ascii="Times New Roman" w:hAnsi="Times New Roman" w:cs="Times New Roman"/>
          <w:b w:val="0"/>
          <w:bCs w:val="0"/>
          <w:sz w:val="24"/>
          <w:szCs w:val="24"/>
          <w:highlight w:val="none"/>
        </w:rPr>
        <w:t xml:space="preserve"> </w:t>
      </w:r>
      <w:r>
        <w:rPr>
          <w:rFonts w:hint="default" w:ascii="Times New Roman Bold" w:hAnsi="Times New Roman Bold" w:cs="Times New Roman Bold"/>
          <w:b w:val="0"/>
          <w:bCs w:val="0"/>
          <w:sz w:val="24"/>
          <w:szCs w:val="24"/>
          <w:highlight w:val="none"/>
        </w:rPr>
        <w:t xml:space="preserve">Four most relevant </w:t>
      </w:r>
      <w:r>
        <w:rPr>
          <w:rFonts w:hint="default" w:ascii="Times New Roman Bold Italic" w:hAnsi="Times New Roman Bold Italic" w:cs="Times New Roman Bold Italic"/>
          <w:b/>
          <w:bCs/>
          <w:i/>
          <w:iCs/>
          <w:sz w:val="24"/>
          <w:szCs w:val="24"/>
          <w:highlight w:val="none"/>
        </w:rPr>
        <w:t xml:space="preserve">P. aeruginosa </w:t>
      </w:r>
      <w:r>
        <w:rPr>
          <w:rFonts w:hint="default" w:ascii="Times New Roman Bold" w:hAnsi="Times New Roman Bold" w:cs="Times New Roman Bold"/>
          <w:b w:val="0"/>
          <w:bCs w:val="0"/>
          <w:sz w:val="24"/>
          <w:szCs w:val="24"/>
          <w:highlight w:val="none"/>
        </w:rPr>
        <w:t>VFGs detected in mNGS samples using RVFScan</w:t>
      </w:r>
      <w:r>
        <w:rPr>
          <w:rFonts w:hint="default" w:ascii="Times New Roman" w:hAnsi="Times New Roman" w:cs="Times New Roman"/>
          <w:b w:val="0"/>
          <w:bCs w:val="0"/>
          <w:sz w:val="24"/>
          <w:szCs w:val="24"/>
          <w:highlight w:val="none"/>
        </w:rPr>
        <w:t xml:space="preserve">. </w:t>
      </w:r>
      <w:r>
        <w:rPr>
          <w:rFonts w:hint="default" w:ascii="Times New Roman" w:hAnsi="Times New Roman" w:cs="Times New Roman"/>
          <w:b w:val="0"/>
          <w:bCs w:val="0"/>
          <w:sz w:val="24"/>
          <w:szCs w:val="24"/>
          <w:highlight w:val="none"/>
        </w:rPr>
        <w:t>The f</w:t>
      </w:r>
      <w:r>
        <w:rPr>
          <w:rFonts w:hint="default" w:ascii="Times New Roman" w:hAnsi="Times New Roman" w:cs="Times New Roman"/>
          <w:b w:val="0"/>
          <w:bCs w:val="0"/>
          <w:sz w:val="24"/>
          <w:szCs w:val="24"/>
          <w:highlight w:val="none"/>
        </w:rPr>
        <w:t xml:space="preserve">our most relevant </w:t>
      </w:r>
      <w:r>
        <w:rPr>
          <w:rFonts w:hint="default" w:ascii="Times New Roman Italic" w:hAnsi="Times New Roman Italic" w:cs="Times New Roman Italic"/>
          <w:b w:val="0"/>
          <w:bCs w:val="0"/>
          <w:i/>
          <w:iCs/>
          <w:sz w:val="24"/>
          <w:szCs w:val="24"/>
          <w:highlight w:val="none"/>
        </w:rPr>
        <w:t>P. aeruginosa</w:t>
      </w:r>
      <w:r>
        <w:rPr>
          <w:rFonts w:hint="default" w:ascii="Times New Roman" w:hAnsi="Times New Roman" w:cs="Times New Roman"/>
          <w:b w:val="0"/>
          <w:bCs w:val="0"/>
          <w:sz w:val="24"/>
          <w:szCs w:val="24"/>
          <w:highlight w:val="none"/>
        </w:rPr>
        <w:t xml:space="preserve"> VFGs (</w:t>
      </w:r>
      <w:r>
        <w:rPr>
          <w:rFonts w:hint="eastAsia" w:ascii="Times New Roman" w:hAnsi="Times New Roman" w:cs="Times New Roman"/>
          <w:b w:val="0"/>
          <w:bCs w:val="0"/>
          <w:sz w:val="24"/>
          <w:szCs w:val="24"/>
          <w:highlight w:val="none"/>
        </w:rPr>
        <w:t>exoU,</w:t>
      </w:r>
      <w:r>
        <w:rPr>
          <w:rFonts w:hint="default" w:ascii="Times New Roman" w:hAnsi="Times New Roman" w:cs="Times New Roman"/>
          <w:b w:val="0"/>
          <w:bCs w:val="0"/>
          <w:sz w:val="24"/>
          <w:szCs w:val="24"/>
          <w:highlight w:val="none"/>
        </w:rPr>
        <w:t xml:space="preserve"> </w:t>
      </w:r>
      <w:r>
        <w:rPr>
          <w:rFonts w:hint="eastAsia" w:ascii="Times New Roman" w:hAnsi="Times New Roman" w:cs="Times New Roman"/>
          <w:b w:val="0"/>
          <w:bCs w:val="0"/>
          <w:sz w:val="24"/>
          <w:szCs w:val="24"/>
          <w:highlight w:val="none"/>
        </w:rPr>
        <w:t>exoS,</w:t>
      </w:r>
      <w:r>
        <w:rPr>
          <w:rFonts w:hint="default" w:ascii="Times New Roman" w:hAnsi="Times New Roman" w:cs="Times New Roman"/>
          <w:b w:val="0"/>
          <w:bCs w:val="0"/>
          <w:sz w:val="24"/>
          <w:szCs w:val="24"/>
          <w:highlight w:val="none"/>
        </w:rPr>
        <w:t xml:space="preserve"> </w:t>
      </w:r>
      <w:r>
        <w:rPr>
          <w:rFonts w:hint="eastAsia" w:ascii="Times New Roman" w:hAnsi="Times New Roman" w:cs="Times New Roman"/>
          <w:b w:val="0"/>
          <w:bCs w:val="0"/>
          <w:sz w:val="24"/>
          <w:szCs w:val="24"/>
          <w:highlight w:val="none"/>
        </w:rPr>
        <w:t>exo</w:t>
      </w:r>
      <w:r>
        <w:rPr>
          <w:rFonts w:hint="default" w:ascii="Times New Roman" w:hAnsi="Times New Roman" w:cs="Times New Roman"/>
          <w:b w:val="0"/>
          <w:bCs w:val="0"/>
          <w:sz w:val="24"/>
          <w:szCs w:val="24"/>
          <w:highlight w:val="none"/>
        </w:rPr>
        <w:t xml:space="preserve">Y and </w:t>
      </w:r>
      <w:r>
        <w:rPr>
          <w:rFonts w:hint="eastAsia" w:ascii="Times New Roman" w:hAnsi="Times New Roman" w:cs="Times New Roman"/>
          <w:b w:val="0"/>
          <w:bCs w:val="0"/>
          <w:sz w:val="24"/>
          <w:szCs w:val="24"/>
          <w:highlight w:val="none"/>
        </w:rPr>
        <w:t>ex</w:t>
      </w:r>
      <w:r>
        <w:rPr>
          <w:rFonts w:hint="default" w:ascii="Times New Roman" w:hAnsi="Times New Roman" w:cs="Times New Roman"/>
          <w:b w:val="0"/>
          <w:bCs w:val="0"/>
          <w:sz w:val="24"/>
          <w:szCs w:val="24"/>
          <w:highlight w:val="none"/>
        </w:rPr>
        <w:t>oT) were validated using RVFScan based on 311 mNGS samples. A total of 86 samples with t</w:t>
      </w:r>
      <w:r>
        <w:rPr>
          <w:rFonts w:hint="eastAsia" w:ascii="Times New Roman" w:hAnsi="Times New Roman" w:cs="Times New Roman"/>
          <w:b w:val="0"/>
          <w:bCs w:val="0"/>
          <w:sz w:val="24"/>
          <w:szCs w:val="24"/>
          <w:highlight w:val="none"/>
        </w:rPr>
        <w:t>otal reads</w:t>
      </w:r>
      <w:r>
        <w:rPr>
          <w:rFonts w:hint="default" w:ascii="Times New Roman" w:hAnsi="Times New Roman" w:cs="Times New Roman"/>
          <w:b w:val="0"/>
          <w:bCs w:val="0"/>
          <w:sz w:val="24"/>
          <w:szCs w:val="24"/>
          <w:highlight w:val="none"/>
        </w:rPr>
        <w:t xml:space="preserve"> of these four VFGs </w:t>
      </w:r>
      <w:r>
        <w:rPr>
          <w:rFonts w:hint="eastAsia" w:ascii="Times New Roman" w:hAnsi="Times New Roman" w:cs="Times New Roman"/>
          <w:b w:val="0"/>
          <w:bCs w:val="0"/>
          <w:sz w:val="24"/>
          <w:szCs w:val="24"/>
          <w:highlight w:val="none"/>
        </w:rPr>
        <w:t>&gt;</w:t>
      </w:r>
      <w:r>
        <w:rPr>
          <w:rFonts w:hint="default" w:ascii="Times New Roman" w:hAnsi="Times New Roman" w:cs="Times New Roman"/>
          <w:b w:val="0"/>
          <w:bCs w:val="0"/>
          <w:sz w:val="24"/>
          <w:szCs w:val="24"/>
          <w:highlight w:val="none"/>
        </w:rPr>
        <w:t xml:space="preserve"> </w:t>
      </w:r>
      <w:r>
        <w:rPr>
          <w:rFonts w:hint="eastAsia" w:ascii="Times New Roman" w:hAnsi="Times New Roman" w:cs="Times New Roman"/>
          <w:b w:val="0"/>
          <w:bCs w:val="0"/>
          <w:sz w:val="24"/>
          <w:szCs w:val="24"/>
          <w:highlight w:val="none"/>
        </w:rPr>
        <w:t>=</w:t>
      </w:r>
      <w:r>
        <w:rPr>
          <w:rFonts w:hint="default" w:ascii="Times New Roman" w:hAnsi="Times New Roman" w:cs="Times New Roman"/>
          <w:b w:val="0"/>
          <w:bCs w:val="0"/>
          <w:sz w:val="24"/>
          <w:szCs w:val="24"/>
          <w:highlight w:val="none"/>
        </w:rPr>
        <w:t xml:space="preserve"> </w:t>
      </w:r>
      <w:r>
        <w:rPr>
          <w:rFonts w:hint="eastAsia" w:ascii="Times New Roman" w:hAnsi="Times New Roman" w:cs="Times New Roman"/>
          <w:b w:val="0"/>
          <w:bCs w:val="0"/>
          <w:sz w:val="24"/>
          <w:szCs w:val="24"/>
          <w:highlight w:val="none"/>
        </w:rPr>
        <w:t xml:space="preserve">10 </w:t>
      </w:r>
      <w:r>
        <w:rPr>
          <w:rFonts w:hint="default" w:ascii="Times New Roman" w:hAnsi="Times New Roman" w:cs="Times New Roman"/>
          <w:b w:val="0"/>
          <w:bCs w:val="0"/>
          <w:sz w:val="24"/>
          <w:szCs w:val="24"/>
          <w:highlight w:val="none"/>
        </w:rPr>
        <w:t xml:space="preserve">were selected and presented in the cluster diagram. </w:t>
      </w:r>
      <w:r>
        <w:rPr>
          <w:rFonts w:hint="eastAsia" w:ascii="Times New Roman" w:hAnsi="Times New Roman" w:cs="Times New Roman"/>
          <w:b w:val="0"/>
          <w:bCs w:val="0"/>
          <w:sz w:val="24"/>
          <w:szCs w:val="24"/>
          <w:highlight w:val="none"/>
          <w:lang w:val="en-US" w:eastAsia="zh-CN"/>
        </w:rPr>
        <w:t xml:space="preserve">Green shows the presence of the </w:t>
      </w:r>
      <w:r>
        <w:rPr>
          <w:rFonts w:hint="default" w:ascii="Times New Roman" w:hAnsi="Times New Roman" w:cs="Times New Roman"/>
          <w:b w:val="0"/>
          <w:bCs w:val="0"/>
          <w:sz w:val="24"/>
          <w:szCs w:val="24"/>
          <w:highlight w:val="none"/>
          <w:lang w:eastAsia="zh-CN"/>
        </w:rPr>
        <w:t>VFG</w:t>
      </w:r>
      <w:r>
        <w:rPr>
          <w:rFonts w:hint="eastAsia" w:ascii="Times New Roman" w:hAnsi="Times New Roman" w:cs="Times New Roman"/>
          <w:b w:val="0"/>
          <w:bCs w:val="0"/>
          <w:sz w:val="24"/>
          <w:szCs w:val="24"/>
          <w:highlight w:val="none"/>
          <w:lang w:val="en-US" w:eastAsia="zh-CN"/>
        </w:rPr>
        <w:t>, while gray indicates the absence of the VFG.</w:t>
      </w:r>
      <w:r>
        <w:rPr>
          <w:rFonts w:hint="default" w:ascii="Times New Roman" w:hAnsi="Times New Roman" w:cs="Times New Roman"/>
          <w:b w:val="0"/>
          <w:bCs w:val="0"/>
          <w:sz w:val="24"/>
          <w:szCs w:val="24"/>
          <w:highlight w:val="none"/>
          <w:lang w:eastAsia="zh-CN"/>
        </w:rPr>
        <w:t xml:space="preserve"> E</w:t>
      </w:r>
      <w:r>
        <w:rPr>
          <w:rFonts w:hint="default" w:ascii="Times New Roman" w:hAnsi="Times New Roman" w:cs="Times New Roman"/>
          <w:b w:val="0"/>
          <w:bCs w:val="0"/>
          <w:sz w:val="24"/>
          <w:szCs w:val="24"/>
          <w:highlight w:val="none"/>
        </w:rPr>
        <w:t xml:space="preserve">xoU and exoS are mutually exclusive in </w:t>
      </w:r>
      <w:r>
        <w:rPr>
          <w:rFonts w:hint="default" w:ascii="Times New Roman Italic" w:hAnsi="Times New Roman Italic" w:cs="Times New Roman Italic"/>
          <w:b w:val="0"/>
          <w:bCs w:val="0"/>
          <w:i/>
          <w:iCs/>
          <w:sz w:val="24"/>
          <w:szCs w:val="24"/>
          <w:highlight w:val="none"/>
        </w:rPr>
        <w:t>P. aeruginosa</w:t>
      </w:r>
      <w:r>
        <w:rPr>
          <w:rFonts w:hint="default" w:ascii="Times New Roman" w:hAnsi="Times New Roman" w:cs="Times New Roman"/>
          <w:b w:val="0"/>
          <w:bCs w:val="0"/>
          <w:sz w:val="24"/>
          <w:szCs w:val="24"/>
          <w:highlight w:val="none"/>
        </w:rPr>
        <w:t xml:space="preserve">. This cluster diagram indicates that RVFScan could aid in the detection of hypervirulent </w:t>
      </w:r>
      <w:r>
        <w:rPr>
          <w:rFonts w:hint="default" w:ascii="Times New Roman Italic" w:hAnsi="Times New Roman Italic" w:cs="Times New Roman Italic"/>
          <w:b w:val="0"/>
          <w:bCs w:val="0"/>
          <w:i/>
          <w:iCs/>
          <w:sz w:val="24"/>
          <w:szCs w:val="24"/>
          <w:highlight w:val="none"/>
        </w:rPr>
        <w:t>P. aeruginosa</w:t>
      </w:r>
      <w:r>
        <w:rPr>
          <w:rFonts w:hint="default" w:ascii="Times New Roman" w:hAnsi="Times New Roman" w:cs="Times New Roman"/>
          <w:b w:val="0"/>
          <w:bCs w:val="0"/>
          <w:sz w:val="24"/>
          <w:szCs w:val="24"/>
          <w:highlight w:val="none"/>
        </w:rPr>
        <w:t xml:space="preserve"> infections. </w:t>
      </w:r>
    </w:p>
    <w:p>
      <w:pPr>
        <w:spacing w:line="360" w:lineRule="auto"/>
        <w:rPr>
          <w:rFonts w:ascii="Times New Roman" w:hAnsi="Times New Roman" w:eastAsia="等线" w:cs="Times New Roman"/>
          <w:b/>
          <w:bCs/>
          <w:sz w:val="24"/>
          <w:szCs w:val="24"/>
        </w:rPr>
      </w:pPr>
      <w:r>
        <w:rPr>
          <w:rFonts w:hint="default" w:ascii="Times New Roman Bold" w:hAnsi="Times New Roman Bold" w:eastAsia="等线" w:cs="Times New Roman Bold"/>
          <w:b/>
          <w:bCs/>
          <w:color w:val="auto"/>
          <w:sz w:val="28"/>
          <w:szCs w:val="28"/>
          <w:highlight w:val="none"/>
        </w:rPr>
        <w:t xml:space="preserve">Supplementary Materials </w:t>
      </w:r>
    </w:p>
    <w:p>
      <w:pPr>
        <w:spacing w:before="156" w:beforeLines="50" w:after="156" w:afterLines="50" w:line="360" w:lineRule="auto"/>
        <w:rPr>
          <w:rFonts w:ascii="Times New Roman" w:hAnsi="Times New Roman" w:eastAsia="等线" w:cs="Times New Roman"/>
          <w:b/>
          <w:bCs/>
          <w:sz w:val="24"/>
          <w:szCs w:val="24"/>
        </w:rPr>
      </w:pPr>
      <w:r>
        <w:rPr>
          <w:rFonts w:ascii="Times New Roman" w:hAnsi="Times New Roman" w:eastAsia="等线" w:cs="Times New Roman"/>
          <w:b/>
          <w:bCs/>
          <w:sz w:val="24"/>
          <w:szCs w:val="24"/>
        </w:rPr>
        <w:t>Section 1: RVFScan Construction</w:t>
      </w:r>
    </w:p>
    <w:p>
      <w:pPr>
        <w:spacing w:before="156" w:beforeLines="50" w:after="156" w:afterLines="50" w:line="360" w:lineRule="auto"/>
        <w:rPr>
          <w:rFonts w:ascii="Times New Roman Bold Italic" w:hAnsi="Times New Roman Bold Italic" w:eastAsia="等线" w:cs="Times New Roman Bold Italic"/>
          <w:b/>
          <w:bCs/>
          <w:i/>
          <w:iCs/>
          <w:sz w:val="24"/>
          <w:szCs w:val="24"/>
        </w:rPr>
      </w:pPr>
      <w:r>
        <w:rPr>
          <w:rFonts w:ascii="Times New Roman Bold Italic" w:hAnsi="Times New Roman Bold Italic" w:eastAsia="等线" w:cs="Times New Roman Bold Italic"/>
          <w:b/>
          <w:bCs/>
          <w:i/>
          <w:iCs/>
          <w:sz w:val="24"/>
          <w:szCs w:val="24"/>
        </w:rPr>
        <w:t>Local VFG database</w:t>
      </w:r>
    </w:p>
    <w:p>
      <w:pPr>
        <w:spacing w:after="312" w:afterLines="100" w:line="360" w:lineRule="auto"/>
        <w:rPr>
          <w:rFonts w:ascii="Times New Roman" w:hAnsi="Times New Roman" w:eastAsia="等线" w:cs="Times New Roman"/>
          <w:sz w:val="24"/>
        </w:rPr>
      </w:pPr>
      <w:r>
        <w:rPr>
          <w:rFonts w:ascii="Times New Roman" w:hAnsi="Times New Roman" w:eastAsia="等线" w:cs="Times New Roman"/>
          <w:sz w:val="24"/>
        </w:rPr>
        <w:t>First, a total of 24 clinically pathogenic bacteria that are clinically common or highly pathogenic microorganisms causing human infectious diseases, including 14 gram-positive and 10 gram-negative bacteria, were selected in this study. Then, th</w:t>
      </w:r>
      <w:r>
        <w:rPr>
          <w:rFonts w:hint="eastAsia" w:ascii="Times New Roman" w:hAnsi="Times New Roman" w:eastAsia="等线" w:cs="Times New Roman"/>
          <w:sz w:val="24"/>
        </w:rPr>
        <w:t>ree</w:t>
      </w:r>
      <w:r>
        <w:rPr>
          <w:rFonts w:ascii="Times New Roman" w:hAnsi="Times New Roman" w:eastAsia="等线" w:cs="Times New Roman"/>
          <w:sz w:val="24"/>
        </w:rPr>
        <w:t xml:space="preserve"> public virulence factor (VF) databases</w:t>
      </w:r>
      <w:r>
        <w:rPr>
          <w:rFonts w:hint="eastAsia" w:ascii="Times New Roman" w:hAnsi="Times New Roman" w:eastAsia="等线" w:cs="Times New Roman"/>
          <w:sz w:val="24"/>
        </w:rPr>
        <w:t>, VFDB</w:t>
      </w:r>
      <w:r>
        <w:rPr>
          <w:rFonts w:ascii="Times New Roman" w:hAnsi="Times New Roman" w:eastAsia="等线" w:cs="Times New Roman"/>
          <w:sz w:val="24"/>
        </w:rPr>
        <w:t xml:space="preserve"> (</w:t>
      </w:r>
      <w:r>
        <w:fldChar w:fldCharType="begin"/>
      </w:r>
      <w:r>
        <w:instrText xml:space="preserve"> HYPERLINK "http://www.mgc.ac.cn/VFs/" </w:instrText>
      </w:r>
      <w:r>
        <w:fldChar w:fldCharType="separate"/>
      </w:r>
      <w:r>
        <w:rPr>
          <w:rFonts w:ascii="Times New Roman" w:hAnsi="Times New Roman" w:eastAsia="等线" w:cs="Times New Roman"/>
          <w:sz w:val="24"/>
          <w:u w:val="single"/>
        </w:rPr>
        <w:t>http://www.mgc.ac.cn/VFs/</w:t>
      </w:r>
      <w:r>
        <w:rPr>
          <w:rFonts w:ascii="Times New Roman" w:hAnsi="Times New Roman" w:eastAsia="等线" w:cs="Times New Roman"/>
          <w:sz w:val="24"/>
          <w:u w:val="single"/>
        </w:rPr>
        <w:fldChar w:fldCharType="end"/>
      </w:r>
      <w:r>
        <w:rPr>
          <w:rFonts w:ascii="Times New Roman" w:hAnsi="Times New Roman" w:eastAsia="等线" w:cs="Times New Roman"/>
          <w:sz w:val="24"/>
        </w:rPr>
        <w:t>), Victors (http://www.phidias.us/victors/)</w:t>
      </w:r>
      <w:r>
        <w:rPr>
          <w:rFonts w:hint="eastAsia" w:ascii="Times New Roman" w:hAnsi="Times New Roman" w:eastAsia="等线" w:cs="Times New Roman"/>
          <w:sz w:val="24"/>
        </w:rPr>
        <w:t xml:space="preserve">, </w:t>
      </w:r>
      <w:r>
        <w:rPr>
          <w:rFonts w:ascii="Times New Roman" w:hAnsi="Times New Roman" w:eastAsia="等线" w:cs="Times New Roman"/>
          <w:sz w:val="24"/>
        </w:rPr>
        <w:t>and Pathosystems Resource Integration Center (</w:t>
      </w:r>
      <w:bookmarkStart w:id="0" w:name="OLE_LINK14"/>
      <w:r>
        <w:fldChar w:fldCharType="begin"/>
      </w:r>
      <w:r>
        <w:instrText xml:space="preserve"> HYPERLINK "https://www.patricbrc.org/" </w:instrText>
      </w:r>
      <w:r>
        <w:fldChar w:fldCharType="separate"/>
      </w:r>
      <w:r>
        <w:rPr>
          <w:rFonts w:ascii="Times New Roman" w:hAnsi="Times New Roman" w:eastAsia="等线" w:cs="Times New Roman"/>
          <w:sz w:val="24"/>
          <w:u w:val="single"/>
        </w:rPr>
        <w:t>https://www.patricbrc.org/</w:t>
      </w:r>
      <w:r>
        <w:rPr>
          <w:rFonts w:ascii="Times New Roman" w:hAnsi="Times New Roman" w:eastAsia="等线" w:cs="Times New Roman"/>
          <w:sz w:val="24"/>
          <w:u w:val="single"/>
        </w:rPr>
        <w:fldChar w:fldCharType="end"/>
      </w:r>
      <w:bookmarkEnd w:id="0"/>
      <w:r>
        <w:rPr>
          <w:rFonts w:ascii="Times New Roman" w:hAnsi="Times New Roman" w:eastAsia="等线" w:cs="Times New Roman"/>
          <w:sz w:val="24"/>
        </w:rPr>
        <w:t>)</w:t>
      </w:r>
      <w:r>
        <w:rPr>
          <w:rFonts w:hint="eastAsia" w:ascii="Times New Roman" w:hAnsi="Times New Roman" w:eastAsia="等线" w:cs="Times New Roman"/>
          <w:sz w:val="24"/>
        </w:rPr>
        <w:t xml:space="preserve">, </w:t>
      </w:r>
      <w:r>
        <w:rPr>
          <w:rFonts w:ascii="Times New Roman" w:hAnsi="Times New Roman" w:eastAsia="等线" w:cs="Times New Roman"/>
          <w:sz w:val="24"/>
        </w:rPr>
        <w:t>were used to construct the RVFScan back-end VFG reference database.</w:t>
      </w:r>
      <w:r>
        <w:rPr>
          <w:rFonts w:hint="eastAsia" w:ascii="Times New Roman" w:hAnsi="Times New Roman" w:eastAsia="等线" w:cs="Times New Roman"/>
          <w:sz w:val="24"/>
        </w:rPr>
        <w:t xml:space="preserve"> </w:t>
      </w:r>
      <w:r>
        <w:rPr>
          <w:rFonts w:ascii="Times New Roman" w:hAnsi="Times New Roman" w:eastAsia="等线" w:cs="Times New Roman"/>
          <w:sz w:val="24"/>
        </w:rPr>
        <w:t>The c</w:t>
      </w:r>
      <w:r>
        <w:rPr>
          <w:rFonts w:hint="eastAsia" w:ascii="Times New Roman" w:hAnsi="Times New Roman" w:eastAsia="等线" w:cs="Times New Roman"/>
          <w:sz w:val="24"/>
        </w:rPr>
        <w:t>orrespond</w:t>
      </w:r>
      <w:r>
        <w:rPr>
          <w:rFonts w:ascii="Times New Roman" w:hAnsi="Times New Roman" w:eastAsia="等线" w:cs="Times New Roman"/>
          <w:sz w:val="24"/>
        </w:rPr>
        <w:t>ing DNA and encoded protein sequences of 2009 VFGs of 24 target pathogens (</w:t>
      </w:r>
      <w:r>
        <w:rPr>
          <w:rFonts w:ascii="Times New Roman" w:hAnsi="Times New Roman" w:eastAsia="等线" w:cs="Times New Roman"/>
          <w:color w:val="0000FF"/>
          <w:sz w:val="24"/>
        </w:rPr>
        <w:t>Table S1</w:t>
      </w:r>
      <w:r>
        <w:rPr>
          <w:rFonts w:ascii="Times New Roman" w:hAnsi="Times New Roman" w:eastAsia="等线" w:cs="Times New Roman"/>
          <w:sz w:val="24"/>
        </w:rPr>
        <w:t xml:space="preserve">) were downloaded from </w:t>
      </w:r>
      <w:r>
        <w:rPr>
          <w:rFonts w:hint="eastAsia" w:ascii="Times New Roman" w:hAnsi="Times New Roman" w:eastAsia="等线" w:cs="Times New Roman"/>
          <w:sz w:val="24"/>
        </w:rPr>
        <w:t xml:space="preserve">the </w:t>
      </w:r>
      <w:r>
        <w:rPr>
          <w:rFonts w:ascii="Times New Roman" w:hAnsi="Times New Roman" w:eastAsia="等线" w:cs="Times New Roman"/>
          <w:sz w:val="24"/>
        </w:rPr>
        <w:t>VFDB (release-202</w:t>
      </w:r>
      <w:r>
        <w:rPr>
          <w:rFonts w:hint="eastAsia" w:ascii="Times New Roman" w:hAnsi="Times New Roman" w:eastAsia="等线" w:cs="Times New Roman"/>
          <w:sz w:val="24"/>
        </w:rPr>
        <w:t>1</w:t>
      </w:r>
      <w:r>
        <w:rPr>
          <w:rFonts w:ascii="Times New Roman" w:hAnsi="Times New Roman" w:eastAsia="等线" w:cs="Times New Roman"/>
          <w:sz w:val="24"/>
        </w:rPr>
        <w:t>_</w:t>
      </w:r>
      <w:r>
        <w:rPr>
          <w:rFonts w:hint="eastAsia" w:ascii="Times New Roman" w:hAnsi="Times New Roman" w:eastAsia="等线" w:cs="Times New Roman"/>
          <w:sz w:val="24"/>
        </w:rPr>
        <w:t>3</w:t>
      </w:r>
      <w:r>
        <w:rPr>
          <w:rFonts w:ascii="Times New Roman" w:hAnsi="Times New Roman" w:eastAsia="等线" w:cs="Times New Roman"/>
          <w:sz w:val="24"/>
        </w:rPr>
        <w:t>) and integrated with sequences downloaded from Victors and PATRIC.</w:t>
      </w:r>
      <w:r>
        <w:rPr>
          <w:rFonts w:hint="eastAsia" w:ascii="Times New Roman" w:hAnsi="Times New Roman" w:eastAsia="等线" w:cs="Times New Roman"/>
          <w:sz w:val="24"/>
        </w:rPr>
        <w:t xml:space="preserve"> </w:t>
      </w:r>
      <w:r>
        <w:rPr>
          <w:rFonts w:ascii="Times New Roman" w:hAnsi="Times New Roman" w:eastAsia="等线" w:cs="Times New Roman"/>
          <w:sz w:val="24"/>
        </w:rPr>
        <w:t>After removing invalid sequences, which were annotated as hypothetical, speculative, probable, predicted, or identified as duplicates and fragments, BLASTP v2.2.30+ was used to search NCBI RefSeq (</w:t>
      </w:r>
      <w:r>
        <w:fldChar w:fldCharType="begin"/>
      </w:r>
      <w:r>
        <w:instrText xml:space="preserve"> HYPERLINK </w:instrText>
      </w:r>
      <w:r>
        <w:fldChar w:fldCharType="separate"/>
      </w:r>
      <w:r>
        <w:rPr>
          <w:rFonts w:ascii="Times New Roman" w:hAnsi="Times New Roman" w:cs="Times New Roman"/>
          <w:sz w:val="24"/>
        </w:rPr>
        <w:t>ftp://ftp.ncbi.nlm. nih.gov/refseq/release/</w:t>
      </w:r>
      <w:r>
        <w:rPr>
          <w:rFonts w:ascii="Times New Roman" w:hAnsi="Times New Roman" w:cs="Times New Roman"/>
          <w:sz w:val="24"/>
        </w:rPr>
        <w:fldChar w:fldCharType="end"/>
      </w:r>
      <w:r>
        <w:rPr>
          <w:rFonts w:ascii="Times New Roman" w:hAnsi="Times New Roman" w:eastAsia="等线" w:cs="Times New Roman"/>
          <w:sz w:val="24"/>
        </w:rPr>
        <w:t xml:space="preserve">) with the parameters of identity </w:t>
      </w:r>
      <m:oMath>
        <m:r>
          <m:rPr>
            <m:sty m:val="p"/>
          </m:rPr>
          <w:rPr>
            <w:rFonts w:ascii="Cambria Math" w:hAnsi="Cambria Math" w:eastAsia="等线" w:cs="Times New Roman"/>
            <w:sz w:val="24"/>
          </w:rPr>
          <m:t xml:space="preserve">≥ </m:t>
        </m:r>
      </m:oMath>
      <w:r>
        <w:rPr>
          <w:rFonts w:ascii="Times New Roman" w:hAnsi="Times New Roman" w:eastAsia="等线" w:cs="Times New Roman"/>
          <w:sz w:val="24"/>
        </w:rPr>
        <w:t xml:space="preserve">80% and reference coverage </w:t>
      </w:r>
      <m:oMath>
        <m:r>
          <m:rPr>
            <m:sty m:val="p"/>
          </m:rPr>
          <w:rPr>
            <w:rFonts w:ascii="Cambria Math" w:hAnsi="Cambria Math" w:eastAsia="等线" w:cs="Times New Roman"/>
            <w:sz w:val="24"/>
          </w:rPr>
          <m:t>≥</m:t>
        </m:r>
      </m:oMath>
      <w:r>
        <w:rPr>
          <w:rFonts w:ascii="Times New Roman" w:hAnsi="Times New Roman" w:eastAsia="等线" w:cs="Times New Roman"/>
          <w:sz w:val="24"/>
        </w:rPr>
        <w:t xml:space="preserve"> 80% to obtain additional homologous VFGs, and only sequences with the best hits were retained. A similarity matrix using bit-score was generated using all-versus-all BLAST for these VFG proteins, and this matrix served as input for the Markov clustering algorithm (MCL) to create the clusters of homologous genes with inflation parameter i = 6.0. Finally, a total of 1,898,441 proteins and corresponding coding sequences (CDSs) were collected. T</w:t>
      </w:r>
      <w:r>
        <w:rPr>
          <w:rFonts w:hint="eastAsia" w:ascii="Times New Roman" w:hAnsi="Times New Roman" w:eastAsia="等线" w:cs="Times New Roman"/>
          <w:sz w:val="24"/>
        </w:rPr>
        <w:t>hen</w:t>
      </w:r>
      <w:r>
        <w:rPr>
          <w:rFonts w:ascii="Times New Roman" w:hAnsi="Times New Roman" w:eastAsia="等线" w:cs="Times New Roman"/>
          <w:sz w:val="24"/>
        </w:rPr>
        <w:t>, CD-hit was employed to</w:t>
      </w:r>
      <w:r>
        <w:rPr>
          <w:rFonts w:hint="eastAsia" w:ascii="Times New Roman" w:hAnsi="Times New Roman" w:eastAsia="等线" w:cs="Times New Roman"/>
          <w:sz w:val="24"/>
        </w:rPr>
        <w:t xml:space="preserve"> reduce redundancy</w:t>
      </w:r>
      <w:r>
        <w:rPr>
          <w:rFonts w:ascii="Times New Roman" w:hAnsi="Times New Roman" w:eastAsia="等线" w:cs="Times New Roman"/>
          <w:sz w:val="24"/>
        </w:rPr>
        <w:t xml:space="preserve"> with the parameter “-c 0.98”; only one representative sequence of each cluster was kept and a total of 19,745 representative VFG sequences were stored in the local VFG database (</w:t>
      </w:r>
      <w:r>
        <w:rPr>
          <w:rFonts w:ascii="Times New Roman" w:hAnsi="Times New Roman" w:eastAsia="等线" w:cs="Times New Roman"/>
          <w:color w:val="0000FF"/>
          <w:sz w:val="24"/>
        </w:rPr>
        <w:t>Fig</w:t>
      </w:r>
      <w:r>
        <w:rPr>
          <w:rFonts w:ascii="Times New Roman" w:hAnsi="Times New Roman" w:eastAsia="等线" w:cs="Times New Roman"/>
          <w:color w:val="0000FF"/>
          <w:sz w:val="24"/>
        </w:rPr>
        <w:t>.</w:t>
      </w:r>
      <w:r>
        <w:rPr>
          <w:rFonts w:ascii="Times New Roman" w:hAnsi="Times New Roman" w:eastAsia="等线" w:cs="Times New Roman"/>
          <w:color w:val="0000FF"/>
          <w:sz w:val="24"/>
        </w:rPr>
        <w:t xml:space="preserve"> 1 and Fig</w:t>
      </w:r>
      <w:r>
        <w:rPr>
          <w:rFonts w:ascii="Times New Roman" w:hAnsi="Times New Roman" w:eastAsia="等线" w:cs="Times New Roman"/>
          <w:color w:val="0000FF"/>
          <w:sz w:val="24"/>
        </w:rPr>
        <w:t>.</w:t>
      </w:r>
      <w:r>
        <w:rPr>
          <w:rFonts w:ascii="Times New Roman" w:hAnsi="Times New Roman" w:eastAsia="等线" w:cs="Times New Roman"/>
          <w:color w:val="0000FF"/>
          <w:sz w:val="24"/>
        </w:rPr>
        <w:t xml:space="preserve"> 2a</w:t>
      </w:r>
      <w:r>
        <w:rPr>
          <w:rFonts w:ascii="Times New Roman" w:hAnsi="Times New Roman" w:eastAsia="等线" w:cs="Times New Roman"/>
          <w:sz w:val="24"/>
        </w:rPr>
        <w:t>).</w:t>
      </w:r>
    </w:p>
    <w:p>
      <w:pPr>
        <w:spacing w:before="156" w:beforeLines="50" w:after="156" w:afterLines="50" w:line="360" w:lineRule="auto"/>
        <w:rPr>
          <w:rFonts w:ascii="Times New Roman Bold Italic" w:hAnsi="Times New Roman Bold Italic" w:eastAsia="等线" w:cs="Times New Roman Bold Italic"/>
          <w:b/>
          <w:bCs/>
          <w:i/>
          <w:iCs/>
          <w:sz w:val="24"/>
          <w:szCs w:val="24"/>
        </w:rPr>
      </w:pPr>
      <w:r>
        <w:rPr>
          <w:rFonts w:ascii="Times New Roman Bold Italic" w:hAnsi="Times New Roman Bold Italic" w:eastAsia="等线" w:cs="Times New Roman Bold Italic"/>
          <w:b/>
          <w:bCs/>
          <w:i/>
          <w:iCs/>
          <w:sz w:val="24"/>
          <w:szCs w:val="24"/>
        </w:rPr>
        <w:t>Criteria for VFGs</w:t>
      </w:r>
    </w:p>
    <w:p>
      <w:pPr>
        <w:spacing w:before="156" w:beforeLines="50" w:after="156" w:afterLines="50" w:line="360" w:lineRule="auto"/>
        <w:rPr>
          <w:rFonts w:ascii="Times New Roman" w:hAnsi="Times New Roman" w:eastAsia="等线" w:cs="Times New Roman"/>
          <w:sz w:val="24"/>
        </w:rPr>
      </w:pPr>
      <w:r>
        <w:rPr>
          <w:rFonts w:ascii="Times New Roman" w:hAnsi="Times New Roman" w:eastAsia="等线" w:cs="Times New Roman"/>
          <w:b w:val="0"/>
          <w:bCs w:val="0"/>
          <w:i w:val="0"/>
          <w:iCs w:val="0"/>
          <w:sz w:val="24"/>
        </w:rPr>
        <w:t>We c</w:t>
      </w:r>
      <w:r>
        <w:rPr>
          <w:rFonts w:ascii="Times New Roman" w:hAnsi="Times New Roman" w:eastAsia="等线" w:cs="Times New Roman"/>
          <w:sz w:val="24"/>
        </w:rPr>
        <w:t>alculated a threshold score for each gene family based on the similarity matrix of representative sequences within and between genes using an all-to-all pairwise comparison. The homology score</w:t>
      </w:r>
      <w:r>
        <w:rPr>
          <w:rFonts w:hint="eastAsia" w:ascii="Times New Roman" w:hAnsi="Times New Roman" w:eastAsia="等线" w:cs="Times New Roman"/>
          <w:sz w:val="24"/>
        </w:rPr>
        <w:t xml:space="preserve"> </w:t>
      </w:r>
      <w:r>
        <w:rPr>
          <w:rFonts w:ascii="Times New Roman" w:hAnsi="Times New Roman" w:eastAsia="等线" w:cs="Times New Roman"/>
          <w:sz w:val="24"/>
        </w:rPr>
        <w:t>(H-score) of each gene is the minimum similarity value of all member pairs, while the paralog score (P-score) is the maximum value of all member and intergenic sequence pairs. Therefore, the criterion for gene i is defined as the max (Pi-score, Hi-score) and is stored in the local database for VFG prediction (</w:t>
      </w:r>
      <w:r>
        <w:rPr>
          <w:rFonts w:ascii="Times New Roman" w:hAnsi="Times New Roman" w:eastAsia="等线" w:cs="Times New Roman"/>
          <w:color w:val="0000FF"/>
          <w:sz w:val="24"/>
        </w:rPr>
        <w:t>Fig</w:t>
      </w:r>
      <w:r>
        <w:rPr>
          <w:rFonts w:ascii="Times New Roman" w:hAnsi="Times New Roman" w:eastAsia="等线" w:cs="Times New Roman"/>
          <w:color w:val="0000FF"/>
          <w:sz w:val="24"/>
        </w:rPr>
        <w:t>.</w:t>
      </w:r>
      <w:r>
        <w:rPr>
          <w:rFonts w:ascii="Times New Roman" w:hAnsi="Times New Roman" w:eastAsia="等线" w:cs="Times New Roman"/>
          <w:color w:val="0000FF"/>
          <w:sz w:val="24"/>
        </w:rPr>
        <w:t xml:space="preserve"> 2b</w:t>
      </w:r>
      <w:r>
        <w:rPr>
          <w:rFonts w:ascii="Times New Roman" w:hAnsi="Times New Roman" w:eastAsia="等线" w:cs="Times New Roman"/>
          <w:sz w:val="24"/>
        </w:rPr>
        <w:t>).</w:t>
      </w:r>
    </w:p>
    <w:p>
      <w:pPr>
        <w:spacing w:before="156" w:beforeLines="50" w:after="156" w:afterLines="50" w:line="360" w:lineRule="auto"/>
        <w:rPr>
          <w:rFonts w:ascii="Times New Roman Bold Italic" w:hAnsi="Times New Roman Bold Italic" w:eastAsia="等线" w:cs="Times New Roman Bold Italic"/>
          <w:b/>
          <w:bCs/>
          <w:i/>
          <w:iCs/>
          <w:sz w:val="24"/>
          <w:szCs w:val="24"/>
        </w:rPr>
      </w:pPr>
      <w:r>
        <w:rPr>
          <w:rFonts w:ascii="Times New Roman Bold Italic" w:hAnsi="Times New Roman Bold Italic" w:eastAsia="等线" w:cs="Times New Roman Bold Italic"/>
          <w:b/>
          <w:bCs/>
          <w:i/>
          <w:iCs/>
          <w:sz w:val="24"/>
          <w:szCs w:val="24"/>
        </w:rPr>
        <w:t>VFG identification</w:t>
      </w:r>
    </w:p>
    <w:p>
      <w:pPr>
        <w:spacing w:after="312" w:afterLines="100" w:line="360" w:lineRule="auto"/>
        <w:rPr>
          <w:rFonts w:ascii="Times New Roman" w:hAnsi="Times New Roman" w:eastAsia="等线" w:cs="Times New Roman"/>
          <w:b/>
          <w:bCs/>
          <w:sz w:val="24"/>
          <w:szCs w:val="24"/>
        </w:rPr>
      </w:pPr>
      <w:r>
        <w:rPr>
          <w:rFonts w:hint="default" w:ascii="Times New Roman" w:hAnsi="Times New Roman" w:eastAsia="等线" w:cs="Times New Roman"/>
          <w:b w:val="0"/>
          <w:bCs w:val="0"/>
          <w:i w:val="0"/>
          <w:iCs w:val="0"/>
          <w:sz w:val="24"/>
          <w:szCs w:val="24"/>
        </w:rPr>
        <w:t>RVFScan requires users to register an account with their email address, which fa</w:t>
      </w:r>
      <w:r>
        <w:rPr>
          <w:rFonts w:ascii="Times New Roman" w:hAnsi="Times New Roman" w:eastAsia="等线" w:cs="Times New Roman"/>
          <w:sz w:val="24"/>
        </w:rPr>
        <w:t>cilitates the acceptance of the status of submitted tasks. Users can submit data to RVFScan in FASTQ format using a user-friendly interface (</w:t>
      </w:r>
      <w:r>
        <w:rPr>
          <w:rFonts w:ascii="Times New Roman" w:hAnsi="Times New Roman" w:eastAsia="等线" w:cs="Times New Roman"/>
          <w:color w:val="0000FF"/>
          <w:sz w:val="24"/>
        </w:rPr>
        <w:t>Fig</w:t>
      </w:r>
      <w:r>
        <w:rPr>
          <w:rFonts w:ascii="Times New Roman" w:hAnsi="Times New Roman" w:eastAsia="等线" w:cs="Times New Roman"/>
          <w:color w:val="0000FF"/>
          <w:sz w:val="24"/>
        </w:rPr>
        <w:t>.</w:t>
      </w:r>
      <w:r>
        <w:rPr>
          <w:rFonts w:ascii="Times New Roman" w:hAnsi="Times New Roman" w:eastAsia="等线" w:cs="Times New Roman"/>
          <w:color w:val="0000FF"/>
          <w:sz w:val="24"/>
        </w:rPr>
        <w:t xml:space="preserve"> 2c</w:t>
      </w:r>
      <w:r>
        <w:rPr>
          <w:rFonts w:ascii="Times New Roman" w:hAnsi="Times New Roman" w:eastAsia="等线" w:cs="Times New Roman"/>
          <w:sz w:val="24"/>
        </w:rPr>
        <w:t xml:space="preserve">). After uploading the metagenomic reads, the quality control (QC) module preprocesses them for quality scoring and removal of low-quality sequences. The retained high-quality reads (namely, "clean reads") were mapped to the local VFG database in single-ended mode using BLAST, and then VFGs were determined by the following rules: more than one read was mapped to </w:t>
      </w:r>
      <m:oMath>
        <m:sSub>
          <m:sSubPr>
            <m:ctrlPr>
              <w:rPr>
                <w:rFonts w:ascii="Cambria Math" w:hAnsi="Cambria Math" w:eastAsia="等线" w:cs="Times New Roman"/>
                <w:i/>
                <w:sz w:val="24"/>
              </w:rPr>
            </m:ctrlPr>
          </m:sSubPr>
          <m:e>
            <m:r>
              <w:rPr>
                <w:rFonts w:ascii="Cambria Math" w:hAnsi="Cambria Math" w:eastAsia="等线" w:cs="Times New Roman"/>
                <w:sz w:val="24"/>
              </w:rPr>
              <m:t>Gene</m:t>
            </m:r>
            <m:ctrlPr>
              <w:rPr>
                <w:rFonts w:ascii="Cambria Math" w:hAnsi="Cambria Math" w:eastAsia="等线" w:cs="Times New Roman"/>
                <w:i/>
                <w:sz w:val="24"/>
              </w:rPr>
            </m:ctrlPr>
          </m:e>
          <m:sub>
            <m:r>
              <w:rPr>
                <w:rFonts w:ascii="Cambria Math" w:hAnsi="Cambria Math" w:eastAsia="等线" w:cs="Times New Roman"/>
                <w:sz w:val="24"/>
              </w:rPr>
              <m:t>i</m:t>
            </m:r>
            <m:ctrlPr>
              <w:rPr>
                <w:rFonts w:ascii="Cambria Math" w:hAnsi="Cambria Math" w:eastAsia="等线" w:cs="Times New Roman"/>
                <w:i/>
                <w:sz w:val="24"/>
              </w:rPr>
            </m:ctrlPr>
          </m:sub>
        </m:sSub>
      </m:oMath>
      <w:r>
        <w:rPr>
          <w:rFonts w:hint="eastAsia" w:ascii="Times New Roman" w:hAnsi="Times New Roman" w:eastAsia="等线" w:cs="Times New Roman"/>
          <w:sz w:val="24"/>
        </w:rPr>
        <w:t xml:space="preserve"> </w:t>
      </w:r>
      <w:r>
        <w:rPr>
          <w:rFonts w:ascii="Times New Roman" w:hAnsi="Times New Roman" w:eastAsia="等线" w:cs="Times New Roman"/>
          <w:sz w:val="24"/>
        </w:rPr>
        <w:t xml:space="preserve">with coverage &gt; </w:t>
      </w:r>
      <w:r>
        <w:rPr>
          <w:rFonts w:hint="eastAsia" w:ascii="Times New Roman" w:hAnsi="Times New Roman" w:eastAsia="等线" w:cs="Times New Roman"/>
          <w:sz w:val="24"/>
        </w:rPr>
        <w:t>95</w:t>
      </w:r>
      <w:r>
        <w:rPr>
          <w:rFonts w:ascii="Times New Roman" w:hAnsi="Times New Roman" w:eastAsia="等线" w:cs="Times New Roman"/>
          <w:sz w:val="24"/>
        </w:rPr>
        <w:t xml:space="preserve">% and identity &gt; </w:t>
      </w:r>
      <m:oMath>
        <m:sSub>
          <m:sSubPr>
            <m:ctrlPr>
              <w:rPr>
                <w:rFonts w:ascii="Cambria Math" w:hAnsi="Cambria Math" w:eastAsia="等线" w:cs="Times New Roman"/>
                <w:i/>
                <w:sz w:val="24"/>
              </w:rPr>
            </m:ctrlPr>
          </m:sSubPr>
          <m:e>
            <m:r>
              <w:rPr>
                <w:rFonts w:ascii="Cambria Math" w:hAnsi="Cambria Math" w:eastAsia="等线" w:cs="Times New Roman"/>
                <w:sz w:val="24"/>
              </w:rPr>
              <m:t>ω</m:t>
            </m:r>
            <m:ctrlPr>
              <w:rPr>
                <w:rFonts w:ascii="Cambria Math" w:hAnsi="Cambria Math" w:eastAsia="等线" w:cs="Times New Roman"/>
                <w:i/>
                <w:sz w:val="24"/>
              </w:rPr>
            </m:ctrlPr>
          </m:e>
          <m:sub>
            <m:r>
              <w:rPr>
                <w:rFonts w:ascii="Cambria Math" w:hAnsi="Cambria Math" w:eastAsia="等线" w:cs="Times New Roman"/>
                <w:sz w:val="24"/>
              </w:rPr>
              <m:t xml:space="preserve"> </m:t>
            </m:r>
            <m:ctrlPr>
              <w:rPr>
                <w:rFonts w:ascii="Cambria Math" w:hAnsi="Cambria Math" w:eastAsia="等线" w:cs="Times New Roman"/>
                <w:i/>
                <w:sz w:val="24"/>
              </w:rPr>
            </m:ctrlPr>
          </m:sub>
        </m:sSub>
        <m:r>
          <w:rPr>
            <w:rFonts w:ascii="Cambria Math" w:hAnsi="Cambria Math" w:eastAsia="等线" w:cs="Times New Roman"/>
            <w:sz w:val="24"/>
          </w:rPr>
          <m:t>∗</m:t>
        </m:r>
        <m:sSub>
          <m:sSubPr>
            <m:ctrlPr>
              <w:rPr>
                <w:rFonts w:ascii="Cambria Math" w:hAnsi="Cambria Math" w:eastAsia="等线" w:cs="Times New Roman"/>
                <w:i/>
                <w:sz w:val="24"/>
              </w:rPr>
            </m:ctrlPr>
          </m:sSubPr>
          <m:e>
            <m:r>
              <w:rPr>
                <w:rFonts w:ascii="Cambria Math" w:hAnsi="Cambria Math" w:eastAsia="等线" w:cs="Times New Roman"/>
                <w:sz w:val="24"/>
              </w:rPr>
              <m:t>G</m:t>
            </m:r>
            <m:ctrlPr>
              <w:rPr>
                <w:rFonts w:ascii="Cambria Math" w:hAnsi="Cambria Math" w:eastAsia="等线" w:cs="Times New Roman"/>
                <w:i/>
                <w:sz w:val="24"/>
              </w:rPr>
            </m:ctrlPr>
          </m:e>
          <m:sub>
            <m:r>
              <w:rPr>
                <w:rFonts w:ascii="Cambria Math" w:hAnsi="Cambria Math" w:eastAsia="等线" w:cs="Times New Roman"/>
                <w:sz w:val="24"/>
              </w:rPr>
              <m:t>i</m:t>
            </m:r>
            <m:ctrlPr>
              <w:rPr>
                <w:rFonts w:ascii="Cambria Math" w:hAnsi="Cambria Math" w:eastAsia="等线" w:cs="Times New Roman"/>
                <w:i/>
                <w:sz w:val="24"/>
              </w:rPr>
            </m:ctrlPr>
          </m:sub>
        </m:sSub>
      </m:oMath>
      <w:r>
        <w:rPr>
          <w:rFonts w:ascii="Times New Roman" w:hAnsi="Times New Roman" w:eastAsia="等线" w:cs="Times New Roman"/>
          <w:sz w:val="18"/>
          <w:szCs w:val="18"/>
        </w:rPr>
        <w:t>;</w:t>
      </w:r>
      <w:r>
        <w:rPr>
          <w:rFonts w:ascii="Times New Roman" w:hAnsi="Times New Roman" w:eastAsia="等线" w:cs="Times New Roman"/>
          <w:sz w:val="24"/>
        </w:rPr>
        <w:t xml:space="preserve"> </w:t>
      </w:r>
      <m:oMath>
        <m:r>
          <w:rPr>
            <w:rFonts w:ascii="Cambria Math" w:hAnsi="Cambria Math" w:eastAsia="等线" w:cs="Times New Roman"/>
            <w:sz w:val="24"/>
          </w:rPr>
          <m:t>ω</m:t>
        </m:r>
      </m:oMath>
      <w:r>
        <w:rPr>
          <w:rFonts w:ascii="Times New Roman" w:hAnsi="Times New Roman" w:eastAsia="等线" w:cs="Times New Roman"/>
          <w:sz w:val="24"/>
        </w:rPr>
        <w:t>: correction factor for read length,</w:t>
      </w:r>
      <w:r>
        <w:rPr>
          <w:rFonts w:ascii="Times New Roman" w:hAnsi="Times New Roman" w:eastAsia="等线" w:cs="Times New Roman"/>
          <w:i/>
          <w:sz w:val="24"/>
        </w:rPr>
        <w:t xml:space="preserve"> </w:t>
      </w:r>
      <m:oMath>
        <m:sSub>
          <m:sSubPr>
            <m:ctrlPr>
              <w:rPr>
                <w:rFonts w:ascii="Cambria Math" w:hAnsi="Cambria Math" w:eastAsia="等线" w:cs="Times New Roman"/>
                <w:i/>
                <w:sz w:val="24"/>
              </w:rPr>
            </m:ctrlPr>
          </m:sSubPr>
          <m:e>
            <m:r>
              <w:rPr>
                <w:rFonts w:ascii="Cambria Math" w:hAnsi="Cambria Math" w:eastAsia="等线" w:cs="Times New Roman"/>
                <w:sz w:val="24"/>
              </w:rPr>
              <m:t>G</m:t>
            </m:r>
            <m:ctrlPr>
              <w:rPr>
                <w:rFonts w:ascii="Cambria Math" w:hAnsi="Cambria Math" w:eastAsia="等线" w:cs="Times New Roman"/>
                <w:i/>
                <w:sz w:val="24"/>
              </w:rPr>
            </m:ctrlPr>
          </m:e>
          <m:sub>
            <m:r>
              <w:rPr>
                <w:rFonts w:ascii="Cambria Math" w:hAnsi="Cambria Math" w:eastAsia="等线" w:cs="Times New Roman"/>
                <w:sz w:val="24"/>
              </w:rPr>
              <m:t>i</m:t>
            </m:r>
            <m:ctrlPr>
              <w:rPr>
                <w:rFonts w:ascii="Cambria Math" w:hAnsi="Cambria Math" w:eastAsia="等线" w:cs="Times New Roman"/>
                <w:i/>
                <w:sz w:val="24"/>
              </w:rPr>
            </m:ctrlPr>
          </m:sub>
        </m:sSub>
      </m:oMath>
      <w:r>
        <w:rPr>
          <w:rFonts w:ascii="Times New Roman" w:hAnsi="Times New Roman" w:eastAsia="等线" w:cs="Times New Roman"/>
          <w:sz w:val="24"/>
        </w:rPr>
        <w:t xml:space="preserve">: </w:t>
      </w:r>
      <w:r>
        <w:rPr>
          <w:rFonts w:ascii="Times New Roman" w:hAnsi="Times New Roman" w:eastAsia="等线" w:cs="Times New Roman"/>
          <w:b w:val="0"/>
          <w:bCs w:val="0"/>
          <w:sz w:val="24"/>
          <w:szCs w:val="24"/>
        </w:rPr>
        <w:t xml:space="preserve">the criterion for gene </w:t>
      </w:r>
      <w:r>
        <w:rPr>
          <w:rFonts w:hint="default" w:ascii="Times New Roman Italic" w:hAnsi="Times New Roman Italic" w:eastAsia="等线" w:cs="Times New Roman Italic"/>
          <w:b w:val="0"/>
          <w:bCs w:val="0"/>
          <w:i/>
          <w:iCs/>
          <w:sz w:val="24"/>
          <w:szCs w:val="24"/>
        </w:rPr>
        <w:t>i</w:t>
      </w:r>
      <w:r>
        <w:rPr>
          <w:rFonts w:ascii="Times New Roman" w:hAnsi="Times New Roman" w:eastAsia="等线" w:cs="Times New Roman"/>
          <w:b w:val="0"/>
          <w:bCs w:val="0"/>
          <w:sz w:val="24"/>
          <w:szCs w:val="24"/>
        </w:rPr>
        <w:t>.</w:t>
      </w:r>
    </w:p>
    <w:p>
      <w:pPr>
        <w:spacing w:before="156" w:beforeLines="50" w:after="156" w:afterLines="50" w:line="360" w:lineRule="auto"/>
        <w:rPr>
          <w:rFonts w:ascii="Times New Roman Bold Italic" w:hAnsi="Times New Roman Bold Italic" w:eastAsia="等线" w:cs="Times New Roman Bold Italic"/>
          <w:b/>
          <w:bCs/>
          <w:i/>
          <w:iCs/>
          <w:sz w:val="24"/>
          <w:szCs w:val="24"/>
        </w:rPr>
      </w:pPr>
    </w:p>
    <w:p>
      <w:pPr>
        <w:spacing w:before="156" w:beforeLines="50" w:after="156" w:afterLines="50" w:line="360" w:lineRule="auto"/>
        <w:rPr>
          <w:rFonts w:hint="default" w:ascii="Times New Roman Bold" w:hAnsi="Times New Roman Bold" w:eastAsia="等线" w:cs="Times New Roman Bold"/>
          <w:b/>
          <w:bCs/>
          <w:i w:val="0"/>
          <w:iCs w:val="0"/>
          <w:sz w:val="24"/>
          <w:szCs w:val="24"/>
        </w:rPr>
      </w:pPr>
      <w:r>
        <w:rPr>
          <w:rFonts w:hint="default" w:ascii="Times New Roman Bold" w:hAnsi="Times New Roman Bold" w:eastAsia="等线" w:cs="Times New Roman Bold"/>
          <w:b/>
          <w:bCs/>
          <w:i w:val="0"/>
          <w:iCs w:val="0"/>
          <w:sz w:val="24"/>
          <w:szCs w:val="24"/>
        </w:rPr>
        <w:t>Section 2: Evaluation of RVFScan performance using the simulated mNGS datasets</w:t>
      </w:r>
    </w:p>
    <w:p>
      <w:pPr>
        <w:spacing w:before="156" w:beforeLines="50" w:after="156" w:afterLines="50" w:line="360" w:lineRule="auto"/>
        <w:rPr>
          <w:rFonts w:ascii="Times New Roman" w:hAnsi="Times New Roman" w:eastAsia="等线" w:cs="Times New Roman"/>
          <w:sz w:val="24"/>
          <w:szCs w:val="24"/>
        </w:rPr>
      </w:pPr>
      <w:r>
        <w:rPr>
          <w:rFonts w:hint="default" w:ascii="Times New Roman" w:hAnsi="Times New Roman" w:eastAsia="等线" w:cs="Times New Roman"/>
          <w:b w:val="0"/>
          <w:bCs w:val="0"/>
          <w:i w:val="0"/>
          <w:iCs w:val="0"/>
          <w:sz w:val="24"/>
          <w:szCs w:val="24"/>
        </w:rPr>
        <w:t>We constructed the true positi</w:t>
      </w:r>
      <w:r>
        <w:rPr>
          <w:rFonts w:ascii="Times New Roman" w:hAnsi="Times New Roman" w:eastAsia="等线" w:cs="Times New Roman"/>
          <w:sz w:val="24"/>
        </w:rPr>
        <w:t>ve (TP) and true negative (TN) datasets as the simulated datasets (</w:t>
      </w:r>
      <w:r>
        <w:rPr>
          <w:rFonts w:ascii="Times New Roman" w:hAnsi="Times New Roman" w:eastAsia="等线" w:cs="Times New Roman"/>
          <w:color w:val="0000FF"/>
          <w:sz w:val="24"/>
        </w:rPr>
        <w:t>Fig</w:t>
      </w:r>
      <w:r>
        <w:rPr>
          <w:rFonts w:ascii="Times New Roman" w:hAnsi="Times New Roman" w:eastAsia="等线" w:cs="Times New Roman"/>
          <w:color w:val="0000FF"/>
          <w:sz w:val="24"/>
        </w:rPr>
        <w:t>.</w:t>
      </w:r>
      <w:r>
        <w:rPr>
          <w:rFonts w:ascii="Times New Roman" w:hAnsi="Times New Roman" w:eastAsia="等线" w:cs="Times New Roman"/>
          <w:color w:val="0000FF"/>
          <w:sz w:val="24"/>
        </w:rPr>
        <w:t xml:space="preserve"> 1</w:t>
      </w:r>
      <w:r>
        <w:rPr>
          <w:rFonts w:ascii="Times New Roman" w:hAnsi="Times New Roman" w:eastAsia="等线" w:cs="Times New Roman"/>
          <w:sz w:val="24"/>
        </w:rPr>
        <w:t>). A total of 1031 VFG sequences of four pathogens, including two gram-positive bacteria (</w:t>
      </w:r>
      <w:r>
        <w:rPr>
          <w:rFonts w:ascii="Times New Roman" w:hAnsi="Times New Roman" w:eastAsia="等线" w:cs="Times New Roman"/>
          <w:i/>
          <w:iCs/>
          <w:sz w:val="24"/>
        </w:rPr>
        <w:t>Staphylococcus aureus (S. aureus)</w:t>
      </w:r>
      <w:r>
        <w:rPr>
          <w:rFonts w:ascii="Times New Roman" w:hAnsi="Times New Roman" w:eastAsia="等线" w:cs="Times New Roman"/>
          <w:sz w:val="24"/>
        </w:rPr>
        <w:t xml:space="preserve"> </w:t>
      </w:r>
      <w:r>
        <w:rPr>
          <w:rFonts w:hint="eastAsia" w:ascii="Times New Roman" w:hAnsi="Times New Roman" w:eastAsia="等线" w:cs="Times New Roman"/>
          <w:sz w:val="24"/>
        </w:rPr>
        <w:t>and</w:t>
      </w:r>
      <w:r>
        <w:rPr>
          <w:rFonts w:ascii="Times New Roman" w:hAnsi="Times New Roman" w:eastAsia="等线" w:cs="Times New Roman"/>
          <w:sz w:val="24"/>
        </w:rPr>
        <w:t xml:space="preserve"> </w:t>
      </w:r>
      <w:r>
        <w:rPr>
          <w:rFonts w:ascii="Times New Roman" w:hAnsi="Times New Roman" w:eastAsia="等线" w:cs="Times New Roman"/>
          <w:i/>
          <w:iCs/>
          <w:sz w:val="24"/>
        </w:rPr>
        <w:t>Streptococcus pneumoniae (S. pneumoniae)</w:t>
      </w:r>
      <w:r>
        <w:rPr>
          <w:rFonts w:ascii="Times New Roman" w:hAnsi="Times New Roman" w:eastAsia="等线" w:cs="Times New Roman"/>
          <w:sz w:val="24"/>
        </w:rPr>
        <w:t>) and two gram-negative bacteria (</w:t>
      </w:r>
      <w:r>
        <w:rPr>
          <w:rFonts w:ascii="Times New Roman" w:hAnsi="Times New Roman" w:eastAsia="等线" w:cs="Times New Roman"/>
          <w:i/>
          <w:iCs/>
          <w:sz w:val="24"/>
        </w:rPr>
        <w:t>A</w:t>
      </w:r>
      <w:r>
        <w:rPr>
          <w:rFonts w:hint="eastAsia" w:ascii="Times New Roman" w:hAnsi="Times New Roman" w:eastAsia="等线" w:cs="Times New Roman"/>
          <w:i/>
          <w:iCs/>
          <w:sz w:val="24"/>
        </w:rPr>
        <w:t>.</w:t>
      </w:r>
      <w:r>
        <w:rPr>
          <w:rFonts w:ascii="Times New Roman" w:hAnsi="Times New Roman" w:eastAsia="等线" w:cs="Times New Roman"/>
          <w:i/>
          <w:iCs/>
          <w:sz w:val="24"/>
        </w:rPr>
        <w:t xml:space="preserve"> baumannii</w:t>
      </w:r>
      <w:r>
        <w:rPr>
          <w:rFonts w:ascii="Times New Roman" w:hAnsi="Times New Roman" w:eastAsia="等线" w:cs="Times New Roman"/>
          <w:sz w:val="24"/>
        </w:rPr>
        <w:t xml:space="preserve"> and </w:t>
      </w:r>
      <w:r>
        <w:rPr>
          <w:rFonts w:ascii="Times New Roman" w:hAnsi="Times New Roman" w:eastAsia="等线" w:cs="Times New Roman"/>
          <w:i/>
          <w:iCs/>
          <w:sz w:val="24"/>
        </w:rPr>
        <w:t>K. pneumoniae</w:t>
      </w:r>
      <w:r>
        <w:rPr>
          <w:rFonts w:ascii="Times New Roman" w:hAnsi="Times New Roman" w:eastAsia="等线" w:cs="Times New Roman"/>
          <w:sz w:val="24"/>
        </w:rPr>
        <w:t>) were collected from the VF</w:t>
      </w:r>
      <w:r>
        <w:rPr>
          <w:rFonts w:hint="eastAsia" w:ascii="Times New Roman" w:hAnsi="Times New Roman" w:eastAsia="等线" w:cs="Times New Roman"/>
          <w:sz w:val="24"/>
        </w:rPr>
        <w:t>DB</w:t>
      </w:r>
      <w:r>
        <w:rPr>
          <w:rFonts w:ascii="Times New Roman" w:hAnsi="Times New Roman" w:eastAsia="等线" w:cs="Times New Roman"/>
          <w:sz w:val="24"/>
        </w:rPr>
        <w:t xml:space="preserve"> as the TP dataset. The TN dataset consisted of 2000 essential gene sequences from </w:t>
      </w:r>
      <w:bookmarkStart w:id="1" w:name="_Hlk93593332"/>
      <w:r>
        <w:rPr>
          <w:rFonts w:ascii="Times New Roman" w:hAnsi="Times New Roman" w:eastAsia="等线" w:cs="Times New Roman"/>
          <w:sz w:val="24"/>
        </w:rPr>
        <w:t>the Database of Essential Genes (DEG)</w:t>
      </w:r>
      <w:bookmarkEnd w:id="1"/>
      <w:r>
        <w:rPr>
          <w:rFonts w:ascii="Times New Roman" w:hAnsi="Times New Roman" w:eastAsia="等线" w:cs="Times New Roman"/>
          <w:sz w:val="24"/>
        </w:rPr>
        <w:t xml:space="preserve"> after removing those genes </w:t>
      </w:r>
      <w:r>
        <w:rPr>
          <w:rFonts w:hint="eastAsia" w:ascii="Times New Roman" w:hAnsi="Times New Roman" w:eastAsia="等线" w:cs="Times New Roman"/>
          <w:sz w:val="24"/>
        </w:rPr>
        <w:t>with</w:t>
      </w:r>
      <w:r>
        <w:rPr>
          <w:rFonts w:ascii="Times New Roman" w:hAnsi="Times New Roman" w:eastAsia="等线" w:cs="Times New Roman"/>
          <w:sz w:val="24"/>
        </w:rPr>
        <w:t xml:space="preserve"> annotations similar to those of genes in the positive datasets. These genes in the negative datasets </w:t>
      </w:r>
      <w:r>
        <w:rPr>
          <w:rFonts w:hint="eastAsia" w:ascii="Times New Roman" w:hAnsi="Times New Roman" w:eastAsia="等线" w:cs="Times New Roman"/>
          <w:sz w:val="24"/>
        </w:rPr>
        <w:t>we</w:t>
      </w:r>
      <w:r>
        <w:rPr>
          <w:rFonts w:ascii="Times New Roman" w:hAnsi="Times New Roman" w:eastAsia="等线" w:cs="Times New Roman"/>
          <w:sz w:val="24"/>
        </w:rPr>
        <w:t xml:space="preserve">re considered essential for survival and are therefore “non-virulent”. The simulated datasets were created by spiking certain TP and TN data into the human background, and the relative abundance of each component was chosen to be as close to clinical reality as possible. For example, there was a high proportion of human DNA (95%) and relatively low proportions across the four target pathogenic bacteria, including </w:t>
      </w:r>
      <w:r>
        <w:rPr>
          <w:rFonts w:ascii="Times New Roman" w:hAnsi="Times New Roman" w:eastAsia="等线" w:cs="Times New Roman"/>
          <w:i/>
          <w:iCs/>
          <w:sz w:val="24"/>
        </w:rPr>
        <w:t>K. pneumoniae</w:t>
      </w:r>
      <w:r>
        <w:rPr>
          <w:rFonts w:ascii="Times New Roman" w:hAnsi="Times New Roman" w:eastAsia="等线" w:cs="Times New Roman"/>
          <w:sz w:val="24"/>
        </w:rPr>
        <w:t xml:space="preserve"> (0.81%),</w:t>
      </w:r>
      <w:r>
        <w:rPr>
          <w:rFonts w:ascii="Times New Roman" w:hAnsi="Times New Roman" w:eastAsia="等线" w:cs="Times New Roman"/>
          <w:i/>
          <w:iCs/>
          <w:sz w:val="24"/>
        </w:rPr>
        <w:t xml:space="preserve"> A. baumannii</w:t>
      </w:r>
      <w:r>
        <w:rPr>
          <w:rFonts w:ascii="Times New Roman" w:hAnsi="Times New Roman" w:eastAsia="等线" w:cs="Times New Roman"/>
          <w:sz w:val="24"/>
        </w:rPr>
        <w:t xml:space="preserve"> (0.72%), </w:t>
      </w:r>
      <w:r>
        <w:rPr>
          <w:rFonts w:ascii="Times New Roman" w:hAnsi="Times New Roman" w:eastAsia="等线" w:cs="Times New Roman"/>
          <w:i/>
          <w:iCs/>
          <w:sz w:val="24"/>
        </w:rPr>
        <w:t>S. aureus</w:t>
      </w:r>
      <w:r>
        <w:rPr>
          <w:rFonts w:ascii="Times New Roman" w:hAnsi="Times New Roman" w:eastAsia="等线" w:cs="Times New Roman"/>
          <w:sz w:val="24"/>
        </w:rPr>
        <w:t xml:space="preserve"> (0.54%), and </w:t>
      </w:r>
      <w:r>
        <w:rPr>
          <w:rFonts w:ascii="Times New Roman" w:hAnsi="Times New Roman" w:eastAsia="等线" w:cs="Times New Roman"/>
          <w:i/>
          <w:iCs/>
          <w:sz w:val="24"/>
        </w:rPr>
        <w:t>S. pneumoniae</w:t>
      </w:r>
      <w:r>
        <w:rPr>
          <w:rFonts w:ascii="Times New Roman" w:hAnsi="Times New Roman" w:eastAsia="等线" w:cs="Times New Roman"/>
          <w:sz w:val="24"/>
        </w:rPr>
        <w:t xml:space="preserve"> (0.13%). Single-ended reads </w:t>
      </w:r>
      <w:r>
        <w:rPr>
          <w:rFonts w:hint="eastAsia" w:ascii="Times New Roman" w:hAnsi="Times New Roman" w:eastAsia="等线" w:cs="Times New Roman"/>
          <w:sz w:val="24"/>
        </w:rPr>
        <w:t>(20</w:t>
      </w:r>
      <w:r>
        <w:rPr>
          <w:rFonts w:ascii="Times New Roman" w:hAnsi="Times New Roman" w:eastAsia="等线" w:cs="Times New Roman"/>
          <w:sz w:val="24"/>
        </w:rPr>
        <w:t xml:space="preserve"> </w:t>
      </w:r>
      <w:r>
        <w:rPr>
          <w:rFonts w:hint="eastAsia" w:ascii="Times New Roman" w:hAnsi="Times New Roman" w:eastAsia="等线" w:cs="Times New Roman"/>
          <w:sz w:val="24"/>
        </w:rPr>
        <w:t xml:space="preserve">M, the most common sequencing depth for clinical mNGS) </w:t>
      </w:r>
      <w:r>
        <w:rPr>
          <w:rFonts w:ascii="Times New Roman" w:hAnsi="Times New Roman" w:eastAsia="等线" w:cs="Times New Roman"/>
          <w:sz w:val="24"/>
          <w:szCs w:val="24"/>
        </w:rPr>
        <w:t>were generated for each simulated dataset using gene sequences of the TP and TN datasets by WgSim software (v1.11) with read lengths of 50, 75, 100</w:t>
      </w:r>
      <w:r>
        <w:rPr>
          <w:rFonts w:hint="default" w:ascii="Times New Roman" w:hAnsi="Times New Roman" w:eastAsia="等线" w:cs="Times New Roman"/>
          <w:sz w:val="24"/>
          <w:szCs w:val="24"/>
        </w:rPr>
        <w:t xml:space="preserve">, </w:t>
      </w:r>
      <w:r>
        <w:rPr>
          <w:rFonts w:ascii="Times New Roman" w:hAnsi="Times New Roman" w:eastAsia="等线" w:cs="Times New Roman"/>
          <w:sz w:val="24"/>
          <w:szCs w:val="24"/>
        </w:rPr>
        <w:t>150</w:t>
      </w:r>
      <w:r>
        <w:rPr>
          <w:rFonts w:hint="eastAsia" w:ascii="Times New Roman" w:hAnsi="Times New Roman" w:eastAsia="等线" w:cs="Times New Roman"/>
          <w:sz w:val="24"/>
          <w:szCs w:val="24"/>
        </w:rPr>
        <w:t>,</w:t>
      </w:r>
      <w:r>
        <w:rPr>
          <w:rFonts w:ascii="Times New Roman" w:hAnsi="Times New Roman" w:eastAsia="等线" w:cs="Times New Roman"/>
          <w:sz w:val="24"/>
          <w:szCs w:val="24"/>
        </w:rPr>
        <w:t xml:space="preserve"> 250 and 300 bp, </w:t>
      </w:r>
      <w:r>
        <w:rPr>
          <w:rFonts w:ascii="Times New Roman" w:hAnsi="Times New Roman" w:eastAsia="等线" w:cs="Times New Roman"/>
          <w:sz w:val="24"/>
        </w:rPr>
        <w:t>respectively, while the average sequencing error rate was ~0.1%, based on that for Illumina</w:t>
      </w:r>
      <w:r>
        <w:rPr>
          <w:rFonts w:ascii="Times New Roman" w:hAnsi="Times New Roman" w:eastAsia="等线" w:cs="Times New Roman"/>
          <w:sz w:val="24"/>
          <w:szCs w:val="24"/>
        </w:rPr>
        <w:t xml:space="preserve">. </w:t>
      </w:r>
    </w:p>
    <w:p>
      <w:pPr>
        <w:spacing w:before="156" w:beforeLines="50" w:after="156" w:afterLines="50" w:line="360" w:lineRule="auto"/>
        <w:rPr>
          <w:rFonts w:ascii="Times New Roman Bold Italic" w:hAnsi="Times New Roman Bold Italic" w:eastAsia="等线" w:cs="Times New Roman Bold Italic"/>
          <w:b/>
          <w:bCs/>
          <w:i/>
          <w:iCs/>
          <w:sz w:val="24"/>
          <w:szCs w:val="24"/>
        </w:rPr>
      </w:pPr>
      <w:r>
        <w:rPr>
          <w:rFonts w:ascii="Times New Roman Bold Italic" w:hAnsi="Times New Roman Bold Italic" w:eastAsia="等线" w:cs="Times New Roman Bold Italic"/>
          <w:b/>
          <w:bCs/>
          <w:i/>
          <w:iCs/>
          <w:sz w:val="24"/>
          <w:szCs w:val="24"/>
        </w:rPr>
        <w:t>Evaluation definition</w:t>
      </w:r>
    </w:p>
    <w:p>
      <w:pPr>
        <w:spacing w:before="156" w:beforeLines="50" w:after="156" w:afterLines="50" w:line="360" w:lineRule="auto"/>
        <w:rPr>
          <w:rFonts w:ascii="Times New Roman" w:hAnsi="Times New Roman" w:eastAsia="等线" w:cs="Times New Roman"/>
          <w:sz w:val="24"/>
          <w:szCs w:val="24"/>
        </w:rPr>
      </w:pPr>
      <w:r>
        <w:rPr>
          <w:rFonts w:ascii="Times New Roman" w:hAnsi="Times New Roman" w:eastAsia="等线" w:cs="Times New Roman"/>
          <w:sz w:val="24"/>
          <w:szCs w:val="24"/>
        </w:rPr>
        <w:t xml:space="preserve">All these simulated datasets were analyzed by RVFScan and existing VFG prediction tools (MP3, PathoFact, DeepVF, VFanalyzer, and </w:t>
      </w:r>
      <w:r>
        <w:rPr>
          <w:rFonts w:hint="eastAsia" w:ascii="Times New Roman" w:hAnsi="Times New Roman" w:eastAsia="等线" w:cs="Times New Roman"/>
          <w:sz w:val="24"/>
          <w:szCs w:val="24"/>
        </w:rPr>
        <w:t>ShortBRED</w:t>
      </w:r>
      <w:r>
        <w:rPr>
          <w:rFonts w:ascii="Times New Roman" w:hAnsi="Times New Roman" w:eastAsia="等线" w:cs="Times New Roman"/>
          <w:sz w:val="24"/>
          <w:szCs w:val="24"/>
        </w:rPr>
        <w:t>), and their performances were evaluated in terms of sensitivity (SN), specificity (SP), accuracy (ACC), and F-score.</w:t>
      </w:r>
    </w:p>
    <w:p>
      <w:pPr>
        <w:spacing w:after="312" w:afterLines="100" w:line="360" w:lineRule="auto"/>
        <w:rPr>
          <w:rFonts w:ascii="Times New Roman" w:hAnsi="Times New Roman" w:eastAsia="等线" w:cs="Times New Roman"/>
          <w:sz w:val="24"/>
        </w:rPr>
      </w:pPr>
      <m:oMathPara>
        <m:oMathParaPr>
          <m:jc m:val="center"/>
        </m:oMathParaPr>
        <m:oMath>
          <m:r>
            <w:rPr>
              <w:rFonts w:ascii="Cambria Math" w:hAnsi="Cambria Math" w:eastAsia="等线" w:cs="Times New Roman"/>
              <w:sz w:val="24"/>
            </w:rPr>
            <m:t>SN</m:t>
          </m:r>
          <m:r>
            <m:rPr>
              <m:sty m:val="p"/>
            </m:rPr>
            <w:rPr>
              <w:rFonts w:ascii="Cambria Math" w:hAnsi="Cambria Math" w:eastAsia="等线" w:cs="Times New Roman"/>
              <w:sz w:val="24"/>
            </w:rPr>
            <m:t>=</m:t>
          </m:r>
          <m:f>
            <m:fPr>
              <m:ctrlPr>
                <w:rPr>
                  <w:rFonts w:ascii="Cambria Math" w:hAnsi="Cambria Math" w:eastAsia="等线" w:cs="Times New Roman"/>
                  <w:sz w:val="24"/>
                </w:rPr>
              </m:ctrlPr>
            </m:fPr>
            <m:num>
              <m:r>
                <m:rPr>
                  <m:sty m:val="p"/>
                </m:rPr>
                <w:rPr>
                  <w:rFonts w:ascii="Cambria Math" w:hAnsi="Cambria Math" w:eastAsia="等线" w:cs="Times New Roman"/>
                  <w:sz w:val="24"/>
                </w:rPr>
                <m:t>TP</m:t>
              </m:r>
              <m:ctrlPr>
                <w:rPr>
                  <w:rFonts w:ascii="Cambria Math" w:hAnsi="Cambria Math" w:eastAsia="等线" w:cs="Times New Roman"/>
                  <w:sz w:val="24"/>
                </w:rPr>
              </m:ctrlPr>
            </m:num>
            <m:den>
              <m:r>
                <m:rPr>
                  <m:sty m:val="p"/>
                </m:rPr>
                <w:rPr>
                  <w:rFonts w:ascii="Cambria Math" w:hAnsi="Cambria Math" w:eastAsia="等线" w:cs="Times New Roman"/>
                  <w:sz w:val="24"/>
                </w:rPr>
                <m:t>TP+FN</m:t>
              </m:r>
              <m:ctrlPr>
                <w:rPr>
                  <w:rFonts w:ascii="Cambria Math" w:hAnsi="Cambria Math" w:eastAsia="等线" w:cs="Times New Roman"/>
                  <w:sz w:val="24"/>
                </w:rPr>
              </m:ctrlPr>
            </m:den>
          </m:f>
        </m:oMath>
      </m:oMathPara>
    </w:p>
    <w:p>
      <w:pPr>
        <w:spacing w:line="360" w:lineRule="auto"/>
        <w:ind w:firstLine="120" w:firstLineChars="50"/>
        <w:rPr>
          <w:rFonts w:ascii="Times New Roman" w:hAnsi="Times New Roman" w:eastAsia="等线" w:cs="Times New Roman"/>
          <w:sz w:val="24"/>
        </w:rPr>
      </w:pPr>
      <m:oMathPara>
        <m:oMathParaPr>
          <m:jc m:val="center"/>
        </m:oMathParaPr>
        <m:oMath>
          <m:r>
            <w:rPr>
              <w:rFonts w:ascii="Cambria Math" w:hAnsi="Cambria Math" w:eastAsia="等线" w:cs="Times New Roman"/>
              <w:sz w:val="24"/>
            </w:rPr>
            <m:t>SP</m:t>
          </m:r>
          <m:r>
            <m:rPr>
              <m:sty m:val="p"/>
            </m:rPr>
            <w:rPr>
              <w:rFonts w:ascii="Cambria Math" w:hAnsi="Cambria Math" w:eastAsia="等线" w:cs="Times New Roman"/>
              <w:sz w:val="24"/>
            </w:rPr>
            <m:t>=</m:t>
          </m:r>
          <m:f>
            <m:fPr>
              <m:ctrlPr>
                <w:rPr>
                  <w:rFonts w:ascii="Cambria Math" w:hAnsi="Cambria Math" w:eastAsia="等线" w:cs="Times New Roman"/>
                  <w:sz w:val="24"/>
                </w:rPr>
              </m:ctrlPr>
            </m:fPr>
            <m:num>
              <m:r>
                <m:rPr>
                  <m:sty m:val="p"/>
                </m:rPr>
                <w:rPr>
                  <w:rFonts w:ascii="Cambria Math" w:hAnsi="Cambria Math" w:eastAsia="等线" w:cs="Times New Roman"/>
                  <w:sz w:val="24"/>
                </w:rPr>
                <m:t>TN</m:t>
              </m:r>
              <m:ctrlPr>
                <w:rPr>
                  <w:rFonts w:ascii="Cambria Math" w:hAnsi="Cambria Math" w:eastAsia="等线" w:cs="Times New Roman"/>
                  <w:sz w:val="24"/>
                </w:rPr>
              </m:ctrlPr>
            </m:num>
            <m:den>
              <m:r>
                <m:rPr>
                  <m:sty m:val="p"/>
                </m:rPr>
                <w:rPr>
                  <w:rFonts w:ascii="Cambria Math" w:hAnsi="Cambria Math" w:eastAsia="等线" w:cs="Times New Roman"/>
                  <w:sz w:val="24"/>
                </w:rPr>
                <m:t>FP+TN</m:t>
              </m:r>
              <m:ctrlPr>
                <w:rPr>
                  <w:rFonts w:ascii="Cambria Math" w:hAnsi="Cambria Math" w:eastAsia="等线" w:cs="Times New Roman"/>
                  <w:sz w:val="24"/>
                </w:rPr>
              </m:ctrlPr>
            </m:den>
          </m:f>
        </m:oMath>
      </m:oMathPara>
    </w:p>
    <w:p>
      <w:pPr>
        <w:spacing w:line="360" w:lineRule="auto"/>
        <w:ind w:firstLine="120" w:firstLineChars="50"/>
        <w:rPr>
          <w:rFonts w:ascii="Times New Roman" w:hAnsi="Times New Roman" w:eastAsia="等线" w:cs="Times New Roman"/>
          <w:sz w:val="24"/>
        </w:rPr>
      </w:pPr>
      <m:oMathPara>
        <m:oMathParaPr>
          <m:jc m:val="center"/>
        </m:oMathParaPr>
        <m:oMath>
          <m:r>
            <w:rPr>
              <w:rFonts w:ascii="Cambria Math" w:hAnsi="Cambria Math" w:eastAsia="等线" w:cs="Times New Roman"/>
              <w:sz w:val="24"/>
            </w:rPr>
            <m:t>ACC</m:t>
          </m:r>
          <m:r>
            <m:rPr>
              <m:sty m:val="p"/>
            </m:rPr>
            <w:rPr>
              <w:rFonts w:ascii="Cambria Math" w:hAnsi="Cambria Math" w:eastAsia="等线" w:cs="Times New Roman"/>
              <w:sz w:val="24"/>
            </w:rPr>
            <m:t>=</m:t>
          </m:r>
          <m:f>
            <m:fPr>
              <m:ctrlPr>
                <w:rPr>
                  <w:rFonts w:ascii="Cambria Math" w:hAnsi="Cambria Math" w:eastAsia="等线" w:cs="Times New Roman"/>
                  <w:sz w:val="24"/>
                </w:rPr>
              </m:ctrlPr>
            </m:fPr>
            <m:num>
              <m:r>
                <m:rPr>
                  <m:sty m:val="p"/>
                </m:rPr>
                <w:rPr>
                  <w:rFonts w:ascii="Cambria Math" w:hAnsi="Cambria Math" w:eastAsia="等线" w:cs="Times New Roman"/>
                  <w:sz w:val="24"/>
                </w:rPr>
                <m:t>TP+TN</m:t>
              </m:r>
              <m:ctrlPr>
                <w:rPr>
                  <w:rFonts w:ascii="Cambria Math" w:hAnsi="Cambria Math" w:eastAsia="等线" w:cs="Times New Roman"/>
                  <w:sz w:val="24"/>
                </w:rPr>
              </m:ctrlPr>
            </m:num>
            <m:den>
              <m:r>
                <m:rPr>
                  <m:sty m:val="p"/>
                </m:rPr>
                <w:rPr>
                  <w:rFonts w:ascii="Cambria Math" w:hAnsi="Cambria Math" w:eastAsia="等线" w:cs="Times New Roman"/>
                  <w:sz w:val="24"/>
                </w:rPr>
                <m:t>TP+FN+FP+TN</m:t>
              </m:r>
              <m:ctrlPr>
                <w:rPr>
                  <w:rFonts w:ascii="Cambria Math" w:hAnsi="Cambria Math" w:eastAsia="等线" w:cs="Times New Roman"/>
                  <w:sz w:val="24"/>
                </w:rPr>
              </m:ctrlPr>
            </m:den>
          </m:f>
        </m:oMath>
      </m:oMathPara>
    </w:p>
    <w:p>
      <w:pPr>
        <w:widowControl/>
        <w:spacing w:after="312" w:afterLines="100" w:line="360" w:lineRule="auto"/>
        <w:rPr>
          <w:rFonts w:ascii="Times New Roman" w:hAnsi="Times New Roman" w:eastAsia="等线" w:cs="Times New Roman"/>
          <w:sz w:val="24"/>
          <w:szCs w:val="24"/>
        </w:rPr>
      </w:pPr>
      <m:oMathPara>
        <m:oMathParaPr>
          <m:jc m:val="center"/>
        </m:oMathParaPr>
        <m:oMath>
          <m:r>
            <w:rPr>
              <w:rFonts w:ascii="Cambria Math" w:hAnsi="Cambria Math" w:eastAsia="等线" w:cs="Times New Roman"/>
              <w:sz w:val="24"/>
            </w:rPr>
            <m:t>F−score</m:t>
          </m:r>
          <m:r>
            <m:rPr>
              <m:sty m:val="p"/>
            </m:rPr>
            <w:rPr>
              <w:rFonts w:ascii="Cambria Math" w:hAnsi="Cambria Math" w:eastAsia="等线" w:cs="Times New Roman"/>
              <w:sz w:val="24"/>
            </w:rPr>
            <m:t>=2×</m:t>
          </m:r>
          <m:f>
            <m:fPr>
              <m:ctrlPr>
                <w:rPr>
                  <w:rFonts w:ascii="Cambria Math" w:hAnsi="Cambria Math" w:eastAsia="等线" w:cs="Times New Roman"/>
                  <w:sz w:val="24"/>
                </w:rPr>
              </m:ctrlPr>
            </m:fPr>
            <m:num>
              <m:r>
                <m:rPr>
                  <m:sty m:val="p"/>
                </m:rPr>
                <w:rPr>
                  <w:rFonts w:ascii="Cambria Math" w:hAnsi="Cambria Math" w:eastAsia="等线" w:cs="Times New Roman"/>
                  <w:sz w:val="24"/>
                </w:rPr>
                <m:t>TP</m:t>
              </m:r>
              <m:ctrlPr>
                <w:rPr>
                  <w:rFonts w:ascii="Cambria Math" w:hAnsi="Cambria Math" w:eastAsia="等线" w:cs="Times New Roman"/>
                  <w:sz w:val="24"/>
                </w:rPr>
              </m:ctrlPr>
            </m:num>
            <m:den>
              <m:r>
                <m:rPr>
                  <m:sty m:val="p"/>
                </m:rPr>
                <w:rPr>
                  <w:rFonts w:ascii="Cambria Math" w:hAnsi="Cambria Math" w:eastAsia="等线" w:cs="Times New Roman"/>
                  <w:sz w:val="24"/>
                </w:rPr>
                <m:t>2TP+FP+FN</m:t>
              </m:r>
              <m:ctrlPr>
                <w:rPr>
                  <w:rFonts w:ascii="Cambria Math" w:hAnsi="Cambria Math" w:eastAsia="等线" w:cs="Times New Roman"/>
                  <w:sz w:val="24"/>
                </w:rPr>
              </m:ctrlPr>
            </m:den>
          </m:f>
        </m:oMath>
      </m:oMathPara>
    </w:p>
    <w:p>
      <w:pPr>
        <w:spacing w:before="156" w:beforeLines="50" w:after="156" w:afterLines="50" w:line="360" w:lineRule="auto"/>
        <w:ind w:firstLine="420" w:firstLineChars="0"/>
        <w:rPr>
          <w:rFonts w:hint="default" w:ascii="Times New Roman Bold Italic" w:hAnsi="Times New Roman Bold Italic" w:eastAsia="等线" w:cs="Times New Roman Bold Italic"/>
          <w:b/>
          <w:bCs/>
          <w:i/>
          <w:iCs/>
          <w:sz w:val="24"/>
          <w:szCs w:val="24"/>
        </w:rPr>
      </w:pPr>
      <w:r>
        <w:rPr>
          <w:rFonts w:hint="eastAsia" w:ascii="Times New Roman" w:hAnsi="Times New Roman" w:eastAsia="等线" w:cs="Times New Roman"/>
          <w:sz w:val="24"/>
        </w:rPr>
        <w:t>H</w:t>
      </w:r>
      <w:r>
        <w:rPr>
          <w:rFonts w:ascii="Times New Roman" w:hAnsi="Times New Roman" w:eastAsia="等线" w:cs="Times New Roman"/>
          <w:sz w:val="24"/>
        </w:rPr>
        <w:t>ere, TP indicates the number of true positives, FP indicates the number of false positives, TN indicates the number of true negatives, and FN indicates the number of false negatives.</w:t>
      </w:r>
    </w:p>
    <w:p>
      <w:pPr>
        <w:spacing w:before="156" w:beforeLines="50" w:after="156" w:afterLines="50" w:line="360" w:lineRule="auto"/>
        <w:rPr>
          <w:rFonts w:hint="default" w:ascii="Times New Roman Bold" w:hAnsi="Times New Roman Bold" w:eastAsia="等线" w:cs="Times New Roman Bold"/>
          <w:b/>
          <w:bCs/>
          <w:i w:val="0"/>
          <w:iCs w:val="0"/>
          <w:sz w:val="24"/>
          <w:szCs w:val="24"/>
        </w:rPr>
      </w:pPr>
    </w:p>
    <w:p>
      <w:pPr>
        <w:spacing w:before="156" w:beforeLines="50" w:after="156" w:afterLines="50" w:line="360" w:lineRule="auto"/>
        <w:rPr>
          <w:rFonts w:hint="default" w:ascii="Times New Roman Bold" w:hAnsi="Times New Roman Bold" w:eastAsia="等线" w:cs="Times New Roman Bold"/>
          <w:b/>
          <w:bCs/>
          <w:i w:val="0"/>
          <w:iCs w:val="0"/>
          <w:sz w:val="24"/>
          <w:szCs w:val="24"/>
        </w:rPr>
      </w:pPr>
      <w:r>
        <w:rPr>
          <w:rFonts w:hint="default" w:ascii="Times New Roman Bold" w:hAnsi="Times New Roman Bold" w:eastAsia="等线" w:cs="Times New Roman Bold"/>
          <w:b/>
          <w:bCs/>
          <w:i w:val="0"/>
          <w:iCs w:val="0"/>
          <w:sz w:val="24"/>
          <w:szCs w:val="24"/>
        </w:rPr>
        <w:t>Section 3: Clinical WGS and mNGS data of paired samples for RVFScan evaluation</w:t>
      </w:r>
    </w:p>
    <w:p>
      <w:pPr>
        <w:spacing w:after="312" w:afterLines="100" w:line="360" w:lineRule="auto"/>
        <w:rPr>
          <w:rFonts w:ascii="Times New Roman" w:hAnsi="Times New Roman" w:eastAsia="等线" w:cs="Times New Roman"/>
          <w:sz w:val="24"/>
        </w:rPr>
      </w:pPr>
      <w:r>
        <w:rPr>
          <w:rFonts w:hint="default" w:ascii="Times New Roman" w:hAnsi="Times New Roman" w:eastAsia="等线" w:cs="Times New Roman"/>
          <w:b w:val="0"/>
          <w:bCs w:val="0"/>
          <w:i w:val="0"/>
          <w:iCs w:val="0"/>
          <w:sz w:val="24"/>
          <w:szCs w:val="24"/>
        </w:rPr>
        <w:t xml:space="preserve">Six paired </w:t>
      </w:r>
      <w:r>
        <w:rPr>
          <w:rFonts w:ascii="Times New Roman" w:hAnsi="Times New Roman" w:eastAsia="等线" w:cs="Times New Roman"/>
          <w:sz w:val="24"/>
        </w:rPr>
        <w:t xml:space="preserve">mNGS and whole-genome sequencing (WGS) samples were collected to evaluate the performance of assembly-free RVFScan in the VFG assay. </w:t>
      </w:r>
      <w:r>
        <w:rPr>
          <w:rFonts w:hint="eastAsia" w:ascii="Times New Roman" w:hAnsi="Times New Roman" w:eastAsia="等线" w:cs="Times New Roman"/>
          <w:sz w:val="24"/>
        </w:rPr>
        <w:t>Each of t</w:t>
      </w:r>
      <w:r>
        <w:rPr>
          <w:rFonts w:ascii="Times New Roman" w:hAnsi="Times New Roman" w:eastAsia="等线" w:cs="Times New Roman"/>
          <w:sz w:val="24"/>
        </w:rPr>
        <w:t xml:space="preserve">he </w:t>
      </w:r>
      <w:r>
        <w:rPr>
          <w:rFonts w:hint="eastAsia" w:ascii="Times New Roman" w:hAnsi="Times New Roman" w:eastAsia="等线" w:cs="Times New Roman"/>
          <w:sz w:val="24"/>
        </w:rPr>
        <w:t xml:space="preserve">paired mNGS and WGS </w:t>
      </w:r>
      <w:r>
        <w:rPr>
          <w:rFonts w:ascii="Times New Roman" w:hAnsi="Times New Roman" w:eastAsia="等线" w:cs="Times New Roman"/>
          <w:sz w:val="24"/>
        </w:rPr>
        <w:t>samples</w:t>
      </w:r>
      <w:r>
        <w:rPr>
          <w:rFonts w:hint="eastAsia" w:ascii="Times New Roman" w:hAnsi="Times New Roman" w:eastAsia="等线" w:cs="Times New Roman"/>
          <w:sz w:val="24"/>
        </w:rPr>
        <w:t xml:space="preserve"> </w:t>
      </w:r>
      <w:r>
        <w:rPr>
          <w:rFonts w:ascii="Times New Roman" w:hAnsi="Times New Roman" w:eastAsia="等线" w:cs="Times New Roman"/>
          <w:sz w:val="24"/>
        </w:rPr>
        <w:t>was analyzed for at least one of the four pathogens (</w:t>
      </w:r>
      <w:r>
        <w:rPr>
          <w:rFonts w:ascii="Times New Roman" w:hAnsi="Times New Roman" w:eastAsia="等线" w:cs="Times New Roman"/>
          <w:i/>
          <w:iCs/>
          <w:sz w:val="24"/>
        </w:rPr>
        <w:t>P. aeruginosa, S. aureus, K. pneumoniae, and A. baumannii</w:t>
      </w:r>
      <w:r>
        <w:rPr>
          <w:rFonts w:ascii="Times New Roman" w:hAnsi="Times New Roman" w:eastAsia="等线" w:cs="Times New Roman"/>
          <w:i w:val="0"/>
          <w:iCs w:val="0"/>
          <w:sz w:val="24"/>
        </w:rPr>
        <w:t xml:space="preserve">) </w:t>
      </w:r>
      <w:r>
        <w:rPr>
          <w:rFonts w:ascii="Times New Roman" w:hAnsi="Times New Roman" w:eastAsia="等线" w:cs="Times New Roman"/>
          <w:sz w:val="24"/>
        </w:rPr>
        <w:t>by PACESeq v1.2</w:t>
      </w:r>
      <w:r>
        <w:rPr>
          <w:rFonts w:hint="eastAsia" w:ascii="Times New Roman" w:hAnsi="Times New Roman" w:eastAsia="等线" w:cs="Times New Roman"/>
          <w:sz w:val="24"/>
        </w:rPr>
        <w:t xml:space="preserve"> (Hugobiotech, Beijing, China)</w:t>
      </w:r>
      <w:r>
        <w:rPr>
          <w:rFonts w:hint="default" w:ascii="Times New Roman" w:hAnsi="Times New Roman" w:eastAsia="等线" w:cs="Times New Roman"/>
          <w:sz w:val="24"/>
        </w:rPr>
        <w:t xml:space="preserve"> </w:t>
      </w:r>
      <w:r>
        <w:rPr>
          <w:rFonts w:ascii="Times New Roman" w:hAnsi="Times New Roman" w:eastAsia="等线" w:cs="Times New Roman"/>
          <w:sz w:val="24"/>
        </w:rPr>
        <w:t>and Kraken2. Adapters and short or low-quality reads were removed using FASTP</w:t>
      </w:r>
      <w:r>
        <w:rPr>
          <w:rFonts w:hint="eastAsia" w:ascii="Times New Roman" w:hAnsi="Times New Roman" w:eastAsia="等线" w:cs="Times New Roman"/>
          <w:sz w:val="24"/>
        </w:rPr>
        <w:t xml:space="preserve"> </w:t>
      </w:r>
      <w:r>
        <w:rPr>
          <w:rFonts w:ascii="Times New Roman" w:hAnsi="Times New Roman" w:eastAsia="等线" w:cs="Times New Roman"/>
          <w:sz w:val="24"/>
        </w:rPr>
        <w:t>with the following parameters: "-c -q 20 -u 40 -n 5 -e 2</w:t>
      </w:r>
      <w:r>
        <w:rPr>
          <w:rFonts w:hint="eastAsia" w:ascii="Times New Roman" w:hAnsi="Times New Roman" w:eastAsia="等线" w:cs="Times New Roman"/>
          <w:sz w:val="24"/>
        </w:rPr>
        <w:t>-1</w:t>
      </w:r>
      <w:r>
        <w:rPr>
          <w:rFonts w:ascii="Times New Roman" w:hAnsi="Times New Roman" w:eastAsia="等线" w:cs="Times New Roman"/>
          <w:sz w:val="24"/>
        </w:rPr>
        <w:t xml:space="preserve"> </w:t>
      </w:r>
      <w:r>
        <w:rPr>
          <w:rFonts w:hint="eastAsia" w:ascii="Times New Roman" w:hAnsi="Times New Roman" w:eastAsia="等线" w:cs="Times New Roman"/>
          <w:sz w:val="24"/>
        </w:rPr>
        <w:t>45</w:t>
      </w:r>
      <w:r>
        <w:rPr>
          <w:rFonts w:ascii="Times New Roman" w:hAnsi="Times New Roman" w:eastAsia="等线" w:cs="Times New Roman"/>
          <w:sz w:val="24"/>
        </w:rPr>
        <w:t xml:space="preserve"> --cut_right --cut_mean_quality 20 --cut_window_size 5 --trim_poly_x". The </w:t>
      </w:r>
      <w:r>
        <w:rPr>
          <w:rFonts w:hint="eastAsia" w:ascii="Times New Roman" w:hAnsi="Times New Roman" w:eastAsia="等线" w:cs="Times New Roman"/>
          <w:sz w:val="24"/>
        </w:rPr>
        <w:t>qua</w:t>
      </w:r>
      <w:r>
        <w:rPr>
          <w:rFonts w:ascii="Times New Roman" w:hAnsi="Times New Roman" w:eastAsia="等线" w:cs="Times New Roman"/>
          <w:sz w:val="24"/>
        </w:rPr>
        <w:t>lified WGS reads were assembled into contigs or scaffolds using SPADES (v3.13.0) with default parameters. These assembled sequences were mapped to the local VFG database by BLAST with parameters of identity &gt;90</w:t>
      </w:r>
      <w:r>
        <w:rPr>
          <w:rFonts w:hint="eastAsia" w:ascii="Times New Roman" w:hAnsi="Times New Roman" w:eastAsia="等线" w:cs="Times New Roman"/>
          <w:sz w:val="24"/>
        </w:rPr>
        <w:t>%</w:t>
      </w:r>
      <w:r>
        <w:rPr>
          <w:rFonts w:ascii="Times New Roman" w:hAnsi="Times New Roman" w:eastAsia="等线" w:cs="Times New Roman"/>
          <w:sz w:val="24"/>
        </w:rPr>
        <w:t xml:space="preserve"> and coverage &gt;60</w:t>
      </w:r>
      <w:r>
        <w:rPr>
          <w:rFonts w:hint="eastAsia" w:ascii="Times New Roman" w:hAnsi="Times New Roman" w:eastAsia="等线" w:cs="Times New Roman"/>
          <w:sz w:val="24"/>
        </w:rPr>
        <w:t>%</w:t>
      </w:r>
      <w:r>
        <w:rPr>
          <w:rFonts w:ascii="Times New Roman" w:hAnsi="Times New Roman" w:eastAsia="等线" w:cs="Times New Roman"/>
          <w:sz w:val="24"/>
        </w:rPr>
        <w:t xml:space="preserve"> for VFG prediction</w:t>
      </w:r>
      <w:r>
        <w:rPr>
          <w:rFonts w:hint="eastAsia" w:ascii="Times New Roman" w:hAnsi="Times New Roman" w:eastAsia="等线" w:cs="Times New Roman"/>
          <w:sz w:val="24"/>
        </w:rPr>
        <w:t xml:space="preserve">, whereas </w:t>
      </w:r>
      <w:r>
        <w:rPr>
          <w:rFonts w:ascii="Times New Roman" w:hAnsi="Times New Roman" w:eastAsia="等线" w:cs="Times New Roman"/>
          <w:sz w:val="24"/>
        </w:rPr>
        <w:t>mNGS data w</w:t>
      </w:r>
      <w:r>
        <w:rPr>
          <w:rFonts w:hint="eastAsia" w:ascii="Times New Roman" w:hAnsi="Times New Roman" w:eastAsia="等线" w:cs="Times New Roman"/>
          <w:sz w:val="24"/>
        </w:rPr>
        <w:t>ere</w:t>
      </w:r>
      <w:r>
        <w:rPr>
          <w:rFonts w:ascii="Times New Roman" w:hAnsi="Times New Roman" w:eastAsia="等线" w:cs="Times New Roman"/>
          <w:sz w:val="24"/>
        </w:rPr>
        <w:t xml:space="preserve"> predicted by RVFScan using default parameters.</w:t>
      </w:r>
    </w:p>
    <w:p>
      <w:pPr>
        <w:spacing w:after="312" w:afterLines="100" w:line="360" w:lineRule="auto"/>
        <w:rPr>
          <w:rFonts w:ascii="Times New Roman" w:hAnsi="Times New Roman" w:eastAsia="等线" w:cs="Times New Roman"/>
          <w:sz w:val="24"/>
        </w:rPr>
      </w:pPr>
    </w:p>
    <w:p>
      <w:pPr>
        <w:spacing w:before="156" w:beforeLines="50" w:after="156" w:afterLines="50" w:line="360" w:lineRule="auto"/>
        <w:rPr>
          <w:rFonts w:hint="default" w:ascii="Times New Roman Bold" w:hAnsi="Times New Roman Bold" w:eastAsia="等线" w:cs="Times New Roman Bold"/>
          <w:b/>
          <w:bCs/>
          <w:i w:val="0"/>
          <w:iCs w:val="0"/>
          <w:sz w:val="24"/>
        </w:rPr>
      </w:pPr>
      <w:r>
        <w:rPr>
          <w:rFonts w:hint="default" w:ascii="Times New Roman Bold" w:hAnsi="Times New Roman Bold" w:eastAsia="等线" w:cs="Times New Roman Bold"/>
          <w:b/>
          <w:bCs/>
          <w:i w:val="0"/>
          <w:iCs w:val="0"/>
          <w:sz w:val="24"/>
        </w:rPr>
        <w:t>Section 4: Co-occurrence network</w:t>
      </w:r>
    </w:p>
    <w:p>
      <w:pPr>
        <w:spacing w:before="156" w:beforeLines="50" w:after="156" w:afterLines="50" w:line="360" w:lineRule="auto"/>
        <w:rPr>
          <w:rFonts w:ascii="Times New Roman" w:hAnsi="Times New Roman" w:eastAsia="等线" w:cs="Times New Roman"/>
          <w:sz w:val="24"/>
        </w:rPr>
      </w:pPr>
      <w:r>
        <w:rPr>
          <w:rFonts w:ascii="Times New Roman" w:hAnsi="Times New Roman" w:eastAsia="等线" w:cs="Times New Roman"/>
          <w:sz w:val="24"/>
        </w:rPr>
        <w:t xml:space="preserve">The co-occurrence network was inferred based on the Spearman correlation matrix constructed based on VFG abundance. </w:t>
      </w:r>
      <w:r>
        <w:rPr>
          <w:rFonts w:ascii="Times New Roman" w:hAnsi="Times New Roman" w:eastAsia="等线" w:cs="Times New Roman"/>
          <w:sz w:val="24"/>
          <w:szCs w:val="24"/>
        </w:rPr>
        <w:t>The VFG abundance was calculated using 16S reads (</w:t>
      </w:r>
      <w:r>
        <w:rPr>
          <w:rFonts w:hint="eastAsia" w:ascii="Times New Roman" w:hAnsi="Times New Roman" w:eastAsia="等线" w:cs="Times New Roman"/>
          <w:sz w:val="24"/>
          <w:szCs w:val="24"/>
        </w:rPr>
        <w:t>SILVA</w:t>
      </w:r>
      <w:r>
        <w:rPr>
          <w:rFonts w:ascii="Times New Roman" w:hAnsi="Times New Roman" w:eastAsia="等线" w:cs="Times New Roman"/>
          <w:sz w:val="24"/>
          <w:szCs w:val="24"/>
        </w:rPr>
        <w:t xml:space="preserve"> </w:t>
      </w:r>
      <w:r>
        <w:rPr>
          <w:rFonts w:hint="eastAsia" w:ascii="Times New Roman" w:hAnsi="Times New Roman" w:eastAsia="等线" w:cs="Times New Roman"/>
          <w:sz w:val="24"/>
          <w:szCs w:val="24"/>
        </w:rPr>
        <w:t>v138.1</w:t>
      </w:r>
      <w:r>
        <w:rPr>
          <w:rFonts w:ascii="Times New Roman" w:hAnsi="Times New Roman" w:eastAsia="等线" w:cs="Times New Roman"/>
          <w:sz w:val="24"/>
          <w:szCs w:val="24"/>
        </w:rPr>
        <w:t xml:space="preserve">) </w:t>
      </w:r>
      <w:r>
        <w:rPr>
          <w:rFonts w:hint="eastAsia" w:ascii="Times New Roman" w:hAnsi="Times New Roman" w:eastAsia="等线" w:cs="Times New Roman"/>
          <w:sz w:val="24"/>
          <w:szCs w:val="24"/>
        </w:rPr>
        <w:t>as</w:t>
      </w:r>
      <w:r>
        <w:rPr>
          <w:rFonts w:ascii="Times New Roman" w:hAnsi="Times New Roman" w:eastAsia="等线" w:cs="Times New Roman"/>
          <w:sz w:val="24"/>
          <w:szCs w:val="24"/>
        </w:rPr>
        <w:t xml:space="preserve"> previously des</w:t>
      </w:r>
      <w:r>
        <w:rPr>
          <w:rFonts w:ascii="Times New Roman" w:hAnsi="Times New Roman" w:eastAsia="等线" w:cs="Times New Roman"/>
          <w:sz w:val="24"/>
          <w:szCs w:val="24"/>
          <w:highlight w:val="none"/>
        </w:rPr>
        <w:t xml:space="preserve">cribed </w:t>
      </w:r>
      <w:r>
        <w:rPr>
          <w:rFonts w:ascii="Times New Roman" w:hAnsi="Times New Roman" w:eastAsia="等线" w:cs="Times New Roman"/>
          <w:sz w:val="24"/>
          <w:szCs w:val="24"/>
          <w:highlight w:val="none"/>
          <w:vertAlign w:val="superscript"/>
        </w:rPr>
        <w:t>27</w:t>
      </w:r>
      <w:r>
        <w:rPr>
          <w:rFonts w:ascii="Times New Roman" w:hAnsi="Times New Roman" w:eastAsia="等线" w:cs="Times New Roman"/>
          <w:sz w:val="24"/>
          <w:szCs w:val="24"/>
          <w:highlight w:val="none"/>
        </w:rPr>
        <w:t>.</w:t>
      </w:r>
    </w:p>
    <w:p>
      <w:pPr>
        <w:spacing w:before="156" w:beforeLines="50" w:after="156" w:afterLines="50" w:line="360" w:lineRule="auto"/>
        <w:jc w:val="center"/>
        <w:rPr>
          <w:rFonts w:ascii="Times New Roman" w:hAnsi="Times New Roman" w:eastAsia="等线" w:cs="Times New Roman"/>
          <w:sz w:val="24"/>
        </w:rPr>
      </w:pPr>
      <w:r>
        <w:rPr>
          <w:rFonts w:hint="eastAsia" w:ascii="Times New Roman" w:hAnsi="Times New Roman" w:eastAsia="等线" w:cs="Times New Roman"/>
          <w:position w:val="-62"/>
          <w:sz w:val="24"/>
        </w:rPr>
        <w:object>
          <v:shape id="_x0000_i1025" o:spt="75" type="#_x0000_t75" style="height:64.25pt;width:163.6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p>
    <w:p>
      <w:pPr>
        <w:spacing w:after="312" w:afterLines="100" w:line="360" w:lineRule="auto"/>
        <w:ind w:firstLine="420" w:firstLineChars="0"/>
        <w:rPr>
          <w:rFonts w:hint="eastAsia" w:ascii="Times New Roman" w:hAnsi="Times New Roman" w:eastAsia="等线" w:cs="Times New Roman"/>
          <w:position w:val="-64"/>
          <w:sz w:val="24"/>
        </w:rPr>
      </w:pPr>
      <w:r>
        <w:rPr>
          <w:rFonts w:hint="eastAsia" w:ascii="Times New Roman" w:hAnsi="Times New Roman" w:eastAsia="等线" w:cs="Times New Roman"/>
          <w:position w:val="-64"/>
          <w:sz w:val="24"/>
        </w:rPr>
        <w:object>
          <v:shape id="_x0000_i1026" o:spt="75" type="#_x0000_t75" style="height:66.15pt;width:260.8pt;" o:ole="t" filled="f" o:preferrelative="t" stroked="f" coordsize="21600,21600">
            <v:path/>
            <v:fill on="f" focussize="0,0"/>
            <v:stroke on="f"/>
            <v:imagedata r:id="rId7" o:title=""/>
            <o:lock v:ext="edit" aspectratio="t"/>
            <w10:wrap type="none"/>
            <w10:anchorlock/>
          </v:shape>
          <o:OLEObject Type="Embed" ProgID="Equation.KSEE3" ShapeID="_x0000_i1026" DrawAspect="Content" ObjectID="_1468075726" r:id="rId6">
            <o:LockedField>false</o:LockedField>
          </o:OLEObject>
        </w:object>
      </w:r>
    </w:p>
    <w:p>
      <w:pPr>
        <w:spacing w:after="312" w:afterLines="100" w:line="360" w:lineRule="auto"/>
        <w:ind w:firstLine="420" w:firstLineChars="0"/>
        <w:rPr>
          <w:rFonts w:ascii="Times New Roman" w:hAnsi="Times New Roman" w:eastAsia="等线" w:cs="Times New Roman"/>
          <w:sz w:val="24"/>
          <w:szCs w:val="24"/>
        </w:rPr>
      </w:pPr>
      <w:r>
        <w:rPr>
          <w:rFonts w:ascii="Times New Roman" w:hAnsi="Times New Roman" w:eastAsia="等线" w:cs="Times New Roman"/>
          <w:sz w:val="24"/>
          <w:szCs w:val="24"/>
        </w:rPr>
        <w:t xml:space="preserve">The co-occurrence network was visualized with CytoScape v3.8.2. </w:t>
      </w:r>
      <w:r>
        <w:rPr>
          <w:rFonts w:ascii="Times New Roman" w:hAnsi="Times New Roman" w:eastAsia="等线" w:cs="Times New Roman"/>
          <w:sz w:val="24"/>
        </w:rPr>
        <w:t xml:space="preserve">As shown in </w:t>
      </w:r>
      <w:r>
        <w:rPr>
          <w:rFonts w:ascii="Times New Roman" w:hAnsi="Times New Roman" w:eastAsia="等线" w:cs="Times New Roman"/>
          <w:color w:val="0000FF"/>
          <w:sz w:val="24"/>
        </w:rPr>
        <w:t>Fig</w:t>
      </w:r>
      <w:r>
        <w:rPr>
          <w:rFonts w:ascii="Times New Roman" w:hAnsi="Times New Roman" w:eastAsia="等线" w:cs="Times New Roman"/>
          <w:color w:val="0000FF"/>
          <w:sz w:val="24"/>
        </w:rPr>
        <w:t>.</w:t>
      </w:r>
      <w:r>
        <w:rPr>
          <w:rFonts w:ascii="Times New Roman" w:hAnsi="Times New Roman" w:eastAsia="等线" w:cs="Times New Roman"/>
          <w:color w:val="0000FF"/>
          <w:sz w:val="24"/>
        </w:rPr>
        <w:t xml:space="preserve"> </w:t>
      </w:r>
      <w:r>
        <w:rPr>
          <w:rFonts w:ascii="Times New Roman" w:hAnsi="Times New Roman" w:eastAsia="等线" w:cs="Times New Roman"/>
          <w:color w:val="0000FF"/>
          <w:sz w:val="24"/>
        </w:rPr>
        <w:t>S4</w:t>
      </w:r>
      <w:r>
        <w:rPr>
          <w:rFonts w:ascii="Times New Roman" w:hAnsi="Times New Roman" w:eastAsia="等线" w:cs="Times New Roman"/>
          <w:sz w:val="24"/>
        </w:rPr>
        <w:t>, t</w:t>
      </w:r>
      <w:r>
        <w:rPr>
          <w:rFonts w:ascii="Times New Roman" w:hAnsi="Times New Roman" w:eastAsia="等线" w:cs="Times New Roman"/>
          <w:sz w:val="24"/>
          <w:szCs w:val="24"/>
        </w:rPr>
        <w:t xml:space="preserve">he nodes in </w:t>
      </w:r>
      <w:r>
        <w:rPr>
          <w:rFonts w:hint="eastAsia" w:ascii="Times New Roman" w:hAnsi="Times New Roman" w:eastAsia="等线" w:cs="Times New Roman"/>
          <w:sz w:val="24"/>
          <w:szCs w:val="24"/>
        </w:rPr>
        <w:t>t</w:t>
      </w:r>
      <w:r>
        <w:rPr>
          <w:rFonts w:ascii="Times New Roman" w:hAnsi="Times New Roman" w:eastAsia="等线" w:cs="Times New Roman"/>
          <w:sz w:val="24"/>
          <w:szCs w:val="24"/>
        </w:rPr>
        <w:t xml:space="preserve">he co-occurrence network represented the VFGs, and the edges </w:t>
      </w:r>
      <w:r>
        <w:rPr>
          <w:rFonts w:hint="eastAsia" w:ascii="Times New Roman" w:hAnsi="Times New Roman" w:eastAsia="等线" w:cs="Times New Roman"/>
          <w:sz w:val="24"/>
          <w:szCs w:val="24"/>
        </w:rPr>
        <w:t>connecting</w:t>
      </w:r>
      <w:r>
        <w:rPr>
          <w:rFonts w:ascii="Times New Roman" w:hAnsi="Times New Roman" w:eastAsia="等线" w:cs="Times New Roman"/>
          <w:sz w:val="24"/>
          <w:szCs w:val="24"/>
        </w:rPr>
        <w:t xml:space="preserve"> these nodes represented the co-occurrence relations between these VFGs. </w:t>
      </w:r>
      <w:r>
        <w:rPr>
          <w:rFonts w:ascii="Times New Roman" w:hAnsi="Times New Roman" w:eastAsia="等线" w:cs="Times New Roman"/>
          <w:sz w:val="24"/>
        </w:rPr>
        <w:t xml:space="preserve">Namely, two VFGs detected in the same sample were considered “co-occurrence”. The cutoff of the FDR-adjusted p value was 0.05. The cutoff of the correlation coefficients was determined to be 0.7 through random matrix theory-based methods. </w:t>
      </w:r>
      <w:r>
        <w:rPr>
          <w:rFonts w:ascii="Times New Roman" w:hAnsi="Times New Roman" w:eastAsia="等线" w:cs="Times New Roman"/>
          <w:sz w:val="24"/>
          <w:szCs w:val="24"/>
        </w:rPr>
        <w:t>The VFGs of each target pathogenic bacterium were divided into six VF</w:t>
      </w:r>
      <w:r>
        <w:rPr>
          <w:rFonts w:hint="eastAsia" w:ascii="Times New Roman" w:hAnsi="Times New Roman" w:eastAsia="等线" w:cs="Times New Roman"/>
          <w:sz w:val="24"/>
          <w:szCs w:val="24"/>
        </w:rPr>
        <w:t xml:space="preserve"> function </w:t>
      </w:r>
      <w:r>
        <w:rPr>
          <w:rFonts w:ascii="Times New Roman" w:hAnsi="Times New Roman" w:eastAsia="等线" w:cs="Times New Roman"/>
          <w:sz w:val="24"/>
          <w:szCs w:val="24"/>
        </w:rPr>
        <w:t>modules: adherence, enzyme, evasion &amp; resistance, nutrient, secretion system</w:t>
      </w:r>
      <w:r>
        <w:rPr>
          <w:rFonts w:hint="eastAsia" w:ascii="Times New Roman" w:hAnsi="Times New Roman" w:eastAsia="等线" w:cs="Times New Roman"/>
          <w:sz w:val="24"/>
          <w:szCs w:val="24"/>
        </w:rPr>
        <w:t xml:space="preserve"> </w:t>
      </w:r>
      <w:r>
        <w:rPr>
          <w:rFonts w:ascii="Times New Roman" w:hAnsi="Times New Roman" w:eastAsia="等线" w:cs="Times New Roman"/>
          <w:sz w:val="24"/>
          <w:szCs w:val="24"/>
        </w:rPr>
        <w:t>and toxin.</w:t>
      </w:r>
    </w:p>
    <w:p>
      <w:pPr>
        <w:spacing w:before="156" w:beforeLines="50" w:after="156" w:afterLines="50" w:line="360" w:lineRule="auto"/>
        <w:rPr>
          <w:rFonts w:hint="default" w:ascii="Times New Roman Bold" w:hAnsi="Times New Roman Bold" w:eastAsia="等线" w:cs="Times New Roman Bold"/>
          <w:b/>
          <w:bCs/>
          <w:i w:val="0"/>
          <w:iCs w:val="0"/>
          <w:sz w:val="24"/>
        </w:rPr>
      </w:pPr>
      <w:bookmarkStart w:id="2" w:name="_Hlk91773613"/>
      <w:r>
        <w:rPr>
          <w:rFonts w:hint="default" w:ascii="Times New Roman Bold" w:hAnsi="Times New Roman Bold" w:eastAsia="等线" w:cs="Times New Roman Bold"/>
          <w:b/>
          <w:bCs/>
          <w:i w:val="0"/>
          <w:iCs w:val="0"/>
          <w:sz w:val="24"/>
        </w:rPr>
        <w:t>Section 5: Clinical hvKp identification</w:t>
      </w:r>
    </w:p>
    <w:p>
      <w:pPr>
        <w:spacing w:before="156" w:beforeLines="50" w:after="156" w:afterLines="50" w:line="360" w:lineRule="auto"/>
        <w:rPr>
          <w:rFonts w:hint="default" w:ascii="Times New Roman Bold Italic" w:hAnsi="Times New Roman Bold Italic" w:eastAsia="等线" w:cs="Times New Roman Bold Italic"/>
          <w:b/>
          <w:bCs/>
          <w:i/>
          <w:iCs/>
          <w:sz w:val="24"/>
          <w:szCs w:val="24"/>
        </w:rPr>
      </w:pPr>
      <w:r>
        <w:rPr>
          <w:rFonts w:hint="default" w:ascii="Times New Roman Bold Italic" w:hAnsi="Times New Roman Bold Italic" w:eastAsia="等线" w:cs="Times New Roman Bold Italic"/>
          <w:b/>
          <w:bCs/>
          <w:i/>
          <w:iCs/>
          <w:sz w:val="24"/>
          <w:szCs w:val="24"/>
        </w:rPr>
        <w:t>hvKp-like score based on RVFScan and assembly-free clinical metagenomic data</w:t>
      </w:r>
    </w:p>
    <w:p>
      <w:pPr>
        <w:spacing w:after="312" w:afterLines="100" w:line="360" w:lineRule="auto"/>
        <w:rPr>
          <w:rFonts w:ascii="Times New Roman" w:hAnsi="Times New Roman" w:eastAsia="等线" w:cs="Times New Roman"/>
          <w:sz w:val="24"/>
          <w:szCs w:val="24"/>
        </w:rPr>
      </w:pPr>
      <w:r>
        <w:rPr>
          <w:rFonts w:hint="eastAsia" w:ascii="Times New Roman" w:hAnsi="Times New Roman" w:eastAsia="等线" w:cs="Times New Roman"/>
          <w:sz w:val="24"/>
        </w:rPr>
        <w:t xml:space="preserve">The </w:t>
      </w:r>
      <w:r>
        <w:rPr>
          <w:rFonts w:ascii="Times New Roman" w:hAnsi="Times New Roman" w:eastAsia="等线" w:cs="Times New Roman"/>
          <w:sz w:val="24"/>
        </w:rPr>
        <w:t xml:space="preserve">previously published and tagged hvKp strains were defined mainly based on a positive </w:t>
      </w:r>
      <w:r>
        <w:rPr>
          <w:rFonts w:hint="eastAsia" w:ascii="Times New Roman" w:hAnsi="Times New Roman" w:eastAsia="等线" w:cs="Times New Roman"/>
          <w:sz w:val="24"/>
        </w:rPr>
        <w:t>string test, carr</w:t>
      </w:r>
      <w:r>
        <w:rPr>
          <w:rFonts w:hint="default" w:ascii="Times New Roman" w:hAnsi="Times New Roman" w:eastAsia="等线" w:cs="Times New Roman"/>
          <w:sz w:val="24"/>
        </w:rPr>
        <w:t>irage of</w:t>
      </w:r>
      <w:r>
        <w:rPr>
          <w:rFonts w:hint="eastAsia" w:ascii="Times New Roman" w:hAnsi="Times New Roman" w:eastAsia="等线" w:cs="Times New Roman"/>
          <w:sz w:val="24"/>
        </w:rPr>
        <w:t xml:space="preserve"> several VFGs, </w:t>
      </w:r>
      <w:r>
        <w:rPr>
          <w:rFonts w:hint="default" w:ascii="Times New Roman" w:hAnsi="Times New Roman" w:eastAsia="等线" w:cs="Times New Roman"/>
          <w:sz w:val="24"/>
        </w:rPr>
        <w:t xml:space="preserve">a </w:t>
      </w:r>
      <w:r>
        <w:rPr>
          <w:rFonts w:hint="eastAsia" w:ascii="Times New Roman" w:hAnsi="Times New Roman" w:eastAsia="等线" w:cs="Times New Roman"/>
          <w:sz w:val="24"/>
        </w:rPr>
        <w:t>wax moth (</w:t>
      </w:r>
      <w:r>
        <w:rPr>
          <w:rFonts w:ascii="Times New Roman" w:hAnsi="Times New Roman" w:eastAsia="等线" w:cs="Times New Roman"/>
          <w:i/>
          <w:iCs/>
          <w:sz w:val="24"/>
        </w:rPr>
        <w:t>Galleria mellonella</w:t>
      </w:r>
      <w:r>
        <w:rPr>
          <w:rFonts w:hint="eastAsia" w:ascii="Times New Roman" w:hAnsi="Times New Roman" w:eastAsia="等线" w:cs="Times New Roman"/>
          <w:sz w:val="24"/>
        </w:rPr>
        <w:t xml:space="preserve">) larva infection model, </w:t>
      </w:r>
      <w:r>
        <w:rPr>
          <w:rFonts w:hint="default" w:ascii="Times New Roman" w:hAnsi="Times New Roman" w:eastAsia="等线" w:cs="Times New Roman"/>
          <w:sz w:val="24"/>
        </w:rPr>
        <w:t xml:space="preserve">a </w:t>
      </w:r>
      <w:r>
        <w:rPr>
          <w:rFonts w:hint="eastAsia" w:ascii="Times New Roman" w:hAnsi="Times New Roman" w:eastAsia="等线" w:cs="Times New Roman"/>
          <w:sz w:val="24"/>
        </w:rPr>
        <w:t>m</w:t>
      </w:r>
      <w:r>
        <w:rPr>
          <w:rFonts w:hint="default" w:ascii="Times New Roman" w:hAnsi="Times New Roman" w:eastAsia="等线" w:cs="Times New Roman"/>
          <w:sz w:val="24"/>
        </w:rPr>
        <w:t>ouse</w:t>
      </w:r>
      <w:r>
        <w:rPr>
          <w:rFonts w:hint="eastAsia" w:ascii="Times New Roman" w:hAnsi="Times New Roman" w:eastAsia="等线" w:cs="Times New Roman"/>
          <w:sz w:val="24"/>
        </w:rPr>
        <w:t xml:space="preserve"> systemic infection model, </w:t>
      </w:r>
      <w:r>
        <w:rPr>
          <w:rFonts w:hint="default" w:ascii="Times New Roman" w:hAnsi="Times New Roman" w:eastAsia="等线" w:cs="Times New Roman"/>
          <w:sz w:val="24"/>
        </w:rPr>
        <w:t xml:space="preserve">a </w:t>
      </w:r>
      <w:r>
        <w:rPr>
          <w:rFonts w:hint="eastAsia" w:ascii="Times New Roman" w:hAnsi="Times New Roman" w:eastAsia="等线" w:cs="Times New Roman"/>
          <w:sz w:val="24"/>
        </w:rPr>
        <w:t xml:space="preserve">human neutrophil assay, or clinical </w:t>
      </w:r>
      <w:r>
        <w:fldChar w:fldCharType="begin"/>
      </w:r>
      <w:r>
        <w:instrText xml:space="preserve"> HYPERLINK "file:///D:/%25E8%25BD%25AF%25E4%25BB%25B6/Dict/8.10.3.0/resultui/html/index.html" \l "/javascript:;" </w:instrText>
      </w:r>
      <w:r>
        <w:fldChar w:fldCharType="separate"/>
      </w:r>
      <w:r>
        <w:rPr>
          <w:rFonts w:hint="eastAsia" w:ascii="Times New Roman" w:hAnsi="Times New Roman" w:eastAsia="等线" w:cs="Times New Roman"/>
          <w:sz w:val="24"/>
        </w:rPr>
        <w:t>feature</w:t>
      </w:r>
      <w:r>
        <w:rPr>
          <w:rFonts w:hint="eastAsia" w:ascii="Times New Roman" w:hAnsi="Times New Roman" w:eastAsia="等线" w:cs="Times New Roman"/>
          <w:sz w:val="24"/>
        </w:rPr>
        <w:fldChar w:fldCharType="end"/>
      </w:r>
      <w:r>
        <w:rPr>
          <w:rFonts w:hint="default" w:ascii="Times New Roman" w:hAnsi="Times New Roman" w:eastAsia="等线" w:cs="Times New Roman"/>
          <w:sz w:val="24"/>
        </w:rPr>
        <w:t>s</w:t>
      </w:r>
      <w:r>
        <w:rPr>
          <w:rFonts w:ascii="Times New Roman" w:hAnsi="Times New Roman" w:eastAsia="等线" w:cs="Times New Roman"/>
          <w:sz w:val="24"/>
          <w:szCs w:val="24"/>
        </w:rPr>
        <w:t xml:space="preserve">. </w:t>
      </w:r>
      <w:bookmarkEnd w:id="2"/>
      <w:r>
        <w:rPr>
          <w:rFonts w:ascii="Times New Roman" w:hAnsi="Times New Roman" w:eastAsia="等线" w:cs="Times New Roman"/>
          <w:sz w:val="24"/>
          <w:szCs w:val="24"/>
        </w:rPr>
        <w:t>We collected genomes of previously published hvKp (166) and cKp (241) strains from the NCBI public database. After VFG annotation, there was a significant difference between the two groups in the detection rates of 53 VFGs in seven VFs</w:t>
      </w:r>
      <w:r>
        <w:rPr>
          <w:rFonts w:hint="default" w:ascii="Times New Roman" w:hAnsi="Times New Roman" w:eastAsia="等线" w:cs="Times New Roman"/>
          <w:i w:val="0"/>
          <w:iCs w:val="0"/>
          <w:sz w:val="24"/>
          <w:szCs w:val="24"/>
        </w:rPr>
        <w:t xml:space="preserve"> (</w:t>
      </w:r>
      <w:r>
        <w:rPr>
          <w:rFonts w:ascii="Times New Roman" w:hAnsi="Times New Roman" w:eastAsia="等线" w:cs="Times New Roman"/>
          <w:sz w:val="24"/>
        </w:rPr>
        <w:t xml:space="preserve">the difference in detection rates was &gt; 0.3, </w:t>
      </w:r>
      <w:r>
        <w:rPr>
          <w:rFonts w:ascii="Times New Roman Italic" w:hAnsi="Times New Roman Italic" w:eastAsia="等线" w:cs="Times New Roman Italic"/>
          <w:i/>
          <w:iCs/>
          <w:sz w:val="24"/>
          <w:szCs w:val="24"/>
        </w:rPr>
        <w:t>P</w:t>
      </w:r>
      <w:r>
        <w:rPr>
          <w:rFonts w:ascii="Times New Roman" w:hAnsi="Times New Roman" w:eastAsia="等线" w:cs="Times New Roman"/>
          <w:sz w:val="24"/>
          <w:szCs w:val="24"/>
        </w:rPr>
        <w:t xml:space="preserve"> value &lt; 0.05, Fish’s test). Based on this set of differential VFGs, a weighted hvKp-like score was calculated to estimate the potential likelihood of hvKp in the mNGS samples, defined as the ratio of the sum of weighted gene detection rates to the expected value.</w:t>
      </w:r>
    </w:p>
    <w:p>
      <w:pPr>
        <w:spacing w:line="360" w:lineRule="auto"/>
        <w:ind w:firstLine="2160" w:firstLineChars="900"/>
        <w:rPr>
          <w:rFonts w:ascii="Times New Roman" w:hAnsi="Times New Roman" w:eastAsia="等线" w:cs="Times New Roman"/>
          <w:sz w:val="24"/>
          <w:szCs w:val="24"/>
        </w:rPr>
      </w:pPr>
      <m:oMathPara>
        <m:oMath>
          <m:r>
            <m:rPr>
              <m:sty m:val="p"/>
            </m:rPr>
            <w:rPr>
              <w:rFonts w:hint="eastAsia" w:ascii="Cambria Math" w:hAnsi="Cambria Math" w:eastAsia="等线" w:cs="Times New Roman"/>
              <w:sz w:val="24"/>
              <w:szCs w:val="24"/>
            </w:rPr>
            <m:t>h</m:t>
          </m:r>
          <m:r>
            <m:rPr>
              <m:sty m:val="p"/>
            </m:rPr>
            <w:rPr>
              <w:rFonts w:ascii="Cambria Math" w:hAnsi="Cambria Math" w:eastAsia="等线" w:cs="Times New Roman"/>
              <w:sz w:val="24"/>
              <w:szCs w:val="24"/>
            </w:rPr>
            <m:t>pscore=</m:t>
          </m:r>
          <m:f>
            <m:fPr>
              <m:ctrlPr>
                <w:rPr>
                  <w:rFonts w:ascii="Cambria Math" w:hAnsi="Cambria Math" w:eastAsia="等线" w:cs="Times New Roman"/>
                  <w:sz w:val="24"/>
                  <w:szCs w:val="24"/>
                </w:rPr>
              </m:ctrlPr>
            </m:fPr>
            <m:num>
              <m:nary>
                <m:naryPr>
                  <m:chr m:val="∑"/>
                  <m:limLoc m:val="undOvr"/>
                  <m:ctrlPr>
                    <w:rPr>
                      <w:rFonts w:ascii="Cambria Math" w:hAnsi="Cambria Math" w:eastAsia="等线" w:cs="Times New Roman"/>
                      <w:sz w:val="24"/>
                      <w:szCs w:val="24"/>
                    </w:rPr>
                  </m:ctrlPr>
                </m:naryPr>
                <m:sub>
                  <m:r>
                    <m:rPr>
                      <m:sty m:val="p"/>
                    </m:rPr>
                    <w:rPr>
                      <w:rFonts w:ascii="Cambria Math" w:hAnsi="Cambria Math" w:eastAsia="等线" w:cs="Times New Roman"/>
                      <w:sz w:val="24"/>
                      <w:szCs w:val="24"/>
                    </w:rPr>
                    <m:t>i=1</m:t>
                  </m:r>
                  <m:ctrlPr>
                    <w:rPr>
                      <w:rFonts w:ascii="Cambria Math" w:hAnsi="Cambria Math" w:eastAsia="等线" w:cs="Times New Roman"/>
                      <w:sz w:val="24"/>
                      <w:szCs w:val="24"/>
                    </w:rPr>
                  </m:ctrlPr>
                </m:sub>
                <m:sup>
                  <m:r>
                    <m:rPr>
                      <m:sty m:val="p"/>
                    </m:rPr>
                    <w:rPr>
                      <w:rFonts w:ascii="Cambria Math" w:hAnsi="Cambria Math" w:eastAsia="等线" w:cs="Times New Roman"/>
                      <w:sz w:val="24"/>
                      <w:szCs w:val="24"/>
                    </w:rPr>
                    <m:t>n</m:t>
                  </m:r>
                  <m:ctrlPr>
                    <w:rPr>
                      <w:rFonts w:ascii="Cambria Math" w:hAnsi="Cambria Math" w:eastAsia="等线" w:cs="Times New Roman"/>
                      <w:sz w:val="24"/>
                      <w:szCs w:val="24"/>
                    </w:rPr>
                  </m:ctrlPr>
                </m:sup>
                <m:e>
                  <m:sSub>
                    <m:sSubPr>
                      <m:ctrlPr>
                        <w:rPr>
                          <w:rFonts w:ascii="Cambria Math" w:hAnsi="Cambria Math" w:eastAsia="等线" w:cs="Times New Roman"/>
                          <w:sz w:val="24"/>
                          <w:szCs w:val="24"/>
                        </w:rPr>
                      </m:ctrlPr>
                    </m:sSubPr>
                    <m:e>
                      <m:r>
                        <m:rPr>
                          <m:sty m:val="p"/>
                        </m:rPr>
                        <w:rPr>
                          <w:rFonts w:ascii="Cambria Math" w:hAnsi="Cambria Math" w:eastAsia="等线" w:cs="Times New Roman"/>
                          <w:sz w:val="24"/>
                          <w:szCs w:val="24"/>
                        </w:rPr>
                        <m:t>w</m:t>
                      </m:r>
                      <m:ctrlPr>
                        <w:rPr>
                          <w:rFonts w:ascii="Cambria Math" w:hAnsi="Cambria Math" w:eastAsia="等线" w:cs="Times New Roman"/>
                          <w:sz w:val="24"/>
                          <w:szCs w:val="24"/>
                        </w:rPr>
                      </m:ctrlPr>
                    </m:e>
                    <m:sub>
                      <m:r>
                        <m:rPr>
                          <m:sty m:val="p"/>
                        </m:rPr>
                        <w:rPr>
                          <w:rFonts w:ascii="Cambria Math" w:hAnsi="Cambria Math" w:eastAsia="等线" w:cs="Times New Roman"/>
                          <w:sz w:val="24"/>
                          <w:szCs w:val="24"/>
                        </w:rPr>
                        <m:t>i</m:t>
                      </m:r>
                      <m:ctrlPr>
                        <w:rPr>
                          <w:rFonts w:ascii="Cambria Math" w:hAnsi="Cambria Math" w:eastAsia="等线" w:cs="Times New Roman"/>
                          <w:sz w:val="24"/>
                          <w:szCs w:val="24"/>
                        </w:rPr>
                      </m:ctrlPr>
                    </m:sub>
                  </m:sSub>
                  <m:r>
                    <m:rPr>
                      <m:sty m:val="p"/>
                    </m:rPr>
                    <w:rPr>
                      <w:rFonts w:ascii="Cambria Math" w:hAnsi="Cambria Math" w:eastAsia="等线" w:cs="Times New Roman"/>
                      <w:sz w:val="24"/>
                      <w:szCs w:val="24"/>
                    </w:rPr>
                    <m:t>×</m:t>
                  </m:r>
                  <m:sSub>
                    <m:sSubPr>
                      <m:ctrlPr>
                        <w:rPr>
                          <w:rFonts w:ascii="Cambria Math" w:hAnsi="Cambria Math" w:eastAsia="等线" w:cs="Times New Roman"/>
                          <w:sz w:val="24"/>
                          <w:szCs w:val="24"/>
                        </w:rPr>
                      </m:ctrlPr>
                    </m:sSubPr>
                    <m:e>
                      <m:r>
                        <m:rPr>
                          <m:sty m:val="p"/>
                        </m:rPr>
                        <w:rPr>
                          <w:rFonts w:hint="eastAsia" w:ascii="Cambria Math" w:hAnsi="Cambria Math" w:eastAsia="等线" w:cs="Times New Roman"/>
                          <w:sz w:val="24"/>
                          <w:szCs w:val="24"/>
                        </w:rPr>
                        <m:t>g</m:t>
                      </m:r>
                      <m:ctrlPr>
                        <w:rPr>
                          <w:rFonts w:ascii="Cambria Math" w:hAnsi="Cambria Math" w:eastAsia="等线" w:cs="Times New Roman"/>
                          <w:sz w:val="24"/>
                          <w:szCs w:val="24"/>
                        </w:rPr>
                      </m:ctrlPr>
                    </m:e>
                    <m:sub>
                      <m:r>
                        <m:rPr>
                          <m:sty m:val="p"/>
                        </m:rPr>
                        <w:rPr>
                          <w:rFonts w:hint="eastAsia" w:ascii="Cambria Math" w:hAnsi="Cambria Math" w:eastAsia="等线" w:cs="Times New Roman"/>
                          <w:sz w:val="24"/>
                          <w:szCs w:val="24"/>
                        </w:rPr>
                        <m:t>i</m:t>
                      </m:r>
                      <m:ctrlPr>
                        <w:rPr>
                          <w:rFonts w:ascii="Cambria Math" w:hAnsi="Cambria Math" w:eastAsia="等线" w:cs="Times New Roman"/>
                          <w:sz w:val="24"/>
                          <w:szCs w:val="24"/>
                        </w:rPr>
                      </m:ctrlPr>
                    </m:sub>
                  </m:sSub>
                  <m:ctrlPr>
                    <w:rPr>
                      <w:rFonts w:ascii="Cambria Math" w:hAnsi="Cambria Math" w:eastAsia="等线" w:cs="Times New Roman"/>
                      <w:sz w:val="24"/>
                      <w:szCs w:val="24"/>
                    </w:rPr>
                  </m:ctrlPr>
                </m:e>
              </m:nary>
              <m:ctrlPr>
                <w:rPr>
                  <w:rFonts w:ascii="Cambria Math" w:hAnsi="Cambria Math" w:eastAsia="等线" w:cs="Times New Roman"/>
                  <w:sz w:val="24"/>
                  <w:szCs w:val="24"/>
                </w:rPr>
              </m:ctrlPr>
            </m:num>
            <m:den>
              <m:nary>
                <m:naryPr>
                  <m:chr m:val="∑"/>
                  <m:limLoc m:val="undOvr"/>
                  <m:ctrlPr>
                    <w:rPr>
                      <w:rFonts w:ascii="Cambria Math" w:hAnsi="Cambria Math" w:eastAsia="等线" w:cs="Times New Roman"/>
                      <w:sz w:val="24"/>
                      <w:szCs w:val="24"/>
                    </w:rPr>
                  </m:ctrlPr>
                </m:naryPr>
                <m:sub>
                  <m:r>
                    <m:rPr>
                      <m:sty m:val="p"/>
                    </m:rPr>
                    <w:rPr>
                      <w:rFonts w:ascii="Cambria Math" w:hAnsi="Cambria Math" w:eastAsia="等线" w:cs="Times New Roman"/>
                      <w:sz w:val="24"/>
                      <w:szCs w:val="24"/>
                    </w:rPr>
                    <m:t>i=1</m:t>
                  </m:r>
                  <m:ctrlPr>
                    <w:rPr>
                      <w:rFonts w:ascii="Cambria Math" w:hAnsi="Cambria Math" w:eastAsia="等线" w:cs="Times New Roman"/>
                      <w:sz w:val="24"/>
                      <w:szCs w:val="24"/>
                    </w:rPr>
                  </m:ctrlPr>
                </m:sub>
                <m:sup>
                  <m:r>
                    <m:rPr>
                      <m:sty m:val="p"/>
                    </m:rPr>
                    <w:rPr>
                      <w:rFonts w:ascii="Cambria Math" w:hAnsi="Cambria Math" w:eastAsia="等线" w:cs="Times New Roman"/>
                      <w:sz w:val="24"/>
                      <w:szCs w:val="24"/>
                    </w:rPr>
                    <m:t>n</m:t>
                  </m:r>
                  <m:ctrlPr>
                    <w:rPr>
                      <w:rFonts w:ascii="Cambria Math" w:hAnsi="Cambria Math" w:eastAsia="等线" w:cs="Times New Roman"/>
                      <w:sz w:val="24"/>
                      <w:szCs w:val="24"/>
                    </w:rPr>
                  </m:ctrlPr>
                </m:sup>
                <m:e>
                  <m:sSub>
                    <m:sSubPr>
                      <m:ctrlPr>
                        <w:rPr>
                          <w:rFonts w:ascii="Cambria Math" w:hAnsi="Cambria Math" w:eastAsia="等线" w:cs="Times New Roman"/>
                          <w:sz w:val="24"/>
                          <w:szCs w:val="24"/>
                        </w:rPr>
                      </m:ctrlPr>
                    </m:sSubPr>
                    <m:e>
                      <m:r>
                        <m:rPr>
                          <m:sty m:val="p"/>
                        </m:rPr>
                        <w:rPr>
                          <w:rFonts w:ascii="Cambria Math" w:hAnsi="Cambria Math" w:eastAsia="等线" w:cs="Times New Roman"/>
                          <w:sz w:val="24"/>
                          <w:szCs w:val="24"/>
                        </w:rPr>
                        <m:t>w</m:t>
                      </m:r>
                      <m:ctrlPr>
                        <w:rPr>
                          <w:rFonts w:ascii="Cambria Math" w:hAnsi="Cambria Math" w:eastAsia="等线" w:cs="Times New Roman"/>
                          <w:sz w:val="24"/>
                          <w:szCs w:val="24"/>
                        </w:rPr>
                      </m:ctrlPr>
                    </m:e>
                    <m:sub>
                      <m:r>
                        <m:rPr>
                          <m:sty m:val="p"/>
                        </m:rPr>
                        <w:rPr>
                          <w:rFonts w:ascii="Cambria Math" w:hAnsi="Cambria Math" w:eastAsia="等线" w:cs="Times New Roman"/>
                          <w:sz w:val="24"/>
                          <w:szCs w:val="24"/>
                        </w:rPr>
                        <m:t>i</m:t>
                      </m:r>
                      <m:ctrlPr>
                        <w:rPr>
                          <w:rFonts w:ascii="Cambria Math" w:hAnsi="Cambria Math" w:eastAsia="等线" w:cs="Times New Roman"/>
                          <w:sz w:val="24"/>
                          <w:szCs w:val="24"/>
                        </w:rPr>
                      </m:ctrlPr>
                    </m:sub>
                  </m:sSub>
                  <m:r>
                    <m:rPr>
                      <m:sty m:val="p"/>
                    </m:rPr>
                    <w:rPr>
                      <w:rFonts w:ascii="Cambria Math" w:hAnsi="Cambria Math" w:eastAsia="等线" w:cs="Times New Roman"/>
                      <w:sz w:val="24"/>
                      <w:szCs w:val="24"/>
                    </w:rPr>
                    <m:t>×</m:t>
                  </m:r>
                  <m:sSub>
                    <m:sSubPr>
                      <m:ctrlPr>
                        <w:rPr>
                          <w:rFonts w:ascii="Cambria Math" w:hAnsi="Cambria Math" w:eastAsia="等线" w:cs="Times New Roman"/>
                          <w:sz w:val="24"/>
                          <w:szCs w:val="24"/>
                        </w:rPr>
                      </m:ctrlPr>
                    </m:sSubPr>
                    <m:e>
                      <m:r>
                        <m:rPr>
                          <m:sty m:val="p"/>
                        </m:rPr>
                        <w:rPr>
                          <w:rFonts w:ascii="Cambria Math" w:hAnsi="Cambria Math" w:eastAsia="等线" w:cs="Times New Roman"/>
                          <w:sz w:val="24"/>
                          <w:szCs w:val="24"/>
                        </w:rPr>
                        <m:t>G</m:t>
                      </m:r>
                      <m:ctrlPr>
                        <w:rPr>
                          <w:rFonts w:ascii="Cambria Math" w:hAnsi="Cambria Math" w:eastAsia="等线" w:cs="Times New Roman"/>
                          <w:sz w:val="24"/>
                          <w:szCs w:val="24"/>
                        </w:rPr>
                      </m:ctrlPr>
                    </m:e>
                    <m:sub>
                      <m:r>
                        <m:rPr>
                          <m:sty m:val="p"/>
                        </m:rPr>
                        <w:rPr>
                          <w:rFonts w:hint="eastAsia" w:ascii="Cambria Math" w:hAnsi="Cambria Math" w:eastAsia="等线" w:cs="Times New Roman"/>
                          <w:sz w:val="24"/>
                          <w:szCs w:val="24"/>
                        </w:rPr>
                        <m:t>i</m:t>
                      </m:r>
                      <m:ctrlPr>
                        <w:rPr>
                          <w:rFonts w:ascii="Cambria Math" w:hAnsi="Cambria Math" w:eastAsia="等线" w:cs="Times New Roman"/>
                          <w:sz w:val="24"/>
                          <w:szCs w:val="24"/>
                        </w:rPr>
                      </m:ctrlPr>
                    </m:sub>
                  </m:sSub>
                  <m:ctrlPr>
                    <w:rPr>
                      <w:rFonts w:ascii="Cambria Math" w:hAnsi="Cambria Math" w:eastAsia="等线" w:cs="Times New Roman"/>
                      <w:sz w:val="24"/>
                      <w:szCs w:val="24"/>
                    </w:rPr>
                  </m:ctrlPr>
                </m:e>
              </m:nary>
              <m:ctrlPr>
                <w:rPr>
                  <w:rFonts w:ascii="Cambria Math" w:hAnsi="Cambria Math" w:eastAsia="等线" w:cs="Times New Roman"/>
                  <w:sz w:val="24"/>
                  <w:szCs w:val="24"/>
                </w:rPr>
              </m:ctrlPr>
            </m:den>
          </m:f>
        </m:oMath>
      </m:oMathPara>
    </w:p>
    <w:p>
      <w:pPr>
        <w:pStyle w:val="2"/>
        <w:widowControl/>
        <w:spacing w:line="360" w:lineRule="auto"/>
        <w:ind w:firstLine="420" w:firstLineChars="0"/>
        <w:jc w:val="left"/>
        <w:rPr>
          <w:rFonts w:hint="eastAsia" w:ascii="Times New Roman" w:hAnsi="Times New Roman" w:eastAsia="等线" w:cs="Times New Roman"/>
          <w:kern w:val="2"/>
          <w:sz w:val="24"/>
          <w:szCs w:val="24"/>
          <w:lang w:val="en-US" w:eastAsia="zh-CN" w:bidi="ar-SA"/>
        </w:rPr>
      </w:pPr>
      <m:oMath>
        <m:r>
          <m:rPr>
            <m:sty m:val="p"/>
          </m:rPr>
          <w:rPr>
            <w:rFonts w:hint="default" w:ascii="Cambria Math" w:hAnsi="Cambria Math" w:eastAsia="等线" w:cs="Times New Roman Regular"/>
            <w:kern w:val="2"/>
            <w:sz w:val="24"/>
            <w:szCs w:val="24"/>
            <w:lang w:val="en-US" w:eastAsia="zh-CN" w:bidi="ar-SA"/>
          </w:rPr>
          <m:t>hpscore</m:t>
        </m:r>
      </m:oMath>
      <w:r>
        <w:rPr>
          <w:rFonts w:hint="eastAsia" w:ascii="Times New Roman" w:hAnsi="Times New Roman" w:eastAsia="等线" w:cs="Times New Roman"/>
          <w:kern w:val="2"/>
          <w:sz w:val="24"/>
          <w:szCs w:val="24"/>
          <w:lang w:val="en-US" w:eastAsia="zh-CN" w:bidi="ar-SA"/>
        </w:rPr>
        <w:t xml:space="preserve"> &gt; 40 was </w:t>
      </w:r>
      <w:r>
        <w:rPr>
          <w:rFonts w:ascii="Times New Roman" w:hAnsi="Times New Roman" w:eastAsia="等线" w:cs="Times New Roman"/>
          <w:kern w:val="2"/>
          <w:sz w:val="24"/>
          <w:szCs w:val="24"/>
          <w:lang w:val="en-US" w:eastAsia="zh-CN" w:bidi="ar-SA"/>
        </w:rPr>
        <w:t>predicted</w:t>
      </w:r>
      <w:r>
        <w:rPr>
          <w:rFonts w:hint="eastAsia" w:ascii="Times New Roman" w:hAnsi="Times New Roman" w:eastAsia="等线" w:cs="Times New Roman"/>
          <w:kern w:val="2"/>
          <w:sz w:val="24"/>
          <w:szCs w:val="24"/>
          <w:lang w:val="en-US" w:eastAsia="zh-CN" w:bidi="ar-SA"/>
        </w:rPr>
        <w:t xml:space="preserve"> as </w:t>
      </w:r>
      <w:r>
        <w:rPr>
          <w:rFonts w:ascii="Times New Roman" w:hAnsi="Times New Roman" w:eastAsia="等线" w:cs="Times New Roman"/>
          <w:kern w:val="2"/>
          <w:sz w:val="24"/>
          <w:szCs w:val="24"/>
          <w:lang w:val="en-US" w:eastAsia="zh-CN" w:bidi="ar-SA"/>
        </w:rPr>
        <w:t>having suspected hvKp</w:t>
      </w:r>
      <w:r>
        <w:rPr>
          <w:rFonts w:ascii="Times New Roman" w:hAnsi="Times New Roman" w:eastAsia="等线" w:cs="Times New Roman"/>
          <w:kern w:val="2"/>
          <w:sz w:val="24"/>
          <w:szCs w:val="24"/>
          <w:lang w:eastAsia="zh-CN" w:bidi="ar-SA"/>
        </w:rPr>
        <w:t>. w</w:t>
      </w:r>
      <w:r>
        <w:rPr>
          <w:rFonts w:hint="eastAsia" w:ascii="Times New Roman" w:hAnsi="Times New Roman" w:eastAsia="等线" w:cs="Times New Roman"/>
          <w:kern w:val="2"/>
          <w:sz w:val="24"/>
          <w:szCs w:val="24"/>
          <w:lang w:val="en-US" w:eastAsia="zh-CN" w:bidi="ar-SA"/>
        </w:rPr>
        <w:t>here</w:t>
      </w:r>
      <w:r>
        <w:rPr>
          <w:rFonts w:hint="default" w:ascii="Times New Roman" w:hAnsi="Times New Roman" w:eastAsia="等线" w:cs="Times New Roman"/>
          <w:kern w:val="2"/>
          <w:sz w:val="24"/>
          <w:szCs w:val="24"/>
          <w:lang w:eastAsia="zh-CN" w:bidi="ar-SA"/>
        </w:rPr>
        <w:t xml:space="preserve"> </w:t>
      </w:r>
      <m:oMath>
        <m:r>
          <m:rPr>
            <m:sty m:val="p"/>
          </m:rPr>
          <w:rPr>
            <w:rFonts w:hint="eastAsia" w:ascii="Cambria Math" w:hAnsi="Cambria Math" w:eastAsia="等线" w:cs="Times New Roman"/>
            <w:kern w:val="2"/>
            <w:sz w:val="24"/>
            <w:szCs w:val="24"/>
            <w:lang w:val="en-US" w:eastAsia="zh-CN" w:bidi="ar-SA"/>
          </w:rPr>
          <m:t>n</m:t>
        </m:r>
      </m:oMath>
      <w:r>
        <w:rPr>
          <w:rFonts w:hint="eastAsia" w:ascii="Times New Roman" w:hAnsi="Times New Roman" w:eastAsia="等线" w:cs="Times New Roman"/>
          <w:kern w:val="2"/>
          <w:sz w:val="24"/>
          <w:szCs w:val="24"/>
          <w:lang w:val="en-US" w:eastAsia="zh-CN" w:bidi="ar-SA"/>
        </w:rPr>
        <w:t xml:space="preserve"> is the number of virulence factor</w:t>
      </w:r>
      <w:r>
        <w:rPr>
          <w:rFonts w:hint="default" w:ascii="Times New Roman" w:hAnsi="Times New Roman" w:eastAsia="等线" w:cs="Times New Roman"/>
          <w:kern w:val="2"/>
          <w:sz w:val="24"/>
          <w:szCs w:val="24"/>
          <w:lang w:eastAsia="zh-CN" w:bidi="ar-SA"/>
        </w:rPr>
        <w:t>s</w:t>
      </w:r>
      <w:r>
        <w:rPr>
          <w:rFonts w:hint="eastAsia" w:ascii="Times New Roman" w:hAnsi="Times New Roman" w:eastAsia="等线" w:cs="Times New Roman"/>
          <w:kern w:val="2"/>
          <w:sz w:val="24"/>
          <w:szCs w:val="24"/>
          <w:lang w:val="en-US" w:eastAsia="zh-CN" w:bidi="ar-SA"/>
        </w:rPr>
        <w:t xml:space="preserve"> related to </w:t>
      </w:r>
      <w:r>
        <w:rPr>
          <w:rFonts w:ascii="Times New Roman" w:hAnsi="Times New Roman" w:eastAsia="等线" w:cs="Times New Roman"/>
          <w:kern w:val="2"/>
          <w:sz w:val="24"/>
          <w:szCs w:val="24"/>
          <w:lang w:val="en-US" w:eastAsia="zh-CN" w:bidi="ar-SA"/>
        </w:rPr>
        <w:t>hvKp</w:t>
      </w:r>
      <w:r>
        <w:rPr>
          <w:rFonts w:ascii="Times New Roman" w:hAnsi="Times New Roman" w:eastAsia="等线" w:cs="Times New Roman"/>
          <w:kern w:val="2"/>
          <w:sz w:val="24"/>
          <w:szCs w:val="24"/>
          <w:lang w:eastAsia="zh-CN" w:bidi="ar-SA"/>
        </w:rPr>
        <w:t xml:space="preserve">; </w:t>
      </w:r>
      <m:oMath>
        <m:sSub>
          <m:sSubPr>
            <m:ctrlPr>
              <w:rPr>
                <w:rFonts w:hint="eastAsia" w:ascii="Cambria Math" w:hAnsi="Cambria Math" w:eastAsia="等线" w:cs="Times New Roman"/>
                <w:kern w:val="2"/>
                <w:sz w:val="24"/>
                <w:szCs w:val="24"/>
                <w:lang w:val="en-US" w:eastAsia="zh-CN" w:bidi="ar-SA"/>
              </w:rPr>
            </m:ctrlPr>
          </m:sSubPr>
          <m:e>
            <m:r>
              <m:rPr>
                <m:sty m:val="p"/>
              </m:rPr>
              <w:rPr>
                <w:rFonts w:hint="eastAsia" w:ascii="Cambria Math" w:hAnsi="Cambria Math" w:eastAsia="等线" w:cs="Times New Roman"/>
                <w:kern w:val="2"/>
                <w:sz w:val="24"/>
                <w:szCs w:val="24"/>
                <w:lang w:val="en-US" w:eastAsia="zh-CN" w:bidi="ar-SA"/>
              </w:rPr>
              <m:t>w</m:t>
            </m:r>
            <m:ctrlPr>
              <w:rPr>
                <w:rFonts w:hint="eastAsia" w:ascii="Cambria Math" w:hAnsi="Cambria Math" w:eastAsia="等线" w:cs="Times New Roman"/>
                <w:kern w:val="2"/>
                <w:sz w:val="24"/>
                <w:szCs w:val="24"/>
                <w:lang w:val="en-US" w:eastAsia="zh-CN" w:bidi="ar-SA"/>
              </w:rPr>
            </m:ctrlPr>
          </m:e>
          <m:sub>
            <m:r>
              <m:rPr>
                <m:sty m:val="p"/>
              </m:rPr>
              <w:rPr>
                <w:rFonts w:hint="eastAsia" w:ascii="Cambria Math" w:hAnsi="Cambria Math" w:eastAsia="等线" w:cs="Times New Roman"/>
                <w:kern w:val="2"/>
                <w:sz w:val="24"/>
                <w:szCs w:val="24"/>
                <w:lang w:val="en-US" w:eastAsia="zh-CN" w:bidi="ar-SA"/>
              </w:rPr>
              <m:t>i</m:t>
            </m:r>
            <m:ctrlPr>
              <w:rPr>
                <w:rFonts w:hint="eastAsia" w:ascii="Cambria Math" w:hAnsi="Cambria Math" w:eastAsia="等线" w:cs="Times New Roman"/>
                <w:kern w:val="2"/>
                <w:sz w:val="24"/>
                <w:szCs w:val="24"/>
                <w:lang w:val="en-US" w:eastAsia="zh-CN" w:bidi="ar-SA"/>
              </w:rPr>
            </m:ctrlPr>
          </m:sub>
        </m:sSub>
      </m:oMath>
      <w:r>
        <w:rPr>
          <w:rFonts w:hint="eastAsia" w:ascii="Times New Roman" w:hAnsi="Times New Roman" w:eastAsia="等线" w:cs="Times New Roman"/>
          <w:kern w:val="2"/>
          <w:sz w:val="24"/>
          <w:szCs w:val="24"/>
          <w:lang w:val="en-US" w:eastAsia="zh-CN" w:bidi="ar-SA"/>
        </w:rPr>
        <w:t xml:space="preserve"> is the weighting factor for genes in each virulence factor</w:t>
      </w:r>
      <w:r>
        <w:rPr>
          <w:rFonts w:hint="default" w:ascii="Times New Roman" w:hAnsi="Times New Roman" w:eastAsia="等线" w:cs="Times New Roman"/>
          <w:kern w:val="2"/>
          <w:sz w:val="24"/>
          <w:szCs w:val="24"/>
          <w:lang w:eastAsia="zh-CN" w:bidi="ar-SA"/>
        </w:rPr>
        <w:t>;</w:t>
      </w:r>
      <w:r>
        <w:rPr>
          <w:rFonts w:hint="eastAsia" w:ascii="Times New Roman" w:hAnsi="Times New Roman" w:eastAsia="等线" w:cs="Times New Roman"/>
          <w:kern w:val="2"/>
          <w:sz w:val="24"/>
          <w:szCs w:val="24"/>
          <w:lang w:val="en-US" w:eastAsia="zh-CN" w:bidi="ar-SA"/>
        </w:rPr>
        <w:t xml:space="preserve"> </w:t>
      </w:r>
      <m:oMath>
        <m:sSub>
          <m:sSubPr>
            <m:ctrlPr>
              <w:rPr>
                <w:rFonts w:hint="eastAsia" w:ascii="Cambria Math" w:hAnsi="Cambria Math" w:eastAsia="等线" w:cs="Times New Roman"/>
                <w:kern w:val="2"/>
                <w:sz w:val="24"/>
                <w:szCs w:val="24"/>
                <w:lang w:val="en-US" w:eastAsia="zh-CN" w:bidi="ar-SA"/>
              </w:rPr>
            </m:ctrlPr>
          </m:sSubPr>
          <m:e>
            <m:r>
              <m:rPr>
                <m:sty m:val="p"/>
              </m:rPr>
              <w:rPr>
                <w:rFonts w:hint="eastAsia" w:ascii="Cambria Math" w:hAnsi="Cambria Math" w:eastAsia="等线" w:cs="Times New Roman"/>
                <w:kern w:val="2"/>
                <w:sz w:val="24"/>
                <w:szCs w:val="24"/>
                <w:lang w:val="en-US" w:eastAsia="zh-CN" w:bidi="ar-SA"/>
              </w:rPr>
              <m:t>g</m:t>
            </m:r>
            <m:ctrlPr>
              <w:rPr>
                <w:rFonts w:hint="eastAsia" w:ascii="Cambria Math" w:hAnsi="Cambria Math" w:eastAsia="等线" w:cs="Times New Roman"/>
                <w:kern w:val="2"/>
                <w:sz w:val="24"/>
                <w:szCs w:val="24"/>
                <w:lang w:val="en-US" w:eastAsia="zh-CN" w:bidi="ar-SA"/>
              </w:rPr>
            </m:ctrlPr>
          </m:e>
          <m:sub>
            <m:r>
              <m:rPr>
                <m:sty m:val="p"/>
              </m:rPr>
              <w:rPr>
                <w:rFonts w:hint="eastAsia" w:ascii="Cambria Math" w:hAnsi="Cambria Math" w:eastAsia="等线" w:cs="Times New Roman"/>
                <w:kern w:val="2"/>
                <w:sz w:val="24"/>
                <w:szCs w:val="24"/>
                <w:lang w:val="en-US" w:eastAsia="zh-CN" w:bidi="ar-SA"/>
              </w:rPr>
              <m:t>i</m:t>
            </m:r>
            <m:ctrlPr>
              <w:rPr>
                <w:rFonts w:hint="eastAsia" w:ascii="Cambria Math" w:hAnsi="Cambria Math" w:eastAsia="等线" w:cs="Times New Roman"/>
                <w:kern w:val="2"/>
                <w:sz w:val="24"/>
                <w:szCs w:val="24"/>
                <w:lang w:val="en-US" w:eastAsia="zh-CN" w:bidi="ar-SA"/>
              </w:rPr>
            </m:ctrlPr>
          </m:sub>
        </m:sSub>
      </m:oMath>
      <w:r>
        <w:rPr>
          <w:rFonts w:hint="eastAsia" w:ascii="Times New Roman" w:hAnsi="Times New Roman" w:eastAsia="等线" w:cs="Times New Roman"/>
          <w:kern w:val="2"/>
          <w:sz w:val="24"/>
          <w:szCs w:val="24"/>
          <w:lang w:val="en-US" w:eastAsia="zh-CN" w:bidi="ar-SA"/>
        </w:rPr>
        <w:t xml:space="preserve"> is the number of genes detected in each virulence factor</w:t>
      </w:r>
      <w:r>
        <w:rPr>
          <w:rFonts w:hint="default" w:ascii="Times New Roman" w:hAnsi="Times New Roman" w:eastAsia="等线" w:cs="Times New Roman"/>
          <w:kern w:val="2"/>
          <w:sz w:val="24"/>
          <w:szCs w:val="24"/>
          <w:lang w:eastAsia="zh-CN" w:bidi="ar-SA"/>
        </w:rPr>
        <w:t xml:space="preserve">; and </w:t>
      </w:r>
      <m:oMath>
        <m:sSub>
          <m:sSubPr>
            <m:ctrlPr>
              <w:rPr>
                <w:rFonts w:hint="eastAsia" w:ascii="Cambria Math" w:hAnsi="Cambria Math" w:eastAsia="等线" w:cs="Times New Roman"/>
                <w:kern w:val="2"/>
                <w:sz w:val="24"/>
                <w:szCs w:val="24"/>
                <w:lang w:val="en-US" w:eastAsia="zh-CN" w:bidi="ar-SA"/>
              </w:rPr>
            </m:ctrlPr>
          </m:sSubPr>
          <m:e>
            <m:r>
              <m:rPr>
                <m:sty m:val="p"/>
              </m:rPr>
              <w:rPr>
                <w:rFonts w:hint="eastAsia" w:ascii="Cambria Math" w:hAnsi="Cambria Math" w:eastAsia="等线" w:cs="Times New Roman"/>
                <w:kern w:val="2"/>
                <w:sz w:val="24"/>
                <w:szCs w:val="24"/>
                <w:lang w:val="en-US" w:eastAsia="zh-CN" w:bidi="ar-SA"/>
              </w:rPr>
              <m:t>G</m:t>
            </m:r>
            <m:ctrlPr>
              <w:rPr>
                <w:rFonts w:hint="eastAsia" w:ascii="Cambria Math" w:hAnsi="Cambria Math" w:eastAsia="等线" w:cs="Times New Roman"/>
                <w:kern w:val="2"/>
                <w:sz w:val="24"/>
                <w:szCs w:val="24"/>
                <w:lang w:val="en-US" w:eastAsia="zh-CN" w:bidi="ar-SA"/>
              </w:rPr>
            </m:ctrlPr>
          </m:e>
          <m:sub>
            <m:r>
              <m:rPr>
                <m:sty m:val="p"/>
              </m:rPr>
              <w:rPr>
                <w:rFonts w:hint="eastAsia" w:ascii="Cambria Math" w:hAnsi="Cambria Math" w:eastAsia="等线" w:cs="Times New Roman"/>
                <w:kern w:val="2"/>
                <w:sz w:val="24"/>
                <w:szCs w:val="24"/>
                <w:lang w:val="en-US" w:eastAsia="zh-CN" w:bidi="ar-SA"/>
              </w:rPr>
              <m:t>i</m:t>
            </m:r>
            <m:ctrlPr>
              <w:rPr>
                <w:rFonts w:hint="eastAsia" w:ascii="Cambria Math" w:hAnsi="Cambria Math" w:eastAsia="等线" w:cs="Times New Roman"/>
                <w:kern w:val="2"/>
                <w:sz w:val="24"/>
                <w:szCs w:val="24"/>
                <w:lang w:val="en-US" w:eastAsia="zh-CN" w:bidi="ar-SA"/>
              </w:rPr>
            </m:ctrlPr>
          </m:sub>
        </m:sSub>
      </m:oMath>
      <w:r>
        <w:rPr>
          <w:rFonts w:hint="eastAsia" w:ascii="Times New Roman" w:hAnsi="Times New Roman" w:eastAsia="等线" w:cs="Times New Roman"/>
          <w:kern w:val="2"/>
          <w:sz w:val="24"/>
          <w:szCs w:val="24"/>
          <w:lang w:val="en-US" w:eastAsia="zh-CN" w:bidi="ar-SA"/>
        </w:rPr>
        <w:t xml:space="preserve"> is the number of expected genes in each virulence factor.</w:t>
      </w:r>
    </w:p>
    <w:p>
      <w:pPr>
        <w:spacing w:before="156" w:beforeLines="50" w:after="156" w:afterLines="50" w:line="360" w:lineRule="auto"/>
        <w:rPr>
          <w:rFonts w:hint="default" w:ascii="Times New Roman Bold Italic" w:hAnsi="Times New Roman Bold Italic" w:eastAsia="等线" w:cs="Times New Roman Bold Italic"/>
          <w:b/>
          <w:bCs/>
          <w:i/>
          <w:iCs/>
          <w:sz w:val="24"/>
          <w:szCs w:val="24"/>
        </w:rPr>
      </w:pPr>
      <w:r>
        <w:rPr>
          <w:rFonts w:hint="default" w:ascii="Times New Roman Bold Italic" w:hAnsi="Times New Roman Bold Italic" w:eastAsia="等线" w:cs="Times New Roman Bold Italic"/>
          <w:b/>
          <w:bCs/>
          <w:i/>
          <w:iCs/>
          <w:sz w:val="24"/>
          <w:szCs w:val="24"/>
        </w:rPr>
        <w:t>Clinically diagnosed hvKp infections and subsequent confirmation of VFG PCR and/or WGS</w:t>
      </w:r>
    </w:p>
    <w:p>
      <w:pPr>
        <w:spacing w:before="156" w:beforeLines="50" w:after="156" w:afterLines="50" w:line="360" w:lineRule="auto"/>
        <w:rPr>
          <w:rFonts w:ascii="Times New Roman" w:hAnsi="Times New Roman" w:eastAsia="等线" w:cs="Times New Roman"/>
          <w:color w:val="000000" w:themeColor="text1"/>
          <w:sz w:val="24"/>
          <w14:textFill>
            <w14:solidFill>
              <w14:schemeClr w14:val="tx1"/>
            </w14:solidFill>
          </w14:textFill>
        </w:rPr>
      </w:pPr>
      <w:r>
        <w:rPr>
          <w:rFonts w:ascii="Times New Roman" w:hAnsi="Times New Roman" w:eastAsia="等线" w:cs="Times New Roman"/>
          <w:sz w:val="24"/>
          <w:szCs w:val="24"/>
        </w:rPr>
        <w:t>T</w:t>
      </w:r>
      <w:r>
        <w:rPr>
          <w:rFonts w:ascii="Times New Roman" w:hAnsi="Times New Roman" w:eastAsia="等线" w:cs="Times New Roman"/>
          <w:sz w:val="24"/>
        </w:rPr>
        <w:t>he suspected hvKp samples were assessed and confirmed by two senior physicians based on a positive string test and if they met three of the following clinical criteria: 1) acute onset and rapid progression due to infection and severe infection</w:t>
      </w:r>
      <w:r>
        <w:rPr>
          <w:rFonts w:hint="eastAsia" w:ascii="Times New Roman" w:hAnsi="Times New Roman" w:eastAsia="等线" w:cs="Times New Roman"/>
          <w:sz w:val="24"/>
        </w:rPr>
        <w:t xml:space="preserve">; </w:t>
      </w:r>
      <w:r>
        <w:rPr>
          <w:rFonts w:ascii="Times New Roman" w:hAnsi="Times New Roman" w:eastAsia="等线" w:cs="Times New Roman"/>
          <w:sz w:val="24"/>
        </w:rPr>
        <w:t>2) community-acquired infection</w:t>
      </w:r>
      <w:r>
        <w:rPr>
          <w:rFonts w:hint="eastAsia" w:ascii="Times New Roman" w:hAnsi="Times New Roman" w:eastAsia="等线" w:cs="Times New Roman"/>
          <w:sz w:val="24"/>
        </w:rPr>
        <w:t xml:space="preserve">; </w:t>
      </w:r>
      <w:r>
        <w:rPr>
          <w:rFonts w:ascii="Times New Roman" w:hAnsi="Times New Roman" w:eastAsia="等线" w:cs="Times New Roman"/>
          <w:sz w:val="24"/>
        </w:rPr>
        <w:t>3)</w:t>
      </w:r>
      <w:r>
        <w:rPr>
          <w:rFonts w:hint="eastAsia" w:ascii="Times New Roman" w:hAnsi="Times New Roman" w:eastAsia="等线" w:cs="Times New Roman"/>
          <w:sz w:val="24"/>
        </w:rPr>
        <w:t xml:space="preserve"> </w:t>
      </w:r>
      <w:r>
        <w:rPr>
          <w:rFonts w:ascii="Times New Roman" w:hAnsi="Times New Roman" w:eastAsia="等线" w:cs="Times New Roman"/>
          <w:sz w:val="24"/>
        </w:rPr>
        <w:t>nonimmunodeficiency</w:t>
      </w:r>
      <w:r>
        <w:rPr>
          <w:rFonts w:hint="eastAsia" w:ascii="Times New Roman" w:hAnsi="Times New Roman" w:eastAsia="等线" w:cs="Times New Roman"/>
          <w:sz w:val="24"/>
        </w:rPr>
        <w:t xml:space="preserve">; </w:t>
      </w:r>
      <w:r>
        <w:rPr>
          <w:rFonts w:ascii="Times New Roman" w:hAnsi="Times New Roman" w:eastAsia="等线" w:cs="Times New Roman"/>
          <w:sz w:val="24"/>
        </w:rPr>
        <w:t>4) common infection syndromes (endophthalmitis, meningitis, brain abscess, gangrenous fasciitis, splenic abscess,</w:t>
      </w:r>
      <w:r>
        <w:rPr>
          <w:rFonts w:hint="eastAsia" w:ascii="Times New Roman" w:hAnsi="Times New Roman" w:eastAsia="等线" w:cs="Times New Roman"/>
          <w:sz w:val="24"/>
        </w:rPr>
        <w:t xml:space="preserve"> or </w:t>
      </w:r>
      <w:r>
        <w:rPr>
          <w:rFonts w:ascii="Times New Roman" w:hAnsi="Times New Roman" w:eastAsia="等线" w:cs="Times New Roman"/>
          <w:sz w:val="24"/>
        </w:rPr>
        <w:t>epidural abscess)</w:t>
      </w:r>
      <w:r>
        <w:rPr>
          <w:rFonts w:hint="eastAsia" w:ascii="Times New Roman" w:hAnsi="Times New Roman" w:eastAsia="等线" w:cs="Times New Roman"/>
          <w:sz w:val="24"/>
        </w:rPr>
        <w:t>; 5</w:t>
      </w:r>
      <w:r>
        <w:rPr>
          <w:rFonts w:ascii="Times New Roman" w:hAnsi="Times New Roman" w:eastAsia="等线" w:cs="Times New Roman"/>
          <w:sz w:val="24"/>
        </w:rPr>
        <w:t>) single pathogen</w:t>
      </w:r>
      <w:r>
        <w:rPr>
          <w:rFonts w:hint="eastAsia" w:ascii="Times New Roman" w:hAnsi="Times New Roman" w:eastAsia="等线" w:cs="Times New Roman"/>
          <w:sz w:val="24"/>
        </w:rPr>
        <w:t xml:space="preserve">; </w:t>
      </w:r>
      <w:r>
        <w:rPr>
          <w:rFonts w:ascii="Times New Roman" w:hAnsi="Times New Roman" w:eastAsia="等线" w:cs="Times New Roman"/>
          <w:sz w:val="24"/>
        </w:rPr>
        <w:t xml:space="preserve">and 6) multiple-site infection. </w:t>
      </w:r>
      <w:r>
        <w:rPr>
          <w:rFonts w:ascii="Times New Roman" w:hAnsi="Times New Roman" w:eastAsia="等线" w:cs="Times New Roman"/>
          <w:color w:val="000000" w:themeColor="text1"/>
          <w:sz w:val="24"/>
          <w14:textFill>
            <w14:solidFill>
              <w14:schemeClr w14:val="tx1"/>
            </w14:solidFill>
          </w14:textFill>
        </w:rPr>
        <w:t xml:space="preserve">In the absence of string test results due to negative culture results, high clinical presentation and therapeutic compliance with </w:t>
      </w:r>
      <w:r>
        <w:rPr>
          <w:rFonts w:ascii="Times New Roman" w:hAnsi="Times New Roman" w:eastAsia="等线" w:cs="Times New Roman"/>
          <w:color w:val="000000" w:themeColor="text1"/>
          <w:sz w:val="24"/>
          <w:szCs w:val="24"/>
          <w14:textFill>
            <w14:solidFill>
              <w14:schemeClr w14:val="tx1"/>
            </w14:solidFill>
          </w14:textFill>
        </w:rPr>
        <w:t>hvKp</w:t>
      </w:r>
      <w:r>
        <w:rPr>
          <w:rFonts w:ascii="Times New Roman" w:hAnsi="Times New Roman" w:eastAsia="等线" w:cs="Times New Roman"/>
          <w:color w:val="000000" w:themeColor="text1"/>
          <w:sz w:val="24"/>
          <w14:textFill>
            <w14:solidFill>
              <w14:schemeClr w14:val="tx1"/>
            </w14:solidFill>
          </w14:textFill>
        </w:rPr>
        <w:t xml:space="preserve"> was needed, and infection was subsequently confirmed by VFG PCR or WGS detection.</w:t>
      </w:r>
    </w:p>
    <w:p>
      <w:pPr>
        <w:spacing w:after="312" w:afterLines="100" w:line="360" w:lineRule="auto"/>
        <w:ind w:firstLine="420" w:firstLineChars="0"/>
        <w:rPr>
          <w:rFonts w:ascii="Times New Roman" w:hAnsi="Times New Roman" w:eastAsia="等线" w:cs="Times New Roman"/>
          <w:sz w:val="24"/>
        </w:rPr>
      </w:pPr>
      <w:r>
        <w:rPr>
          <w:rFonts w:ascii="Times New Roman" w:hAnsi="Times New Roman" w:eastAsia="等线" w:cs="Times New Roman"/>
          <w:color w:val="000000" w:themeColor="text1"/>
          <w:sz w:val="24"/>
          <w14:textFill>
            <w14:solidFill>
              <w14:schemeClr w14:val="tx1"/>
            </w14:solidFill>
          </w14:textFill>
        </w:rPr>
        <w:t xml:space="preserve">The VFG PCR primers were as follows: forward and reverse PCR primers targeting the </w:t>
      </w:r>
      <w:r>
        <w:rPr>
          <w:rFonts w:ascii="Times New Roman Italic" w:hAnsi="Times New Roman Italic" w:eastAsia="等线" w:cs="Times New Roman Italic"/>
          <w:i/>
          <w:iCs/>
          <w:color w:val="000000" w:themeColor="text1"/>
          <w:sz w:val="24"/>
          <w14:textFill>
            <w14:solidFill>
              <w14:schemeClr w14:val="tx1"/>
            </w14:solidFill>
          </w14:textFill>
        </w:rPr>
        <w:t>Aerobactin</w:t>
      </w:r>
      <w:r>
        <w:rPr>
          <w:rFonts w:ascii="Times New Roman" w:hAnsi="Times New Roman" w:eastAsia="等线" w:cs="Times New Roman"/>
          <w:color w:val="000000" w:themeColor="text1"/>
          <w:sz w:val="24"/>
          <w14:textFill>
            <w14:solidFill>
              <w14:schemeClr w14:val="tx1"/>
            </w14:solidFill>
          </w14:textFill>
        </w:rPr>
        <w:t xml:space="preserve"> and </w:t>
      </w:r>
      <w:r>
        <w:rPr>
          <w:rFonts w:ascii="Times New Roman Italic" w:hAnsi="Times New Roman Italic" w:eastAsia="等线" w:cs="Times New Roman Italic"/>
          <w:i/>
          <w:iCs/>
          <w:color w:val="000000" w:themeColor="text1"/>
          <w:sz w:val="24"/>
          <w14:textFill>
            <w14:solidFill>
              <w14:schemeClr w14:val="tx1"/>
            </w14:solidFill>
          </w14:textFill>
        </w:rPr>
        <w:t xml:space="preserve">RmpA </w:t>
      </w:r>
      <w:r>
        <w:rPr>
          <w:rFonts w:ascii="Times New Roman" w:hAnsi="Times New Roman" w:eastAsia="等线" w:cs="Times New Roman"/>
          <w:color w:val="000000" w:themeColor="text1"/>
          <w:sz w:val="24"/>
          <w14:textFill>
            <w14:solidFill>
              <w14:schemeClr w14:val="tx1"/>
            </w14:solidFill>
          </w14:textFill>
        </w:rPr>
        <w:t xml:space="preserve">genes of hvKp: </w:t>
      </w:r>
      <w:r>
        <w:rPr>
          <w:rFonts w:ascii="Times New Roman Italic" w:hAnsi="Times New Roman Italic" w:eastAsia="等线" w:cs="Times New Roman Italic"/>
          <w:i/>
          <w:iCs/>
          <w:color w:val="000000" w:themeColor="text1"/>
          <w:sz w:val="24"/>
          <w14:textFill>
            <w14:solidFill>
              <w14:schemeClr w14:val="tx1"/>
            </w14:solidFill>
          </w14:textFill>
        </w:rPr>
        <w:t xml:space="preserve">Aerobactin: </w:t>
      </w:r>
      <w:r>
        <w:rPr>
          <w:rFonts w:ascii="Times New Roman" w:hAnsi="Times New Roman" w:eastAsia="等线" w:cs="Times New Roman"/>
          <w:color w:val="000000" w:themeColor="text1"/>
          <w:sz w:val="24"/>
          <w14:textFill>
            <w14:solidFill>
              <w14:schemeClr w14:val="tx1"/>
            </w14:solidFill>
          </w14:textFill>
        </w:rPr>
        <w:t xml:space="preserve">GCATAGGCGGATACGAACAT (forward) and CACAGGGCAATTGCTTACC (reverse); </w:t>
      </w:r>
      <w:r>
        <w:rPr>
          <w:rFonts w:ascii="Times New Roman Italic" w:hAnsi="Times New Roman Italic" w:eastAsia="等线" w:cs="Times New Roman Italic"/>
          <w:i/>
          <w:iCs/>
          <w:color w:val="000000" w:themeColor="text1"/>
          <w:sz w:val="24"/>
          <w14:textFill>
            <w14:solidFill>
              <w14:schemeClr w14:val="tx1"/>
            </w14:solidFill>
          </w14:textFill>
        </w:rPr>
        <w:t>RmpA</w:t>
      </w:r>
      <w:r>
        <w:rPr>
          <w:rFonts w:ascii="Times New Roman" w:hAnsi="Times New Roman" w:eastAsia="等线" w:cs="Times New Roman"/>
          <w:color w:val="000000" w:themeColor="text1"/>
          <w:sz w:val="24"/>
          <w14:textFill>
            <w14:solidFill>
              <w14:schemeClr w14:val="tx1"/>
            </w14:solidFill>
          </w14:textFill>
        </w:rPr>
        <w:t xml:space="preserve">：ACTGGGCTACCTCTGCTTCA (forward) and CTTGCATGAGCCATCTTTCA (reverse). </w:t>
      </w:r>
      <w:r>
        <w:rPr>
          <w:rFonts w:ascii="Times New Roman" w:hAnsi="Times New Roman" w:eastAsia="等线" w:cs="Times New Roman"/>
          <w:sz w:val="24"/>
        </w:rPr>
        <w:t>Each 25-</w:t>
      </w:r>
      <w:r>
        <w:rPr>
          <w:rFonts w:ascii="Times New Roman" w:hAnsi="Times New Roman" w:eastAsia="等线" w:cs="Times New Roman"/>
          <w:color w:val="000000" w:themeColor="text1"/>
          <w:sz w:val="24"/>
          <w14:textFill>
            <w14:solidFill>
              <w14:schemeClr w14:val="tx1"/>
            </w14:solidFill>
          </w14:textFill>
        </w:rPr>
        <w:t>μ</w:t>
      </w:r>
      <w:r>
        <w:rPr>
          <w:rFonts w:ascii="Times New Roman" w:hAnsi="Times New Roman" w:eastAsia="等线" w:cs="Times New Roman"/>
          <w:sz w:val="24"/>
        </w:rPr>
        <w:t xml:space="preserve">l PCR mixture comprised 10 </w:t>
      </w:r>
      <w:r>
        <w:rPr>
          <w:rFonts w:ascii="Times New Roman" w:hAnsi="Times New Roman" w:eastAsia="等线" w:cs="Times New Roman"/>
          <w:color w:val="000000" w:themeColor="text1"/>
          <w:sz w:val="24"/>
          <w14:textFill>
            <w14:solidFill>
              <w14:schemeClr w14:val="tx1"/>
            </w14:solidFill>
          </w14:textFill>
        </w:rPr>
        <w:t>μ</w:t>
      </w:r>
      <w:r>
        <w:rPr>
          <w:rFonts w:ascii="Times New Roman" w:hAnsi="Times New Roman" w:eastAsia="等线" w:cs="Times New Roman"/>
          <w:sz w:val="24"/>
        </w:rPr>
        <w:t xml:space="preserve">l of </w:t>
      </w:r>
      <w:r>
        <w:rPr>
          <w:rFonts w:ascii="Times New Roman" w:hAnsi="Times New Roman" w:eastAsia="等线" w:cs="Times New Roman"/>
          <w:color w:val="000000" w:themeColor="text1"/>
          <w:sz w:val="24"/>
          <w14:textFill>
            <w14:solidFill>
              <w14:schemeClr w14:val="tx1"/>
            </w14:solidFill>
          </w14:textFill>
        </w:rPr>
        <w:t xml:space="preserve">2×Taq Master Mix, </w:t>
      </w:r>
      <w:r>
        <w:rPr>
          <w:rFonts w:ascii="Times New Roman" w:hAnsi="Times New Roman" w:eastAsia="等线" w:cs="Times New Roman"/>
          <w:sz w:val="24"/>
        </w:rPr>
        <w:t xml:space="preserve">10 </w:t>
      </w:r>
      <w:r>
        <w:rPr>
          <w:rFonts w:ascii="Times New Roman" w:hAnsi="Times New Roman" w:eastAsia="等线" w:cs="Times New Roman"/>
          <w:color w:val="000000" w:themeColor="text1"/>
          <w:sz w:val="24"/>
          <w14:textFill>
            <w14:solidFill>
              <w14:schemeClr w14:val="tx1"/>
            </w14:solidFill>
          </w14:textFill>
        </w:rPr>
        <w:t>μ</w:t>
      </w:r>
      <w:r>
        <w:rPr>
          <w:rFonts w:ascii="Times New Roman" w:hAnsi="Times New Roman" w:eastAsia="等线" w:cs="Times New Roman"/>
          <w:sz w:val="24"/>
        </w:rPr>
        <w:t xml:space="preserve">l of ddH2O, </w:t>
      </w:r>
      <w:r>
        <w:rPr>
          <w:rFonts w:ascii="Times New Roman" w:hAnsi="Times New Roman" w:eastAsia="等线" w:cs="Times New Roman"/>
          <w:color w:val="000000" w:themeColor="text1"/>
          <w:sz w:val="24"/>
          <w14:textFill>
            <w14:solidFill>
              <w14:schemeClr w14:val="tx1"/>
            </w14:solidFill>
          </w14:textFill>
        </w:rPr>
        <w:t>2</w:t>
      </w:r>
      <w:r>
        <w:rPr>
          <w:rFonts w:ascii="Times New Roman" w:hAnsi="Times New Roman" w:eastAsia="等线" w:cs="Times New Roman"/>
          <w:sz w:val="24"/>
        </w:rPr>
        <w:t xml:space="preserve"> </w:t>
      </w:r>
      <w:r>
        <w:rPr>
          <w:rFonts w:ascii="Times New Roman" w:hAnsi="Times New Roman" w:eastAsia="等线" w:cs="Times New Roman"/>
          <w:color w:val="000000" w:themeColor="text1"/>
          <w:sz w:val="24"/>
          <w14:textFill>
            <w14:solidFill>
              <w14:schemeClr w14:val="tx1"/>
            </w14:solidFill>
          </w14:textFill>
        </w:rPr>
        <w:t>μ</w:t>
      </w:r>
      <w:r>
        <w:rPr>
          <w:rFonts w:ascii="Times New Roman" w:hAnsi="Times New Roman" w:eastAsia="等线" w:cs="Times New Roman"/>
          <w:sz w:val="24"/>
        </w:rPr>
        <w:t>l</w:t>
      </w:r>
      <w:r>
        <w:rPr>
          <w:rFonts w:ascii="Times New Roman" w:hAnsi="Times New Roman" w:eastAsia="等线" w:cs="Times New Roman"/>
          <w:color w:val="000000" w:themeColor="text1"/>
          <w:sz w:val="24"/>
          <w14:textFill>
            <w14:solidFill>
              <w14:schemeClr w14:val="tx1"/>
            </w14:solidFill>
          </w14:textFill>
        </w:rPr>
        <w:t xml:space="preserve"> of primers</w:t>
      </w:r>
      <w:r>
        <w:rPr>
          <w:rFonts w:ascii="Times New Roman" w:hAnsi="Times New Roman" w:eastAsia="等线" w:cs="Times New Roman"/>
          <w:sz w:val="24"/>
        </w:rPr>
        <w:t xml:space="preserve">, and 3 </w:t>
      </w:r>
      <w:r>
        <w:rPr>
          <w:rFonts w:ascii="Times New Roman" w:hAnsi="Times New Roman" w:eastAsia="等线" w:cs="Times New Roman"/>
          <w:color w:val="000000" w:themeColor="text1"/>
          <w:sz w:val="24"/>
          <w14:textFill>
            <w14:solidFill>
              <w14:schemeClr w14:val="tx1"/>
            </w14:solidFill>
          </w14:textFill>
        </w:rPr>
        <w:t>μ</w:t>
      </w:r>
      <w:r>
        <w:rPr>
          <w:rFonts w:ascii="Times New Roman" w:hAnsi="Times New Roman" w:eastAsia="等线" w:cs="Times New Roman"/>
          <w:sz w:val="24"/>
        </w:rPr>
        <w:t xml:space="preserve">l of DNA template. </w:t>
      </w:r>
      <w:r>
        <w:rPr>
          <w:rFonts w:ascii="Times New Roman" w:hAnsi="Times New Roman" w:eastAsia="等线" w:cs="Times New Roman"/>
          <w:color w:val="000000" w:themeColor="text1"/>
          <w:sz w:val="24"/>
          <w14:textFill>
            <w14:solidFill>
              <w14:schemeClr w14:val="tx1"/>
            </w14:solidFill>
          </w14:textFill>
        </w:rPr>
        <w:t>The thermal cycling profile was as follows: initial</w:t>
      </w:r>
      <w:r>
        <w:rPr>
          <w:rFonts w:ascii="Times New Roman" w:hAnsi="Times New Roman" w:eastAsia="等线" w:cs="Times New Roman"/>
          <w:sz w:val="24"/>
        </w:rPr>
        <w:t xml:space="preserve"> </w:t>
      </w:r>
      <w:r>
        <w:rPr>
          <w:rFonts w:ascii="Times New Roman" w:hAnsi="Times New Roman" w:eastAsia="等线" w:cs="Times New Roman"/>
          <w:color w:val="000000" w:themeColor="text1"/>
          <w:sz w:val="24"/>
          <w14:textFill>
            <w14:solidFill>
              <w14:schemeClr w14:val="tx1"/>
            </w14:solidFill>
          </w14:textFill>
        </w:rPr>
        <w:t xml:space="preserve">denaturation at </w:t>
      </w:r>
      <w:r>
        <w:rPr>
          <w:rFonts w:ascii="Times New Roman" w:hAnsi="Times New Roman" w:eastAsia="等线" w:cs="Times New Roman"/>
          <w:sz w:val="24"/>
        </w:rPr>
        <w:t xml:space="preserve">95°C for 5 min; 35 cycles of 95°C for 30 s and 55°C for 40 s; and a final </w:t>
      </w:r>
      <w:r>
        <w:rPr>
          <w:rFonts w:ascii="Times New Roman" w:hAnsi="Times New Roman" w:eastAsia="等线" w:cs="Times New Roman"/>
          <w:color w:val="000000" w:themeColor="text1"/>
          <w:sz w:val="24"/>
          <w14:textFill>
            <w14:solidFill>
              <w14:schemeClr w14:val="tx1"/>
            </w14:solidFill>
          </w14:textFill>
        </w:rPr>
        <w:t>extension at 72</w:t>
      </w:r>
      <w:r>
        <w:rPr>
          <w:rFonts w:ascii="Times New Roman" w:hAnsi="Times New Roman" w:eastAsia="等线" w:cs="Times New Roman"/>
          <w:sz w:val="24"/>
        </w:rPr>
        <w:t>°C</w:t>
      </w:r>
      <w:r>
        <w:rPr>
          <w:rFonts w:ascii="Times New Roman" w:hAnsi="Times New Roman" w:eastAsia="等线" w:cs="Times New Roman"/>
          <w:color w:val="000000" w:themeColor="text1"/>
          <w:sz w:val="24"/>
          <w14:textFill>
            <w14:solidFill>
              <w14:schemeClr w14:val="tx1"/>
            </w14:solidFill>
          </w14:textFill>
        </w:rPr>
        <w:t xml:space="preserve"> for 5 min</w:t>
      </w:r>
      <w:r>
        <w:rPr>
          <w:rFonts w:ascii="Times New Roman" w:hAnsi="Times New Roman" w:eastAsia="等线" w:cs="Times New Roman"/>
          <w:sz w:val="24"/>
        </w:rPr>
        <w:t xml:space="preserve">. </w:t>
      </w:r>
    </w:p>
    <w:p>
      <w:pPr>
        <w:spacing w:after="312" w:afterLines="100" w:line="360" w:lineRule="auto"/>
        <w:ind w:firstLine="420" w:firstLineChars="0"/>
        <w:rPr>
          <w:rFonts w:ascii="Times New Roman Regular" w:hAnsi="Times New Roman Regular" w:eastAsia="等线" w:cs="Times New Roman Regular"/>
          <w:kern w:val="0"/>
          <w:sz w:val="24"/>
          <w:szCs w:val="24"/>
        </w:rPr>
        <w:sectPr>
          <w:pgSz w:w="11906" w:h="16838"/>
          <w:pgMar w:top="1440" w:right="1800" w:bottom="1440" w:left="1800" w:header="851" w:footer="992" w:gutter="0"/>
          <w:cols w:space="425" w:num="1"/>
          <w:docGrid w:type="lines" w:linePitch="312" w:charSpace="0"/>
        </w:sectPr>
      </w:pPr>
      <w:r>
        <w:rPr>
          <w:rFonts w:ascii="Times New Roman Regular" w:hAnsi="Times New Roman Regular" w:eastAsia="等线" w:cs="Times New Roman Regular"/>
          <w:kern w:val="0"/>
          <w:sz w:val="24"/>
          <w:szCs w:val="24"/>
        </w:rPr>
        <w:t xml:space="preserve">For WGS detection, a single colony of </w:t>
      </w:r>
      <w:r>
        <w:rPr>
          <w:rFonts w:ascii="Times New Roman" w:hAnsi="Times New Roman" w:eastAsia="等线" w:cs="Times New Roman"/>
          <w:i/>
          <w:iCs/>
          <w:sz w:val="24"/>
          <w:szCs w:val="24"/>
        </w:rPr>
        <w:t>K. pneumoniae</w:t>
      </w:r>
      <w:r>
        <w:rPr>
          <w:rFonts w:ascii="Times New Roman Regular" w:hAnsi="Times New Roman Regular" w:cs="Times New Roman Regular"/>
          <w:sz w:val="24"/>
          <w:szCs w:val="24"/>
        </w:rPr>
        <w:t xml:space="preserve"> samples was selected, and DNA was extracted. The genomic DNA was sequenced using the Illumina NovaSeq 6000 instrument. The reads in fastq format were collected and used for preprocessing. </w:t>
      </w:r>
      <w:r>
        <w:rPr>
          <w:rFonts w:ascii="Times New Roman Regular" w:hAnsi="Times New Roman Regular" w:eastAsia="等线" w:cs="Times New Roman Regular"/>
          <w:kern w:val="0"/>
          <w:sz w:val="24"/>
          <w:szCs w:val="24"/>
        </w:rPr>
        <w:t xml:space="preserve">We executed FastP (v0.20.1) to trim and filter the raw reads with the following parameters: ‘-c -q 20 -u 40 -n 5 -e 20 -l 55 --cut_right --cut_mean_quality 20 --cut_window_size 5 --trim_poly_x’. Genomes were assembled for WGS data using Unicycler (v0.4.8), a tool for assembling bacterial genomes from a combination of short and long reads, with the following parameters: ‘--min_fasta_length 500 -t 20 --keep 2’. The assembled contigs were annotated by BLAST (2.10.1+) against the custom reference database with the following parameters : ‘-evalue 1e-5 -max_target_seqs 100000 -qcov_hsp_perc 50 -perc_identity 50’. Finally, the VFGs were identified with identity &gt;90 and qcovhsp &gt; 60. </w:t>
      </w:r>
    </w:p>
    <w:p>
      <w:pPr>
        <w:spacing w:line="360" w:lineRule="auto"/>
        <w:rPr>
          <w:rFonts w:hint="default" w:ascii="Times New Roman Bold" w:hAnsi="Times New Roman Bold" w:eastAsia="等线" w:cs="Times New Roman Bold"/>
          <w:b/>
          <w:bCs/>
          <w:color w:val="auto"/>
          <w:sz w:val="28"/>
          <w:szCs w:val="28"/>
          <w:highlight w:val="none"/>
        </w:rPr>
      </w:pPr>
      <w:r>
        <w:rPr>
          <w:rFonts w:hint="default" w:ascii="Times New Roman Bold" w:hAnsi="Times New Roman Bold" w:eastAsia="等线" w:cs="Times New Roman Bold"/>
          <w:b/>
          <w:bCs/>
          <w:color w:val="auto"/>
          <w:sz w:val="28"/>
          <w:szCs w:val="28"/>
          <w:highlight w:val="none"/>
        </w:rPr>
        <w:t>II Supplementary Tables</w:t>
      </w:r>
    </w:p>
    <w:p>
      <w:pPr>
        <w:rPr>
          <w:rFonts w:hint="eastAsia"/>
          <w:sz w:val="22"/>
          <w:szCs w:val="22"/>
        </w:rPr>
      </w:pPr>
      <w:r>
        <w:rPr>
          <w:rFonts w:hint="default" w:ascii="Times New Roman" w:hAnsi="Times New Roman" w:cs="Times New Roman"/>
          <w:b/>
          <w:bCs/>
          <w:sz w:val="22"/>
          <w:szCs w:val="22"/>
        </w:rPr>
        <w:t>Table S1</w:t>
      </w:r>
      <w:r>
        <w:rPr>
          <w:rFonts w:hint="eastAsia" w:ascii="Times New Roman" w:hAnsi="Times New Roman" w:cs="Times New Roman"/>
          <w:b/>
          <w:bCs/>
          <w:sz w:val="22"/>
          <w:szCs w:val="22"/>
          <w:lang w:val="en-US" w:eastAsia="zh-CN"/>
        </w:rPr>
        <w:t xml:space="preserve"> | </w:t>
      </w:r>
      <w:r>
        <w:rPr>
          <w:rFonts w:hint="default" w:ascii="Times New Roman" w:hAnsi="Times New Roman" w:cs="Times New Roman"/>
          <w:b/>
          <w:bCs/>
          <w:sz w:val="22"/>
          <w:szCs w:val="22"/>
        </w:rPr>
        <w:t>The 24 clinically pathogenic bacteria and primary VFs and VFGs</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45"/>
        <w:gridCol w:w="1217"/>
        <w:gridCol w:w="1225"/>
        <w:gridCol w:w="1392"/>
        <w:gridCol w:w="34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3" w:hRule="atLeast"/>
        </w:trPr>
        <w:tc>
          <w:tcPr>
            <w:tcW w:w="730"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Species</w:t>
            </w:r>
          </w:p>
        </w:tc>
        <w:tc>
          <w:tcPr>
            <w:tcW w:w="714"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Genus</w:t>
            </w:r>
          </w:p>
        </w:tc>
        <w:tc>
          <w:tcPr>
            <w:tcW w:w="718"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VF</w:t>
            </w:r>
          </w:p>
        </w:tc>
        <w:tc>
          <w:tcPr>
            <w:tcW w:w="816"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VFG</w:t>
            </w:r>
          </w:p>
        </w:tc>
        <w:tc>
          <w:tcPr>
            <w:tcW w:w="2020"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VF_function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14"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Acinetobacter</w:t>
            </w:r>
          </w:p>
        </w:tc>
        <w:tc>
          <w:tcPr>
            <w:tcW w:w="718"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Phospholipase C</w:t>
            </w:r>
          </w:p>
        </w:tc>
        <w:tc>
          <w:tcPr>
            <w:tcW w:w="816"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plc</w:t>
            </w:r>
          </w:p>
        </w:tc>
        <w:tc>
          <w:tcPr>
            <w:tcW w:w="2020"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Phospholipase C contributes to the pathogenesis by aiding in the lysis of host cells, via cleavage of phospholipids present in the host cell membrane, and by degrading phospholipids present at mucosal barriers to contribute to Acinetobacter baumannii cytotoxicity.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Bacillus anthracis</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Bacillus</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Anthrax toxin</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lef,pagA,cya</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Bacillus anthracis anthrax toxin are consists of protective antigen (PA), edema factor (EF) and lethal factor (LF). The combination of PA and EF is edema toxin (EdTx), the combination of PA and LF is lethal toxin (LeTx). EdTx can cause edema and phagocytic dysfunction, increase the susceptibility of host cells, and lead to the typical edema of cutaneous anthrax. LeTx can lead to the dissolution of endothelial cells, macrophages and other cells, and is closely related to the pathogenic process of Bacillus anthracis.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Brucella melitensis</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Brucella</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lipopolysaccharide</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pgm,manAoAg,manCoAg,pmm,wbkA</w:t>
            </w:r>
            <w:r>
              <w:rPr>
                <w:rFonts w:hint="default" w:ascii="Times New Roman" w:hAnsi="Times New Roman" w:eastAsia="等线" w:cs="Times New Roman"/>
                <w:i w:val="0"/>
                <w:iCs w:val="0"/>
                <w:color w:val="000000"/>
                <w:kern w:val="0"/>
                <w:sz w:val="15"/>
                <w:szCs w:val="15"/>
                <w:u w:val="none"/>
                <w:lang w:val="en-US" w:eastAsia="zh-CN" w:bidi="ar"/>
              </w:rPr>
              <w:t>,et al</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Lipopolysaccharide (LPS) is an essential virulence factor of Brucella which changes the pathogen-associated molecular mode and plays a role in entry and early survival inside macrophages. The strains with S-LPS are able to restrain host cell apoptosis and contribute to avoid host immune surveillance.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Clostridium botulinum</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Clostridium</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Botulinum neurotoxin A</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bont/a</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Botulinum neurotoxin A (BoNT/A) binds and internalizes to neuronal cells, finally causes flaccid paralysis by inhibiting acetycholine release at the neuromuscular junction. Due to extreme toxicity, BoNT/A are responsible for many cases of foodborne botulism that is a severe neuroparalytic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Clostridium perfringens</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Clostridium</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Alpha-toxin</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plc</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Alpha-toxin (phospholipase C), which is produced by all strains of Clostridium perfringens, it is able to hydrolyse cell membrane phospholipids, which eventually leads to hemolysis, lethality and dermonecrosis.This toxin is essential for gas gangrene pathology, especially for Clostridium perfringens type 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Clostridium tetani</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Clostridium</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Tetanus toxin</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tetX</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Tetanus toxin (TeNT) is a neurospecific toxin that causes tetanus, a ubiquitous neurologic disease, characterized by spastic paralysis, that has a worldwide distribution in humans and animals. TeNT blocks the release of neurotransmitters and effectively block the neuronal discharge, resulting in the loss of spinal inhibitory control of motorneuron activity.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Corynebacterium diphtheriae</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Corynebacterium</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Diphtheria toxin</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tox</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Diphtheria toxin (DT) is a protein toxin produced by Corynebacterium diphtheria, which can Inhibit protein synthesis in the host cell and involve in the formation of the pharyngeal pseudomembrane in respiratory diphtheria, eventually causes diphtheria, an acute and communicable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Enterococcus faecalis</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Enterococcus</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Cytolysin</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cylL,cylS,cylM,cylR2</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Enterococcus faecalis cytolysin (Cyl) is lethal for a broad range of prokaryotic and eukaryotic cells, such as erythrocytes, polymorphonuclear leukocytes and macrophages. Cytolysin is an important determinant of lethality in endocarditis.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Enterococcus faecium</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Enterococcus</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Acm</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acm</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Acm mediates adherence to collagen and participates in the adhesion of Enterococcus faecium, which is important in endocarditis caused by E. faecium.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Escherichia coli</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Escherichia</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α haemolysin</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hlyA,hlyB,hlyC,hlyD</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The α haemolysin (HlyA), a toxin causing eukaryotic cell death and lysis by forming a pore within the cytoplasmic membrane, is produced by several pathogenic types of Escherichia coli causing extra-intestinal (cystitis, nephritis, meningitis, septicaemia in humans and animals) and intestinal (enteritis and enterotoxaemia in piglets) infections, more especially NTEC, ETEC, and VTEC strains.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Haemophilus influenzae</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Haemophilus</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Capsule</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bexA,bexB,bexC,bexD,bsc1,</w:t>
            </w:r>
            <w:r>
              <w:rPr>
                <w:rFonts w:hint="default" w:ascii="Times New Roman" w:hAnsi="Times New Roman" w:eastAsia="等线" w:cs="Times New Roman"/>
                <w:i w:val="0"/>
                <w:iCs w:val="0"/>
                <w:color w:val="000000"/>
                <w:kern w:val="0"/>
                <w:sz w:val="15"/>
                <w:szCs w:val="15"/>
                <w:u w:val="none"/>
                <w:lang w:val="en-US" w:eastAsia="zh-CN" w:bidi="ar"/>
              </w:rPr>
              <w:t>et al</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Capsule protects the Haemophilus influenzae strains from phagocytosis and the bactericidal activity of complement, and promotes bacterial adherence and leads to infections. The symptoms caused by unencapsulated H.influenzae strains are milder than those caused by encapsulated strains.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Klebsiella</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RmpA</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rmpA</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RmpA (Regulator of mucoid phenotype A) is a plasmid-located virulence factor of Klebsiella pneumoniae, regulating the synthesis of capsular polysaccharides. RmpA-carrying strains were significantly associated with high-mucus phenotype of hypervirulent K. pneumoniae (hvKP), and with purulent tissue infection such as liver abscess.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Legionella pneumophila</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Legionella</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Dot/Icm type IV secretion system</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ralF,lidA,lepA,lepB,sidC,</w:t>
            </w:r>
            <w:r>
              <w:rPr>
                <w:rFonts w:hint="default" w:ascii="Times New Roman" w:hAnsi="Times New Roman" w:eastAsia="等线" w:cs="Times New Roman"/>
                <w:i w:val="0"/>
                <w:iCs w:val="0"/>
                <w:color w:val="000000"/>
                <w:kern w:val="0"/>
                <w:sz w:val="15"/>
                <w:szCs w:val="15"/>
                <w:u w:val="none"/>
                <w:lang w:val="en-US" w:eastAsia="zh-CN" w:bidi="ar"/>
              </w:rPr>
              <w:t>et al</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The Dot/Icm type IV secretion system consisting of several components is the key virulence factor of Legionella pneumophila. Not only is the Dot/Icm system required for intracellular replication and the establishment of the Legionella-containing vacuole (LCV), it is also involved in bacterial entry, the inhibition of host cell apoptosis, and the egress of L. pneumophila from host cells.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Listeria monocytogenes</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Listeria</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Listeriolysin O</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hly</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The pore-forming toxin listeriolysin O (LLO) is required for host cell invasion and pathogenesis as LLO-deficient L. monocytogenes strains are avirulent. LLO forms pores across host cell membranes leading to ionic fluxes, activation of signaling pathways, and mitochondrial remodeling, which facilitate L. monocytogenes internalization, vacuolar escape, cell-to-cell spread, and intracellular proliferation.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Mycobacterium tuberculosis</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Mycobacterium</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ESX-1</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eccA1,eccB1,eccCa1,eccCb1,PE35,</w:t>
            </w:r>
            <w:r>
              <w:rPr>
                <w:rFonts w:hint="default" w:ascii="Times New Roman" w:hAnsi="Times New Roman" w:eastAsia="等线" w:cs="Times New Roman"/>
                <w:i w:val="0"/>
                <w:iCs w:val="0"/>
                <w:color w:val="000000"/>
                <w:kern w:val="0"/>
                <w:sz w:val="15"/>
                <w:szCs w:val="15"/>
                <w:u w:val="none"/>
                <w:lang w:val="en-US" w:eastAsia="zh-CN" w:bidi="ar"/>
              </w:rPr>
              <w:t>et al</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Mycobacterium tuberculosis ESX-1, a type VII secretion system (T7SS) which is necessary for virulence, causes several cellular pathological effects include induction of necrosis, NOD2 signaling, type I interferon production, autophagy, lysis of macrophage, phagosomal rupture, bacterial dissemination, granuloma formation, and ESX-1 is required for survival of mycobacteria in vivo.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Neisseria meningitidis</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Neisseria</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Capsule</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siaD/synD,siaC/synC,siaB/synB,siaA/synA,ctrA,</w:t>
            </w:r>
            <w:r>
              <w:rPr>
                <w:rFonts w:hint="default" w:ascii="Times New Roman" w:hAnsi="Times New Roman" w:eastAsia="等线" w:cs="Times New Roman"/>
                <w:i w:val="0"/>
                <w:iCs w:val="0"/>
                <w:color w:val="000000"/>
                <w:kern w:val="0"/>
                <w:sz w:val="15"/>
                <w:szCs w:val="15"/>
                <w:u w:val="none"/>
                <w:lang w:val="en-US" w:eastAsia="zh-CN" w:bidi="ar"/>
              </w:rPr>
              <w:t>et al</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Neisseria meningitidis capsule is required for systemic invasive meningococcal disease with the ability to enhance cell attachment, cell entry, microcolony formation and to facilitate a carriage state at human mucosal surfaces, and it also results in immune escape.Non-capsular strains rarely cause invasive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Pseudomonas</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Exotoxin A</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toxA</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Exotoxin A (ExoA) apparently causes disease by inhibition of protein synthesis, direct cytopathic effects, and interference with cellular immune functions of the host.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Salmonella enterica</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Salmonella</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Typhoid toxin</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cdtB</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Typhoid toxin, an atypical AB toxin, is responsible for symptom development and transition from acute to chronic state during typhoid fever. In there, CdtB subunit induces G2/M cell cycle arrest through its DNase-I-like activity by damaging the host cell DNA, and inducing the DNA-damage response, which is subsequently involved in acute symptoms of typhoid fever, including fever and abdominal pain.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Staphylococcus aureus</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Staphylococcus</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Panton-Valentine Leucocidin</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lukF-PV,lukS-PV,lukD</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Panton-Valentine Leucocidin (PVL) is a cytotoxin that affects leukocytes and causes tissue necrosis and has been associated to furuncles, cutaneous abscesses and severe necrotic skin infections. PVL is strongly associated with virulent strains and could cause deadly infections in healthy people.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Streptococcus agalactiae</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Streptococcus</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β-hemolysin/cytolysin</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cylE</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β-hemolysin/cytolysin (βH/C), a pore-forming toxin that is cytolytic for a broad range of eukaryotic cells, βH/C also induces apoptosis, recruits neutrophils, stimulates cytokine release, and enhances bacterial intracellular invasion. Therefore, βH/C an important role for βH/C in invasive neonatal diseases including sepsis, pneumonia, and meningitis.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Streptococcus mutans</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Streptococcus</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SpaP</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spaP</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SpaP is a crucial adhesion and colonization factor of Streptococcus_mutans which mediates the adherence of S. mutans to the saliva-coated tooth surface by interacting specifically with a salivary component, salivary agglutinin (SAG), and SpaP is related to dental caries.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Streptococcus pneumoniae</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Streptococcus</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Pneumolysin</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ply</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Pneumolysin causes cell lysis,  promotes the formation of biofilms, reduces mucus clearance of the bacterium, and it can interfere with the host's immune system. It is also a pro-inflammatory toxin which causes damage to host cells, and this pro-inflammation also assists with host-to-host transmission. Pneumolysin is associated with pneumonia, bacteremia, acute lung injury and myocardial injury.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Streptococcus pyogenes</w:t>
            </w:r>
          </w:p>
        </w:tc>
        <w:tc>
          <w:tcPr>
            <w:tcW w:w="71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Streptococcus</w:t>
            </w:r>
          </w:p>
        </w:tc>
        <w:tc>
          <w:tcPr>
            <w:tcW w:w="7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Streptococcal pyrogenic exotoxins</w:t>
            </w:r>
          </w:p>
        </w:tc>
        <w:tc>
          <w:tcPr>
            <w:tcW w:w="81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speK,speL,speB,speC</w:t>
            </w:r>
          </w:p>
        </w:tc>
        <w:tc>
          <w:tcPr>
            <w:tcW w:w="202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Streptococcal pyrogenic exotoxins, acting as superantigens which interact with major histocompatibility complex (MHC) class II molecules and a limited number of Vβ regions of the T-lymphocyte receptor to activate massive numbers of T cells nonspecifically, are responsible for the rash, strawberry tongue, and desquamation of the skin seen in scarlet fever.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730"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Vibrio cholerae</w:t>
            </w:r>
          </w:p>
        </w:tc>
        <w:tc>
          <w:tcPr>
            <w:tcW w:w="714"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Vibrio</w:t>
            </w:r>
          </w:p>
        </w:tc>
        <w:tc>
          <w:tcPr>
            <w:tcW w:w="718"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Cholera toxin</w:t>
            </w:r>
          </w:p>
        </w:tc>
        <w:tc>
          <w:tcPr>
            <w:tcW w:w="816"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ctxA,ctxB</w:t>
            </w:r>
          </w:p>
        </w:tc>
        <w:tc>
          <w:tcPr>
            <w:tcW w:w="2020"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Cholera toxin (CT), a member of the AB toxin family with unusual characteristics such as its unique structure, retrograde transport, retrotranslocation and mono-ADP-ribosyltransferase activity, induces elevated intracellular cAMP levels that provoke loss of water and electrolytes which is manifested as the typical diarrhoea.</w:t>
            </w:r>
          </w:p>
        </w:tc>
      </w:tr>
    </w:tbl>
    <w:p>
      <w:pPr>
        <w:rPr>
          <w:rFonts w:hint="eastAsia"/>
        </w:rPr>
      </w:pPr>
    </w:p>
    <w:p>
      <w:pPr>
        <w:rPr>
          <w:rFonts w:hint="default" w:ascii="Times New Roman" w:hAnsi="Times New Roman" w:cs="Times New Roman"/>
          <w:b/>
          <w:bCs/>
          <w:sz w:val="18"/>
          <w:szCs w:val="18"/>
        </w:rPr>
      </w:pPr>
    </w:p>
    <w:p>
      <w:pPr>
        <w:rPr>
          <w:rFonts w:hint="default" w:ascii="Times New Roman" w:hAnsi="Times New Roman" w:cs="Times New Roman"/>
          <w:b/>
          <w:bCs/>
          <w:sz w:val="18"/>
          <w:szCs w:val="18"/>
        </w:rPr>
      </w:pPr>
      <w:r>
        <w:rPr>
          <w:rFonts w:hint="default" w:ascii="Times New Roman" w:hAnsi="Times New Roman" w:cs="Times New Roman"/>
          <w:b/>
          <w:bCs/>
          <w:sz w:val="18"/>
          <w:szCs w:val="18"/>
        </w:rPr>
        <w:br w:type="page"/>
      </w:r>
    </w:p>
    <w:p>
      <w:pPr>
        <w:rPr>
          <w:rFonts w:hint="default" w:ascii="Times New Roman" w:hAnsi="Times New Roman" w:cs="Times New Roman"/>
          <w:b/>
          <w:bCs/>
          <w:sz w:val="22"/>
          <w:szCs w:val="22"/>
        </w:rPr>
      </w:pPr>
      <w:r>
        <w:rPr>
          <w:rFonts w:hint="default" w:ascii="Times New Roman" w:hAnsi="Times New Roman" w:cs="Times New Roman"/>
          <w:b/>
          <w:bCs/>
          <w:sz w:val="22"/>
          <w:szCs w:val="22"/>
        </w:rPr>
        <w:t>Table S2</w:t>
      </w:r>
      <w:r>
        <w:rPr>
          <w:rFonts w:hint="eastAsia" w:ascii="Times New Roman" w:hAnsi="Times New Roman" w:cs="Times New Roman"/>
          <w:b/>
          <w:bCs/>
          <w:sz w:val="22"/>
          <w:szCs w:val="22"/>
          <w:lang w:val="en-US" w:eastAsia="zh-CN"/>
        </w:rPr>
        <w:t xml:space="preserve"> | </w:t>
      </w:r>
      <w:r>
        <w:rPr>
          <w:rFonts w:hint="default" w:ascii="Times New Roman" w:hAnsi="Times New Roman" w:cs="Times New Roman"/>
          <w:b/>
          <w:bCs/>
          <w:sz w:val="22"/>
          <w:szCs w:val="22"/>
        </w:rPr>
        <w:t xml:space="preserve">VFGs detection rates of </w:t>
      </w:r>
      <w:r>
        <w:rPr>
          <w:rFonts w:hint="default" w:ascii="Times New Roman Bold Italic" w:hAnsi="Times New Roman Bold Italic" w:cs="Times New Roman Bold Italic"/>
          <w:b/>
          <w:bCs/>
          <w:i/>
          <w:iCs/>
          <w:sz w:val="22"/>
          <w:szCs w:val="22"/>
        </w:rPr>
        <w:t>A. baumannii</w:t>
      </w:r>
      <w:r>
        <w:rPr>
          <w:rFonts w:hint="default" w:ascii="Times New Roman" w:hAnsi="Times New Roman" w:cs="Times New Roman"/>
          <w:b/>
          <w:bCs/>
          <w:sz w:val="22"/>
          <w:szCs w:val="22"/>
        </w:rPr>
        <w:t xml:space="preserve">, </w:t>
      </w:r>
      <w:r>
        <w:rPr>
          <w:rFonts w:hint="default" w:ascii="Times New Roman Bold Italic" w:hAnsi="Times New Roman Bold Italic" w:cs="Times New Roman Bold Italic"/>
          <w:b/>
          <w:bCs/>
          <w:i/>
          <w:iCs/>
          <w:sz w:val="22"/>
          <w:szCs w:val="22"/>
        </w:rPr>
        <w:t>K. pneumoniae</w:t>
      </w:r>
      <w:r>
        <w:rPr>
          <w:rFonts w:hint="default" w:ascii="Times New Roman" w:hAnsi="Times New Roman" w:cs="Times New Roman"/>
          <w:b/>
          <w:bCs/>
          <w:sz w:val="22"/>
          <w:szCs w:val="22"/>
        </w:rPr>
        <w:t xml:space="preserve">, </w:t>
      </w:r>
      <w:r>
        <w:rPr>
          <w:rFonts w:hint="default" w:ascii="Times New Roman Bold Italic" w:hAnsi="Times New Roman Bold Italic" w:cs="Times New Roman Bold Italic"/>
          <w:b/>
          <w:bCs/>
          <w:i/>
          <w:iCs/>
          <w:sz w:val="22"/>
          <w:szCs w:val="22"/>
        </w:rPr>
        <w:t>P. aeruginosa</w:t>
      </w:r>
      <w:r>
        <w:rPr>
          <w:rFonts w:hint="default" w:ascii="Times New Roman" w:hAnsi="Times New Roman" w:cs="Times New Roman"/>
          <w:b/>
          <w:bCs/>
          <w:sz w:val="22"/>
          <w:szCs w:val="22"/>
        </w:rPr>
        <w:t xml:space="preserve"> in DNA and RNA samples</w:t>
      </w:r>
    </w:p>
    <w:tbl>
      <w:tblPr>
        <w:tblStyle w:val="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81"/>
        <w:gridCol w:w="1204"/>
        <w:gridCol w:w="2044"/>
        <w:gridCol w:w="1974"/>
        <w:gridCol w:w="15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1047"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Species</w:t>
            </w:r>
          </w:p>
        </w:tc>
        <w:tc>
          <w:tcPr>
            <w:tcW w:w="708"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Gene symbol</w:t>
            </w:r>
          </w:p>
        </w:tc>
        <w:tc>
          <w:tcPr>
            <w:tcW w:w="120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Detection rate in DNA level</w:t>
            </w:r>
          </w:p>
        </w:tc>
        <w:tc>
          <w:tcPr>
            <w:tcW w:w="1150"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Detection rate in RNA level</w:t>
            </w:r>
          </w:p>
        </w:tc>
        <w:tc>
          <w:tcPr>
            <w:tcW w:w="89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Class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csgD</w:t>
            </w:r>
          </w:p>
        </w:tc>
        <w:tc>
          <w:tcPr>
            <w:tcW w:w="1201"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1150"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0.21</w:t>
            </w:r>
          </w:p>
        </w:tc>
        <w:tc>
          <w:tcPr>
            <w:tcW w:w="891"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pcr3</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fleP</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flgN</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phzA1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Unclassified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katA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Enzyme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plc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0.72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Enzyme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plc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Enzyme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plcD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Enzyme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basJ</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basI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basH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barB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barA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basG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basF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entE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basD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0.72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basC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bauA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bauB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bauE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bauC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bauD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basB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basA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bauF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csuA/B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csuA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csuB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csuC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csuD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csuE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bap</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pgaA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pgaB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pgaC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pgaD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adeF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adeG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adeH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ompA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abaI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abaR</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bfmR</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bfmS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spcS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entD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vipA/tssB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dotU/tssL</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sciN/tssJ</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galF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rcsB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algQ</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algU</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pilT</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Acinetobacter baumannii</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icaR</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xcpV</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xcpU</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xcpT</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xcpS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xcpR</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xcpP</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xcpQ</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pscU</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pscT</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pscR</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pscQ</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pscP</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pscO</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pscN</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popN</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pcr1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cheY</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pcr2</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pcr3</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pcr4</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pcrD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pcrR</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pcrG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pcrV</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pcrH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popB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popD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exsC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exsE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fleI/flag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fleP</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fleS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fliK</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fliL</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exsB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flgM</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flgN</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motB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motA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motC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motD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motY</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mucD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exsA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algW</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mucE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mucP</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rhlC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exoU</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phzA1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Unclassified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phzB1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Unclassified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phzC1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Unclassified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phzD1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Unclassified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phzE1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Unclassified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exsD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phzF1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Unclassified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phzG1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Unclassified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phzH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Unclassified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pvdQ</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pvdP</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pvdM</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pvdN</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pvdO</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pvdJ</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pvdL</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0.77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pscJ</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katA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Enzyme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pscK</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pscL</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basI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tagQ</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vgrG1b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tse1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tse2</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tse3</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spcS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spcU</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pvcA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pvcB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pvcC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pvcD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ptxR</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mbtH-like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vipA/tssB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exlA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xcpA/pilD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toxA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algP/algR3</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algQ</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algR</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algZ</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algU</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alg8</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alg44</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pilV</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pilW</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pilX</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pilY1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pilY2</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algK</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pilR</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fimT</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fimU</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pilQ</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pilP</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pilO</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pilN</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pilM</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pilT</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pilU</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pilJ</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pilK</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fimV</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chpA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0.76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chpB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chpC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chpD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chpE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algX</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flgJ</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flgK</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flgL</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fleQ</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fleR</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algL</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fliJ</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fliM</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fliN</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fliO</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fliP</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fliQ</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fliR</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flhB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flhA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flhF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fleN</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pchI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pchH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pchG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algJ</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algA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mucA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mucB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mucC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wzz</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wzy</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waaG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waaP</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waaA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waaC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waaF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aprA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Enzyme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lasA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Enzyme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lasB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Enzyme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exoS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exoT</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exoY</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rhlI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lasI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rhlB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rhlA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plcH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tagR</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tagS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tagT</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ppkA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pppA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tagF/pppB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icmF1/tssM1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0.71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dotU1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hsiJ1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lip1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fha1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hsiA1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hsiB1/vipA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hsiC1/vipB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hcp1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hsiE1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hsiF1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hsiG1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hsiH1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clpV1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vgrG1a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pvdS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fpvA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fptA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pchF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0.72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pchE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pchR</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pchD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pchC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pchB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pchA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phzM</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phzS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xcpZ</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xcpY</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xcpX</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Pseudomonas aeruginosa</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xcpW</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acrA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acrB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0.72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allA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allB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allC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allD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allR</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allS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clbJ</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clbK</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clbL</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clbM</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clbN</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clbO</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clbP</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clbQ</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clpV/tssH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cpsACP</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dotU/tssL</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entA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entB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entC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entD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entE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entF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fepA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fepB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fepC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fepD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fepG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fes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fimK</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fyuA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galF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glf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gmd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gnd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hcp/tssD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icmF/tssM</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impA/tssA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iroB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iroC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iroD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iroE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iroN</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irp1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irp2</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iucA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iucB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iucC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iucD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iutA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kdsA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Toxin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kfoC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KPHS_23120</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magA/wzy_K1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manB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manC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mrkA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mrkB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mrkC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mrkD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mrkF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mrkH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mrkI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mrkJ</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ompA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rcsA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rcsB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rmpA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rmpA2</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0.19</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sciN/tssJ</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tle1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tli1</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tssF</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tssG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ugd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0.51</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vasE/tssK</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vgrG/tssI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vipA/tssB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vipB/tssC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Secretion_system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wbbM</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wbbN</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wbbO</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wcaG</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wcaH</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wcaI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wcaJ</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wclY</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wcsS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wcsT</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wza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0.29</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wzb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wzc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wzi</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wzm</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wzt</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wzx</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Evasion_Resistance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yagV/ecpE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yagW/ecpD</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yagX/ecpC</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yagY/ecpB</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yagZ/ecpA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ybdA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0.53</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ybtA</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ybtE</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ybtP</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ybtQ</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ybtS</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ybtT</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ybtU</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ybtX</w:t>
            </w:r>
          </w:p>
        </w:tc>
        <w:tc>
          <w:tcPr>
            <w:tcW w:w="120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115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89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Nutrient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047"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Klebsiella pneumoniae</w:t>
            </w:r>
          </w:p>
        </w:tc>
        <w:tc>
          <w:tcPr>
            <w:tcW w:w="708"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ykgK/ecpR</w:t>
            </w:r>
          </w:p>
        </w:tc>
        <w:tc>
          <w:tcPr>
            <w:tcW w:w="1201"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1150"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891"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Adherence</w:t>
            </w:r>
          </w:p>
        </w:tc>
      </w:tr>
    </w:tbl>
    <w:p>
      <w:pPr>
        <w:rPr>
          <w:rFonts w:hint="default" w:ascii="Times New Roman" w:hAnsi="Times New Roman" w:cs="Times New Roman"/>
          <w:b/>
          <w:bCs/>
          <w:sz w:val="18"/>
          <w:szCs w:val="18"/>
        </w:rPr>
      </w:pPr>
    </w:p>
    <w:p>
      <w:pPr>
        <w:rPr>
          <w:rFonts w:hint="default" w:ascii="Times New Roman" w:hAnsi="Times New Roman" w:cs="Times New Roman"/>
          <w:b/>
          <w:bCs/>
          <w:sz w:val="18"/>
          <w:szCs w:val="18"/>
        </w:rPr>
      </w:pPr>
      <w:r>
        <w:rPr>
          <w:rFonts w:hint="default" w:ascii="Times New Roman" w:hAnsi="Times New Roman" w:cs="Times New Roman"/>
          <w:b/>
          <w:bCs/>
          <w:sz w:val="18"/>
          <w:szCs w:val="18"/>
        </w:rPr>
        <w:br w:type="page"/>
      </w:r>
    </w:p>
    <w:p>
      <w:pPr>
        <w:rPr>
          <w:rFonts w:hint="default" w:ascii="Times New Roman" w:hAnsi="Times New Roman" w:cs="Times New Roman"/>
          <w:b/>
          <w:bCs/>
          <w:sz w:val="22"/>
          <w:szCs w:val="22"/>
        </w:rPr>
      </w:pPr>
      <w:r>
        <w:rPr>
          <w:rFonts w:hint="default" w:ascii="Times New Roman" w:hAnsi="Times New Roman" w:cs="Times New Roman"/>
          <w:b/>
          <w:bCs/>
          <w:sz w:val="22"/>
          <w:szCs w:val="22"/>
        </w:rPr>
        <w:t>Table S3</w:t>
      </w:r>
      <w:r>
        <w:rPr>
          <w:rFonts w:hint="eastAsia" w:ascii="Times New Roman" w:hAnsi="Times New Roman" w:cs="Times New Roman"/>
          <w:b/>
          <w:bCs/>
          <w:sz w:val="22"/>
          <w:szCs w:val="22"/>
          <w:lang w:val="en-US" w:eastAsia="zh-CN"/>
        </w:rPr>
        <w:t xml:space="preserve"> | </w:t>
      </w:r>
      <w:r>
        <w:rPr>
          <w:rFonts w:hint="default" w:ascii="Times New Roman" w:hAnsi="Times New Roman" w:cs="Times New Roman"/>
          <w:b/>
          <w:bCs/>
          <w:sz w:val="22"/>
          <w:szCs w:val="22"/>
        </w:rPr>
        <w:t>The 53 VFGs with significantly higher detection rates in hvKps than in cKps</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2"/>
        <w:gridCol w:w="633"/>
        <w:gridCol w:w="634"/>
        <w:gridCol w:w="925"/>
        <w:gridCol w:w="658"/>
        <w:gridCol w:w="1092"/>
        <w:gridCol w:w="1158"/>
        <w:gridCol w:w="842"/>
        <w:gridCol w:w="19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69" w:hRule="atLeast"/>
        </w:trPr>
        <w:tc>
          <w:tcPr>
            <w:tcW w:w="388"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VFGs</w:t>
            </w:r>
          </w:p>
        </w:tc>
        <w:tc>
          <w:tcPr>
            <w:tcW w:w="37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hvKP</w:t>
            </w:r>
          </w:p>
        </w:tc>
        <w:tc>
          <w:tcPr>
            <w:tcW w:w="37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kern w:val="0"/>
                <w:sz w:val="15"/>
                <w:szCs w:val="15"/>
                <w:u w:val="none"/>
                <w:lang w:val="en-US" w:eastAsia="zh-CN" w:bidi="ar"/>
              </w:rPr>
            </w:pPr>
            <w:r>
              <w:rPr>
                <w:rFonts w:hint="default" w:ascii="Times New Roman" w:hAnsi="Times New Roman" w:eastAsia="等线" w:cs="Times New Roman"/>
                <w:b/>
                <w:bCs/>
                <w:i w:val="0"/>
                <w:iCs w:val="0"/>
                <w:color w:val="000000"/>
                <w:kern w:val="0"/>
                <w:sz w:val="15"/>
                <w:szCs w:val="15"/>
                <w:u w:val="none"/>
                <w:lang w:val="en-US" w:eastAsia="zh-CN" w:bidi="ar"/>
              </w:rPr>
              <w:t>Non-</w:t>
            </w:r>
          </w:p>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hvKP</w:t>
            </w:r>
          </w:p>
        </w:tc>
        <w:tc>
          <w:tcPr>
            <w:tcW w:w="542"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Fisher test p-value</w:t>
            </w:r>
          </w:p>
        </w:tc>
        <w:tc>
          <w:tcPr>
            <w:tcW w:w="386"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Difference</w:t>
            </w:r>
          </w:p>
        </w:tc>
        <w:tc>
          <w:tcPr>
            <w:tcW w:w="640"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Detection rate in DNA level (mNGS)</w:t>
            </w:r>
          </w:p>
        </w:tc>
        <w:tc>
          <w:tcPr>
            <w:tcW w:w="679"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Detection rate in RNA level (mNGS)</w:t>
            </w:r>
          </w:p>
        </w:tc>
        <w:tc>
          <w:tcPr>
            <w:tcW w:w="494"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VF</w:t>
            </w:r>
          </w:p>
        </w:tc>
        <w:tc>
          <w:tcPr>
            <w:tcW w:w="1125"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b/>
                <w:bCs/>
                <w:i w:val="0"/>
                <w:iCs w:val="0"/>
                <w:color w:val="000000"/>
                <w:sz w:val="15"/>
                <w:szCs w:val="15"/>
                <w:u w:val="none"/>
              </w:rPr>
            </w:pPr>
            <w:r>
              <w:rPr>
                <w:rFonts w:hint="default" w:ascii="Times New Roman" w:hAnsi="Times New Roman" w:eastAsia="等线" w:cs="Times New Roman"/>
                <w:b/>
                <w:bCs/>
                <w:i w:val="0"/>
                <w:iCs w:val="0"/>
                <w:color w:val="000000"/>
                <w:kern w:val="0"/>
                <w:sz w:val="15"/>
                <w:szCs w:val="15"/>
                <w:u w:val="none"/>
                <w:lang w:val="en-US" w:eastAsia="zh-CN" w:bidi="ar"/>
              </w:rPr>
              <w:t>VF_function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0" w:hRule="atLeast"/>
        </w:trPr>
        <w:tc>
          <w:tcPr>
            <w:tcW w:w="388"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iucA</w:t>
            </w:r>
          </w:p>
        </w:tc>
        <w:tc>
          <w:tcPr>
            <w:tcW w:w="371"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542"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1.36E-22</w:t>
            </w:r>
          </w:p>
        </w:tc>
        <w:tc>
          <w:tcPr>
            <w:tcW w:w="386"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640"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679"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494" w:type="pct"/>
            <w:vMerge w:val="restart"/>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Aerobactin</w:t>
            </w:r>
          </w:p>
        </w:tc>
        <w:tc>
          <w:tcPr>
            <w:tcW w:w="1125" w:type="pct"/>
            <w:vMerge w:val="restart"/>
            <w:tcBorders>
              <w:top w:val="single" w:color="auto" w:sz="4" w:space="0"/>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Aerobactin: As a key siderophore which is rarely produced by classical Klebsiella pneumoniae (cKp) strains but are typically secreted by hypervirulent K. pneumoni (hvKp) strains, aerobactin plays an important role in iron carrying, growth, and virulence of K.pneumoniae.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0"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iucB</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0.83</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1.01E-23</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0"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iucC</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1.36E-22</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0.17</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0"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iucD</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1.36E-22</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0"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iutA</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1.36E-22</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wcaJ</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0.48</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2.95E-14</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0.34</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0.14</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494" w:type="pct"/>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Capsule</w:t>
            </w:r>
          </w:p>
        </w:tc>
        <w:tc>
          <w:tcPr>
            <w:tcW w:w="1125" w:type="pct"/>
            <w:vMerge w:val="restar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Capsule: The capsule of Klebsiella pneumoniae is an important virulence factor that promotes resistance to phagocytosis and serum bactericidal activity. The unencapsulated strains have decreased pathogenicity in mice compared with encapsulated strains.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wcaI</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4.25E-15</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0.34</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wcaH</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2.56E-14</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0.33</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wcaG</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1.82E-15</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0.35</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gmd</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0.46</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0.12</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1.08E-14</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0.34</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wcsT</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0.42</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8.26E-20</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0.37</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wcsS</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0.42</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8.26E-20</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0.37</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magA/wzy_K1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2.03E-19</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wclY</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0.42</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8.26E-20</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0.37</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wzx</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0.42</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8.26E-20</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0.37</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wzc</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0.42</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8.26E-20</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0.37</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wzb</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0.42</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1.24E-18</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0.36</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clbA</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2.55E-20</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Colibactin</w:t>
            </w:r>
          </w:p>
        </w:tc>
        <w:tc>
          <w:tcPr>
            <w:tcW w:w="1125" w:type="pct"/>
            <w:vMerge w:val="restar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Colibactin: Colibactin is a genotoxin which damages DNA and disrupts the host cell cycle, and appears to support the colonization and pathogenesis of hypervirulent Klebsiella pneumoniae (hvKp).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clbB</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4.76E-21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clbC</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4.76E-21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clbD</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4.76E-21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clbE</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1.30E-19</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clbF</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4.76E-21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clbG</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4.76E-21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clbH</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4.76E-21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0.09</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clbI</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4.76E-21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clbJ</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4.76E-21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clbL</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4.76E-21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clbM</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4.76E-21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clbN</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4.76E-21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clbO</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4.76E-21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clbP</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4.76E-21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clbQ</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0.44</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6.74E-20</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clbS</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0.45</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4.76E-21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0.39</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0.01</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41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kfoC</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0.58</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0.27</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2.31E-10</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0.18</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494" w:type="pct"/>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LPS</w:t>
            </w:r>
          </w:p>
        </w:tc>
        <w:tc>
          <w:tcPr>
            <w:tcW w:w="1125" w:type="pct"/>
            <w:vMerge w:val="restar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LPS: Lipopolysaccharide (LPS) is considered to be a major virulence determinant of Klebsiella pneumoniae, which is resistant to serum complement and plays a role in protecting bacteria from antimicrobial peptides, including polymyxin antibiotics.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41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wbbO</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0.87</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0.56</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1.26E-11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0.15</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68"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rmpA</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0.79</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0.29</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1.65E-23</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494" w:type="pct"/>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RmpA</w:t>
            </w:r>
          </w:p>
        </w:tc>
        <w:tc>
          <w:tcPr>
            <w:tcW w:w="1125" w:type="pct"/>
            <w:vMerge w:val="restar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RmpA (regulator of mucoid phenotype A), a plasmid-located virulence factor of Klebsiella pneumoniae, regulates the synthesis of capsular polysaccharides. RmpA-carrying strains are significantly associated with high-mucus phenotype of hypervirulent K. pneumoniae (hvKP), and contributes to purulent tissue infection such as liver abscess.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68"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rmpA2</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0.69</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0.31</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1.53E-14</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0.38</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0.19</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iroN</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0.29</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4.82E-26</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0.52</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494" w:type="pct"/>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Sal</w:t>
            </w:r>
          </w:p>
        </w:tc>
        <w:tc>
          <w:tcPr>
            <w:tcW w:w="1125" w:type="pct"/>
            <w:vMerge w:val="restar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Sal:As a siderophore which is rarely produced by classical Klebsiella pneumoniae (cKp) strains but are typically secreted by hypervirulent K. pneumoni (hvKp) strains, salmochelin (Sal) is associated with growth, replication of bacteria and invasive diseases, such as liver abscess and pneumonia.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iroB</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0.76</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1.03E-38</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0.63</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0.22</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iroC</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0.74</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8.83E-37</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0.61</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0.28</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0.11</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7"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iroD</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0.76</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0.13</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1.03E-38</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0.63</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0.24</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0.07</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ybtS</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9.46E-12</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0.16</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494" w:type="pct"/>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Ybt</w:t>
            </w:r>
          </w:p>
        </w:tc>
        <w:tc>
          <w:tcPr>
            <w:tcW w:w="1125" w:type="pct"/>
            <w:vMerge w:val="restar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Ybt: As a siderophore which is more commonly present in hypervirulent Klebsiella pneumoni (hvKp) strains than classical K. pneumoniae (cKp) strains, yersiniabactin (Ybt) is involved in growth and replication of bacteria, and promotes respiratory tract infections through evasion of Lcn2.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ybtX</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3.67E-11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ybtQ</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9.46E-12</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ybtP</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9.46E-12</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ybtA</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3.24E-11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0.08</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irp2</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9.46E-12</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0.25</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irp1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3.67E-11</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ybtU</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9.46E-12</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0.06</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0.03</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ybtT</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9.46E-12</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0.05</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38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ybtE</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54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9.46E-12</w:t>
            </w:r>
          </w:p>
        </w:tc>
        <w:tc>
          <w:tcPr>
            <w:tcW w:w="38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640"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67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w:t>
            </w:r>
          </w:p>
        </w:tc>
        <w:tc>
          <w:tcPr>
            <w:tcW w:w="494" w:type="pct"/>
            <w:vMerge w:val="continue"/>
            <w:tcBorders>
              <w:top w:val="nil"/>
              <w:left w:val="nil"/>
              <w:bottom w:val="nil"/>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nil"/>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388"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iCs/>
                <w:color w:val="000000"/>
                <w:sz w:val="15"/>
                <w:szCs w:val="15"/>
                <w:u w:val="none"/>
              </w:rPr>
            </w:pPr>
            <w:r>
              <w:rPr>
                <w:rFonts w:hint="default" w:ascii="Times New Roman" w:hAnsi="Times New Roman" w:eastAsia="等线" w:cs="Times New Roman"/>
                <w:i/>
                <w:iCs/>
                <w:color w:val="000000"/>
                <w:kern w:val="0"/>
                <w:sz w:val="15"/>
                <w:szCs w:val="15"/>
                <w:u w:val="none"/>
                <w:lang w:val="en-US" w:eastAsia="zh-CN" w:bidi="ar"/>
              </w:rPr>
              <w:t>fyuA</w:t>
            </w:r>
          </w:p>
        </w:tc>
        <w:tc>
          <w:tcPr>
            <w:tcW w:w="371"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0.81</w:t>
            </w:r>
          </w:p>
        </w:tc>
        <w:tc>
          <w:tcPr>
            <w:tcW w:w="371"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0.49</w:t>
            </w:r>
          </w:p>
        </w:tc>
        <w:tc>
          <w:tcPr>
            <w:tcW w:w="542"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9.46E-12</w:t>
            </w:r>
          </w:p>
        </w:tc>
        <w:tc>
          <w:tcPr>
            <w:tcW w:w="386"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0.32</w:t>
            </w:r>
          </w:p>
        </w:tc>
        <w:tc>
          <w:tcPr>
            <w:tcW w:w="640"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0.04</w:t>
            </w:r>
          </w:p>
        </w:tc>
        <w:tc>
          <w:tcPr>
            <w:tcW w:w="679"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000000"/>
                <w:sz w:val="15"/>
                <w:szCs w:val="15"/>
                <w:u w:val="none"/>
              </w:rPr>
            </w:pPr>
            <w:r>
              <w:rPr>
                <w:rFonts w:hint="default" w:ascii="Times New Roman" w:hAnsi="Times New Roman" w:eastAsia="等线" w:cs="Times New Roman"/>
                <w:i w:val="0"/>
                <w:iCs w:val="0"/>
                <w:color w:val="000000"/>
                <w:kern w:val="0"/>
                <w:sz w:val="15"/>
                <w:szCs w:val="15"/>
                <w:u w:val="none"/>
                <w:lang w:val="en-US" w:eastAsia="zh-CN" w:bidi="ar"/>
              </w:rPr>
              <w:t>0.02</w:t>
            </w:r>
          </w:p>
        </w:tc>
        <w:tc>
          <w:tcPr>
            <w:tcW w:w="494" w:type="pct"/>
            <w:vMerge w:val="continue"/>
            <w:tcBorders>
              <w:top w:val="nil"/>
              <w:left w:val="nil"/>
              <w:bottom w:val="single" w:color="auto" w:sz="4" w:space="0"/>
              <w:right w:val="nil"/>
            </w:tcBorders>
            <w:shd w:val="clear" w:color="auto" w:fill="auto"/>
            <w:noWrap/>
            <w:vAlign w:val="center"/>
          </w:tcPr>
          <w:p>
            <w:pPr>
              <w:jc w:val="center"/>
              <w:rPr>
                <w:rFonts w:hint="default" w:ascii="Times New Roman" w:hAnsi="Times New Roman" w:eastAsia="等线" w:cs="Times New Roman"/>
                <w:i w:val="0"/>
                <w:iCs w:val="0"/>
                <w:color w:val="000000"/>
                <w:sz w:val="15"/>
                <w:szCs w:val="15"/>
                <w:u w:val="none"/>
              </w:rPr>
            </w:pPr>
          </w:p>
        </w:tc>
        <w:tc>
          <w:tcPr>
            <w:tcW w:w="1125" w:type="pct"/>
            <w:vMerge w:val="continue"/>
            <w:tcBorders>
              <w:top w:val="nil"/>
              <w:left w:val="nil"/>
              <w:bottom w:val="single" w:color="auto" w:sz="4" w:space="0"/>
              <w:right w:val="nil"/>
            </w:tcBorders>
            <w:shd w:val="clear" w:color="auto" w:fill="auto"/>
            <w:vAlign w:val="center"/>
          </w:tcPr>
          <w:p>
            <w:pPr>
              <w:jc w:val="left"/>
              <w:rPr>
                <w:rFonts w:hint="default" w:ascii="Times New Roman" w:hAnsi="Times New Roman" w:eastAsia="等线" w:cs="Times New Roman"/>
                <w:i w:val="0"/>
                <w:iCs w:val="0"/>
                <w:color w:val="000000"/>
                <w:sz w:val="15"/>
                <w:szCs w:val="15"/>
                <w:u w:val="none"/>
              </w:rPr>
            </w:pPr>
          </w:p>
        </w:tc>
      </w:tr>
    </w:tbl>
    <w:p>
      <w:pPr>
        <w:rPr>
          <w:rFonts w:hint="default" w:ascii="Times New Roman" w:hAnsi="Times New Roman" w:cs="Times New Roman"/>
          <w:b/>
          <w:bCs/>
          <w:sz w:val="18"/>
          <w:szCs w:val="18"/>
        </w:rPr>
        <w:sectPr>
          <w:pgSz w:w="11906" w:h="16838"/>
          <w:pgMar w:top="1440" w:right="1800" w:bottom="1440" w:left="1800" w:header="851" w:footer="992" w:gutter="0"/>
          <w:cols w:space="425" w:num="1"/>
          <w:docGrid w:type="lines" w:linePitch="312" w:charSpace="0"/>
        </w:sectPr>
      </w:pPr>
    </w:p>
    <w:p>
      <w:pPr>
        <w:spacing w:line="360" w:lineRule="auto"/>
        <w:rPr>
          <w:rFonts w:hint="default" w:ascii="Times New Roman" w:hAnsi="Times New Roman" w:eastAsia="等线" w:cs="Times New Roman"/>
          <w:b w:val="0"/>
          <w:bCs w:val="0"/>
          <w:sz w:val="22"/>
          <w:szCs w:val="22"/>
          <w:highlight w:val="none"/>
          <w:shd w:val="clear" w:color="auto" w:fill="FFFFFF"/>
        </w:rPr>
      </w:pPr>
      <w:r>
        <w:rPr>
          <w:rFonts w:hint="default" w:ascii="Times New Roman Bold" w:hAnsi="Times New Roman Bold" w:eastAsia="等线" w:cs="Times New Roman Bold"/>
          <w:b/>
          <w:bCs/>
          <w:sz w:val="22"/>
          <w:szCs w:val="22"/>
          <w:highlight w:val="none"/>
          <w:shd w:val="clear" w:color="auto" w:fill="FFFFFF"/>
        </w:rPr>
        <w:t xml:space="preserve">Table S4 </w:t>
      </w:r>
      <w:r>
        <w:rPr>
          <w:rFonts w:hint="eastAsia" w:ascii="Times New Roman" w:hAnsi="Times New Roman" w:cs="Times New Roman"/>
          <w:b/>
          <w:bCs/>
          <w:sz w:val="22"/>
          <w:szCs w:val="22"/>
          <w:highlight w:val="none"/>
          <w:lang w:val="en-US" w:eastAsia="zh-CN"/>
        </w:rPr>
        <w:t xml:space="preserve">| </w:t>
      </w:r>
      <w:r>
        <w:rPr>
          <w:rFonts w:hint="default" w:ascii="Times New Roman" w:hAnsi="Times New Roman" w:eastAsia="等线" w:cs="Times New Roman"/>
          <w:b/>
          <w:bCs/>
          <w:sz w:val="22"/>
          <w:szCs w:val="22"/>
          <w:highlight w:val="none"/>
          <w:shd w:val="clear" w:color="auto" w:fill="FFFFFF"/>
        </w:rPr>
        <w:t xml:space="preserve">The clinical information and </w:t>
      </w:r>
      <w:r>
        <w:rPr>
          <w:rFonts w:hint="default" w:ascii="Times New Roman Bold Italic" w:hAnsi="Times New Roman Bold Italic" w:eastAsia="等线" w:cs="Times New Roman Bold Italic"/>
          <w:b/>
          <w:bCs/>
          <w:i/>
          <w:iCs/>
          <w:sz w:val="22"/>
          <w:szCs w:val="22"/>
          <w:highlight w:val="none"/>
          <w:shd w:val="clear" w:color="auto" w:fill="FFFFFF"/>
        </w:rPr>
        <w:t>K. pneumoniae</w:t>
      </w:r>
      <w:r>
        <w:rPr>
          <w:rFonts w:hint="default" w:ascii="Times New Roman Bold Italic" w:hAnsi="Times New Roman Bold Italic" w:eastAsia="等线" w:cs="Times New Roman Bold Italic"/>
          <w:b/>
          <w:bCs/>
          <w:sz w:val="22"/>
          <w:szCs w:val="22"/>
          <w:highlight w:val="none"/>
          <w:shd w:val="clear" w:color="auto" w:fill="FFFFFF"/>
        </w:rPr>
        <w:t xml:space="preserve"> </w:t>
      </w:r>
      <w:r>
        <w:rPr>
          <w:rFonts w:hint="default" w:ascii="Times New Roman" w:hAnsi="Times New Roman" w:eastAsia="等线" w:cs="Times New Roman"/>
          <w:b/>
          <w:bCs/>
          <w:sz w:val="22"/>
          <w:szCs w:val="22"/>
          <w:highlight w:val="none"/>
          <w:shd w:val="clear" w:color="auto" w:fill="FFFFFF"/>
        </w:rPr>
        <w:t>VFG profile of 84 infected patients</w:t>
      </w:r>
    </w:p>
    <w:tbl>
      <w:tblPr>
        <w:tblStyle w:val="4"/>
        <w:tblW w:w="14476"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6"/>
        <w:gridCol w:w="420"/>
        <w:gridCol w:w="400"/>
        <w:gridCol w:w="436"/>
        <w:gridCol w:w="471"/>
        <w:gridCol w:w="629"/>
        <w:gridCol w:w="514"/>
        <w:gridCol w:w="664"/>
        <w:gridCol w:w="558"/>
        <w:gridCol w:w="471"/>
        <w:gridCol w:w="550"/>
        <w:gridCol w:w="413"/>
        <w:gridCol w:w="626"/>
        <w:gridCol w:w="542"/>
        <w:gridCol w:w="421"/>
        <w:gridCol w:w="684"/>
        <w:gridCol w:w="564"/>
        <w:gridCol w:w="607"/>
        <w:gridCol w:w="457"/>
        <w:gridCol w:w="593"/>
        <w:gridCol w:w="464"/>
        <w:gridCol w:w="365"/>
        <w:gridCol w:w="350"/>
        <w:gridCol w:w="271"/>
        <w:gridCol w:w="282"/>
        <w:gridCol w:w="240"/>
        <w:gridCol w:w="236"/>
        <w:gridCol w:w="393"/>
        <w:gridCol w:w="500"/>
        <w:gridCol w:w="451"/>
        <w:gridCol w:w="4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57" w:hRule="atLeast"/>
        </w:trPr>
        <w:tc>
          <w:tcPr>
            <w:tcW w:w="476"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Patient ID</w:t>
            </w:r>
          </w:p>
        </w:tc>
        <w:tc>
          <w:tcPr>
            <w:tcW w:w="420"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Age, years</w:t>
            </w:r>
          </w:p>
        </w:tc>
        <w:tc>
          <w:tcPr>
            <w:tcW w:w="400"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Gender</w:t>
            </w:r>
          </w:p>
        </w:tc>
        <w:tc>
          <w:tcPr>
            <w:tcW w:w="436"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Sample type</w:t>
            </w:r>
          </w:p>
        </w:tc>
        <w:tc>
          <w:tcPr>
            <w:tcW w:w="471"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mNGS type</w:t>
            </w:r>
          </w:p>
        </w:tc>
        <w:tc>
          <w:tcPr>
            <w:tcW w:w="629"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Community infection(+) or Nosocomial infection(-)</w:t>
            </w:r>
          </w:p>
        </w:tc>
        <w:tc>
          <w:tcPr>
            <w:tcW w:w="514"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Non-immunodeficiency(+)</w:t>
            </w:r>
          </w:p>
        </w:tc>
        <w:tc>
          <w:tcPr>
            <w:tcW w:w="664"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Acute onset and rapid progression due to infection, and severe infection</w:t>
            </w:r>
            <w:r>
              <w:rPr>
                <w:rStyle w:val="7"/>
                <w:sz w:val="7"/>
                <w:szCs w:val="7"/>
                <w:lang w:val="en-US" w:eastAsia="zh-CN" w:bidi="ar"/>
              </w:rPr>
              <w:t>（</w:t>
            </w:r>
            <w:r>
              <w:rPr>
                <w:rFonts w:hint="default" w:ascii="Times New Roman" w:hAnsi="Times New Roman" w:eastAsia="等线" w:cs="Times New Roman"/>
                <w:b/>
                <w:bCs/>
                <w:i w:val="0"/>
                <w:iCs w:val="0"/>
                <w:color w:val="000000"/>
                <w:kern w:val="0"/>
                <w:sz w:val="7"/>
                <w:szCs w:val="7"/>
                <w:u w:val="none"/>
                <w:lang w:val="en-US" w:eastAsia="zh-CN" w:bidi="ar"/>
              </w:rPr>
              <w:t>+</w:t>
            </w:r>
            <w:r>
              <w:rPr>
                <w:rStyle w:val="7"/>
                <w:sz w:val="7"/>
                <w:szCs w:val="7"/>
                <w:lang w:val="en-US" w:eastAsia="zh-CN" w:bidi="ar"/>
              </w:rPr>
              <w:t>）</w:t>
            </w:r>
          </w:p>
        </w:tc>
        <w:tc>
          <w:tcPr>
            <w:tcW w:w="558"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Liver abscess without biliary tract disease(+)</w:t>
            </w:r>
          </w:p>
        </w:tc>
        <w:tc>
          <w:tcPr>
            <w:tcW w:w="471"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Multiple site infection(+)</w:t>
            </w:r>
          </w:p>
        </w:tc>
        <w:tc>
          <w:tcPr>
            <w:tcW w:w="550"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Common infection syndromes(+)</w:t>
            </w:r>
            <w:r>
              <w:rPr>
                <w:rStyle w:val="8"/>
                <w:rFonts w:eastAsia="等线"/>
                <w:sz w:val="7"/>
                <w:szCs w:val="7"/>
                <w:lang w:val="en-US" w:eastAsia="zh-CN" w:bidi="ar"/>
              </w:rPr>
              <w:t>a</w:t>
            </w:r>
          </w:p>
        </w:tc>
        <w:tc>
          <w:tcPr>
            <w:tcW w:w="413"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Single pathogen(+)</w:t>
            </w:r>
          </w:p>
        </w:tc>
        <w:tc>
          <w:tcPr>
            <w:tcW w:w="626"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Bloodstream infection or bacteremia caused by K. pneumoniae</w:t>
            </w:r>
          </w:p>
        </w:tc>
        <w:tc>
          <w:tcPr>
            <w:tcW w:w="542"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K.pneumoniae culture</w:t>
            </w:r>
          </w:p>
        </w:tc>
        <w:tc>
          <w:tcPr>
            <w:tcW w:w="421"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 xml:space="preserve">String test </w:t>
            </w:r>
          </w:p>
        </w:tc>
        <w:tc>
          <w:tcPr>
            <w:tcW w:w="684"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Clinically diagnosed hvKp or non-hvKp</w:t>
            </w:r>
          </w:p>
        </w:tc>
        <w:tc>
          <w:tcPr>
            <w:tcW w:w="564"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Outcome</w:t>
            </w:r>
          </w:p>
        </w:tc>
        <w:tc>
          <w:tcPr>
            <w:tcW w:w="607"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The number of reads mapped to K.pneumoniae</w:t>
            </w:r>
          </w:p>
        </w:tc>
        <w:tc>
          <w:tcPr>
            <w:tcW w:w="457"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Total number of VFGs</w:t>
            </w:r>
          </w:p>
        </w:tc>
        <w:tc>
          <w:tcPr>
            <w:tcW w:w="593"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Total number of diff VFGs</w:t>
            </w:r>
            <w:r>
              <w:rPr>
                <w:rStyle w:val="8"/>
                <w:rFonts w:eastAsia="等线"/>
                <w:sz w:val="7"/>
                <w:szCs w:val="7"/>
                <w:lang w:val="en-US" w:eastAsia="zh-CN" w:bidi="ar"/>
              </w:rPr>
              <w:t>b</w:t>
            </w:r>
          </w:p>
        </w:tc>
        <w:tc>
          <w:tcPr>
            <w:tcW w:w="464"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Aerobactin</w:t>
            </w:r>
          </w:p>
        </w:tc>
        <w:tc>
          <w:tcPr>
            <w:tcW w:w="365"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Capsule</w:t>
            </w:r>
          </w:p>
        </w:tc>
        <w:tc>
          <w:tcPr>
            <w:tcW w:w="350"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Colibactin</w:t>
            </w:r>
          </w:p>
        </w:tc>
        <w:tc>
          <w:tcPr>
            <w:tcW w:w="271"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LPS</w:t>
            </w:r>
          </w:p>
        </w:tc>
        <w:tc>
          <w:tcPr>
            <w:tcW w:w="282"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RmpA</w:t>
            </w:r>
          </w:p>
        </w:tc>
        <w:tc>
          <w:tcPr>
            <w:tcW w:w="240"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Sal</w:t>
            </w:r>
          </w:p>
        </w:tc>
        <w:tc>
          <w:tcPr>
            <w:tcW w:w="236"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Ybt</w:t>
            </w:r>
          </w:p>
        </w:tc>
        <w:tc>
          <w:tcPr>
            <w:tcW w:w="393"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hvKp like Score</w:t>
            </w:r>
            <w:r>
              <w:rPr>
                <w:rStyle w:val="8"/>
                <w:rFonts w:eastAsia="等线"/>
                <w:sz w:val="7"/>
                <w:szCs w:val="7"/>
                <w:lang w:val="en-US" w:eastAsia="zh-CN" w:bidi="ar"/>
              </w:rPr>
              <w:t>c</w:t>
            </w:r>
          </w:p>
        </w:tc>
        <w:tc>
          <w:tcPr>
            <w:tcW w:w="500"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VFG profile of hv-Kp considered hvKP(+)</w:t>
            </w:r>
          </w:p>
        </w:tc>
        <w:tc>
          <w:tcPr>
            <w:tcW w:w="451"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WGS prediceted hvKp or non-hvKp</w:t>
            </w:r>
          </w:p>
        </w:tc>
        <w:tc>
          <w:tcPr>
            <w:tcW w:w="428" w:type="dxa"/>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b/>
                <w:bCs/>
                <w:i w:val="0"/>
                <w:iCs w:val="0"/>
                <w:color w:val="000000"/>
                <w:sz w:val="7"/>
                <w:szCs w:val="7"/>
                <w:u w:val="none"/>
              </w:rPr>
            </w:pPr>
            <w:r>
              <w:rPr>
                <w:rFonts w:hint="default" w:ascii="Times New Roman" w:hAnsi="Times New Roman" w:eastAsia="等线" w:cs="Times New Roman"/>
                <w:b/>
                <w:bCs/>
                <w:i w:val="0"/>
                <w:iCs w:val="0"/>
                <w:color w:val="000000"/>
                <w:kern w:val="0"/>
                <w:sz w:val="7"/>
                <w:szCs w:val="7"/>
                <w:u w:val="none"/>
                <w:lang w:val="en-US" w:eastAsia="zh-CN" w:bidi="ar"/>
              </w:rPr>
              <w:t>VFG-PCR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9805</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64</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7951</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67</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16.49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9811</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68</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Sputum, Blood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unknown</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AAD (Against Advise Discharge)</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1023803</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72</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51.55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9815</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91</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236621</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69</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1.03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9818</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41</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Peritoneal dialysate</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1380</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33</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4.12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9819</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54</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Abscess extraction liquid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+(necrotizing fasciitis)</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5794</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79</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27.84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9820</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40</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Urine</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1943</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59</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7.22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9821</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55</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Anal swab</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30460</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78</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12.37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9826</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82</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153</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9829</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65</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876</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23</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9832</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18</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61273</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24</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65.98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9834</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62</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Liquor pericardii</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2885</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48</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1.03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9835</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28</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peritoneal dialysis fluid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291</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13</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1.03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9836</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22</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Blood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125</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12</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16.49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9847</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62</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640</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30</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20.62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9849</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65</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Anal swab</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17551</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70</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18.56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9860</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49</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485</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19</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2.06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9866</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85</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Hospital mortality</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258</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11</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9867</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73</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Sputum</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144887</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66</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2.06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9868</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66</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956835</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88</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17</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62.89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Aerobactin(+), RmpA(+)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9868X</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64</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306</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11</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1.03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9875</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84</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60525</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77</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38.14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9878</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63</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AAD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469</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15</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1.03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9880</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75</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709</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22</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6.19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9883</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52</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 Extraction liquid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545</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26</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22.68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9884</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94</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Hospital mortality</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142</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9885</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66</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 Blood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33127</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116</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12</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11</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87.63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Aerobactin(+), RmpA(+)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9887</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67</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1405</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42</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3.09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9890</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61</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Sputum</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1694</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35</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15</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36.08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9899</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46</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905</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29</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5.15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9901</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58</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Sputum</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Hospital mortality</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5726</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63</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10.31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9913</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48</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(pulmonary abscess)</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4652</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82</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33</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12</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67.01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9927</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26</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Blood, Liquor pericardii</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AAD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187025</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57</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1.03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9944</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52</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Pleural effusion, Blood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(hepatapostema)</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AAD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45348</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116</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38</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12</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80.41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Aerobactin(+), RmpA(+)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9945</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84</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262</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10</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9952</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77</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617</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26</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6.19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9955</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91</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250930</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61</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9962</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52</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Aqueous fluid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(endogenous endophthalmitis)</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AAD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573</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58</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46.39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9967</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79</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74775</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87</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14</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59.79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Aerobactin(+), RmpA(-)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9971</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93</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Urine</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11202</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66</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1.03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9989</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28</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3019</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50</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2.06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9993</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64</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Sputum</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1820</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36</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25.77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9995</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63</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Lung biopsy</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unknown</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4524</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63</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62.89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9996</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42</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Sputum</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unknown</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34192</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111</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38</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12</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11</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80.41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Aerobactin(+), RmpA(+)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9999</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82</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8708</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68</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27.84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Aerobactin(-), RmpA(-)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9819x</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24</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Blood, Aqueous fluid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(endogenous endophthalmitis)</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unknown</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AAD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7951</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35</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12</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32.99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9800</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 months</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51636</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68</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2.06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9806</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83</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1710</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9893</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68</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AAD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188</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23</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5.15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9842</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65</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Conjunctival secretion</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(endogenous endophthalmitis, hepatapostema)</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43618</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109</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37</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12</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83.51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Aerobactin(+), RmpA(+)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9890x</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Sputum</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AAD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1371055</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9902</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82</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 Blood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AAD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1476</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31</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9982</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58</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1273</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20</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5.15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9992</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91</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Sputum</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Hospital mortality</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32770</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71</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2.06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9802</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48</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Extraction liquid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2428</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55</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9998</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48</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Extraction liquid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163247</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78</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8.25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Aerobactin(-), RmpA(-)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9815x</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60</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21451</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63</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31.96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Aerobactin(+), RmpA(+)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9836x</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51</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524</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14</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12.37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9936</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78</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AAD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30754</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48</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1.03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9983</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53</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4312253</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75</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3.09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9843</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63</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(pulmonary abscess)</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157</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1.03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9845</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90</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1557</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30</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9846</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56</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Blood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230</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5.15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9837</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56</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437</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19</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21.65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9863</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65</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Anal swab (two samples, from Jan. 30 and Feb. 22)</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9741</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5.15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9807x</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56</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694</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37</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13</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34.02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9812</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76</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Tissue</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1770</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19</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1.03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9838</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67</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66144</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117</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39</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12</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85.57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9858</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41</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197</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10</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7.22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9859</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72</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unknown</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AAD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49934</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70</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12</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57.73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9863x</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77</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Pleural effusion</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2247</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46</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2.06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9932</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79</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Sputum</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28742</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86</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13</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25.77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9871</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85</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24574</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66</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2.06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9903</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54</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 Blood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AAD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289186</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83</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40.21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hvKp</w:t>
            </w:r>
          </w:p>
        </w:tc>
        <w:tc>
          <w:tcPr>
            <w:tcW w:w="4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Aerobactin(+), RmpA(+)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9944x</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53</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Sputum</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Hospital mortality</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274</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9958</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70</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Hospital mortality</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747680</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69</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1.03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9805x</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68</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3106778</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73</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2.06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9861</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63</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DNA+RNA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(pulmonary abscess)</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27855</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73</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17.53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9873</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69</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1849706</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65</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2.06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9893x</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44</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Anal swab</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771</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9894</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63</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BALF</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Negative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N/A</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910</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15</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15.46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9897</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32</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Female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Drainage liquid</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1722</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24</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9891x</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93</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Sputum</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1068</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13</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0.00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9892x</w:t>
            </w:r>
          </w:p>
        </w:tc>
        <w:tc>
          <w:tcPr>
            <w:tcW w:w="42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91</w:t>
            </w:r>
          </w:p>
        </w:tc>
        <w:tc>
          <w:tcPr>
            <w:tcW w:w="4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Sputum</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1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65626</w:t>
            </w:r>
          </w:p>
        </w:tc>
        <w:tc>
          <w:tcPr>
            <w:tcW w:w="45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83</w:t>
            </w:r>
          </w:p>
        </w:tc>
        <w:tc>
          <w:tcPr>
            <w:tcW w:w="5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10</w:t>
            </w:r>
          </w:p>
        </w:tc>
        <w:tc>
          <w:tcPr>
            <w:tcW w:w="46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5</w:t>
            </w:r>
          </w:p>
        </w:tc>
        <w:tc>
          <w:tcPr>
            <w:tcW w:w="365"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5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4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3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2</w:t>
            </w:r>
          </w:p>
        </w:tc>
        <w:tc>
          <w:tcPr>
            <w:tcW w:w="39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39.18 </w:t>
            </w:r>
          </w:p>
        </w:tc>
        <w:tc>
          <w:tcPr>
            <w:tcW w:w="5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c>
          <w:tcPr>
            <w:tcW w:w="42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120" w:lineRule="exact"/>
              <w:jc w:val="left"/>
              <w:rPr>
                <w:rFonts w:hint="default" w:ascii="Times New Roman" w:hAnsi="Times New Roman" w:eastAsia="等线" w:cs="Times New Roman"/>
                <w:i w:val="0"/>
                <w:iCs w:val="0"/>
                <w:color w:val="000000"/>
                <w:sz w:val="7"/>
                <w:szCs w:val="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476"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9988</w:t>
            </w:r>
          </w:p>
        </w:tc>
        <w:tc>
          <w:tcPr>
            <w:tcW w:w="420"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86</w:t>
            </w:r>
          </w:p>
        </w:tc>
        <w:tc>
          <w:tcPr>
            <w:tcW w:w="400"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Male</w:t>
            </w:r>
          </w:p>
        </w:tc>
        <w:tc>
          <w:tcPr>
            <w:tcW w:w="436"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Extraction liquid</w:t>
            </w:r>
          </w:p>
        </w:tc>
        <w:tc>
          <w:tcPr>
            <w:tcW w:w="471"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DNA</w:t>
            </w:r>
          </w:p>
        </w:tc>
        <w:tc>
          <w:tcPr>
            <w:tcW w:w="629"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14"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64"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8"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71"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50"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(endogenous endophthalmitis)</w:t>
            </w:r>
          </w:p>
        </w:tc>
        <w:tc>
          <w:tcPr>
            <w:tcW w:w="413"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26"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542"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Positive</w:t>
            </w:r>
          </w:p>
        </w:tc>
        <w:tc>
          <w:tcPr>
            <w:tcW w:w="421"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684"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564"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Improved and discharged</w:t>
            </w:r>
          </w:p>
        </w:tc>
        <w:tc>
          <w:tcPr>
            <w:tcW w:w="607"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37436</w:t>
            </w:r>
          </w:p>
        </w:tc>
        <w:tc>
          <w:tcPr>
            <w:tcW w:w="457"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71</w:t>
            </w:r>
          </w:p>
        </w:tc>
        <w:tc>
          <w:tcPr>
            <w:tcW w:w="593"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3</w:t>
            </w:r>
          </w:p>
        </w:tc>
        <w:tc>
          <w:tcPr>
            <w:tcW w:w="464"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365"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50"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71"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282"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40"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0</w:t>
            </w:r>
          </w:p>
        </w:tc>
        <w:tc>
          <w:tcPr>
            <w:tcW w:w="236"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1</w:t>
            </w:r>
          </w:p>
        </w:tc>
        <w:tc>
          <w:tcPr>
            <w:tcW w:w="393"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 xml:space="preserve">3.09 </w:t>
            </w:r>
          </w:p>
        </w:tc>
        <w:tc>
          <w:tcPr>
            <w:tcW w:w="500"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w:t>
            </w:r>
          </w:p>
        </w:tc>
        <w:tc>
          <w:tcPr>
            <w:tcW w:w="451"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non-hvKp</w:t>
            </w:r>
          </w:p>
        </w:tc>
        <w:tc>
          <w:tcPr>
            <w:tcW w:w="428"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120" w:lineRule="exact"/>
              <w:jc w:val="left"/>
              <w:textAlignment w:val="center"/>
              <w:rPr>
                <w:rFonts w:hint="default" w:ascii="Times New Roman" w:hAnsi="Times New Roman" w:eastAsia="等线" w:cs="Times New Roman"/>
                <w:i w:val="0"/>
                <w:iCs w:val="0"/>
                <w:color w:val="000000"/>
                <w:sz w:val="7"/>
                <w:szCs w:val="7"/>
                <w:u w:val="none"/>
              </w:rPr>
            </w:pPr>
            <w:r>
              <w:rPr>
                <w:rFonts w:hint="default" w:ascii="Times New Roman" w:hAnsi="Times New Roman" w:eastAsia="等线" w:cs="Times New Roman"/>
                <w:i w:val="0"/>
                <w:iCs w:val="0"/>
                <w:color w:val="000000"/>
                <w:kern w:val="0"/>
                <w:sz w:val="7"/>
                <w:szCs w:val="7"/>
                <w:u w:val="none"/>
                <w:lang w:val="en-US" w:eastAsia="zh-CN" w:bidi="ar"/>
              </w:rPr>
              <w:t>Aerobactin(-), RmpA(-)</w:t>
            </w:r>
          </w:p>
        </w:tc>
      </w:tr>
    </w:tbl>
    <w:p>
      <w:pPr>
        <w:spacing w:line="360" w:lineRule="auto"/>
        <w:rPr>
          <w:rFonts w:hint="default" w:ascii="Times New Roman" w:hAnsi="Times New Roman" w:eastAsia="等线" w:cs="Times New Roman"/>
          <w:b w:val="0"/>
          <w:bCs w:val="0"/>
          <w:sz w:val="22"/>
          <w:szCs w:val="22"/>
          <w:shd w:val="clear" w:color="auto" w:fill="FFFFFF"/>
        </w:rPr>
      </w:pPr>
    </w:p>
    <w:p>
      <w:pPr>
        <w:spacing w:line="360" w:lineRule="auto"/>
        <w:rPr>
          <w:rFonts w:hint="default" w:ascii="Times New Roman" w:hAnsi="Times New Roman" w:eastAsia="等线" w:cs="Times New Roman"/>
          <w:b w:val="0"/>
          <w:bCs w:val="0"/>
          <w:sz w:val="22"/>
          <w:szCs w:val="22"/>
          <w:shd w:val="clear" w:color="auto" w:fill="FFFFFF"/>
        </w:rPr>
      </w:pPr>
      <w:r>
        <w:rPr>
          <w:rFonts w:hint="default" w:ascii="Times New Roman" w:hAnsi="Times New Roman" w:eastAsia="等线" w:cs="Times New Roman"/>
          <w:b w:val="0"/>
          <w:bCs w:val="0"/>
          <w:sz w:val="22"/>
          <w:szCs w:val="22"/>
          <w:shd w:val="clear" w:color="auto" w:fill="FFFFFF"/>
        </w:rPr>
        <w:t>Notes: a. Common infection syndromes</w:t>
      </w:r>
      <w:r>
        <w:rPr>
          <w:rFonts w:hint="default" w:ascii="Times New Roman" w:hAnsi="Times New Roman" w:eastAsia="等线" w:cs="Times New Roman"/>
          <w:b w:val="0"/>
          <w:bCs w:val="0"/>
          <w:sz w:val="22"/>
          <w:szCs w:val="22"/>
          <w:shd w:val="clear" w:color="auto" w:fill="FFFFFF"/>
        </w:rPr>
        <w:t xml:space="preserve"> </w:t>
      </w:r>
      <w:r>
        <w:rPr>
          <w:rFonts w:hint="default" w:ascii="Times New Roman" w:hAnsi="Times New Roman" w:eastAsia="等线" w:cs="Times New Roman"/>
          <w:b w:val="0"/>
          <w:bCs w:val="0"/>
          <w:sz w:val="22"/>
          <w:szCs w:val="22"/>
          <w:shd w:val="clear" w:color="auto" w:fill="FFFFFF"/>
        </w:rPr>
        <w:t xml:space="preserve">(+) include endogenous endophthalmitis, pulmonary abscess, hepatapostema, kidney abscess, necrotizing fasciitis, infective endocardia, meningitis, </w:t>
      </w:r>
      <w:r>
        <w:rPr>
          <w:rFonts w:hint="default" w:ascii="Times New Roman" w:hAnsi="Times New Roman" w:eastAsia="等线" w:cs="Times New Roman"/>
          <w:b w:val="0"/>
          <w:bCs w:val="0"/>
          <w:sz w:val="22"/>
          <w:szCs w:val="22"/>
          <w:shd w:val="clear" w:color="auto" w:fill="FFFFFF"/>
        </w:rPr>
        <w:t xml:space="preserve">and </w:t>
      </w:r>
      <w:r>
        <w:rPr>
          <w:rFonts w:hint="default" w:ascii="Times New Roman" w:hAnsi="Times New Roman" w:eastAsia="等线" w:cs="Times New Roman"/>
          <w:b w:val="0"/>
          <w:bCs w:val="0"/>
          <w:sz w:val="22"/>
          <w:szCs w:val="22"/>
          <w:shd w:val="clear" w:color="auto" w:fill="FFFFFF"/>
        </w:rPr>
        <w:t>osteomyelitis.</w:t>
      </w:r>
    </w:p>
    <w:p>
      <w:pPr>
        <w:spacing w:line="360" w:lineRule="auto"/>
        <w:rPr>
          <w:rFonts w:hint="default" w:ascii="Times New Roman" w:hAnsi="Times New Roman" w:eastAsia="等线" w:cs="Times New Roman"/>
          <w:b w:val="0"/>
          <w:bCs w:val="0"/>
          <w:sz w:val="22"/>
          <w:szCs w:val="22"/>
          <w:shd w:val="clear" w:color="auto" w:fill="FFFFFF"/>
        </w:rPr>
      </w:pPr>
      <w:r>
        <w:rPr>
          <w:rFonts w:hint="default" w:ascii="Times New Roman" w:hAnsi="Times New Roman" w:eastAsia="等线" w:cs="Times New Roman"/>
          <w:b w:val="0"/>
          <w:bCs w:val="0"/>
          <w:sz w:val="22"/>
          <w:szCs w:val="22"/>
          <w:shd w:val="clear" w:color="auto" w:fill="FFFFFF"/>
        </w:rPr>
        <w:t xml:space="preserve">b. diff VFG refers to different virulence factor genes, including Aerobactin, Capsule, Colibactin, LPS, RmpA, Sal and Ybt. </w:t>
      </w:r>
    </w:p>
    <w:p>
      <w:pPr>
        <w:spacing w:line="360" w:lineRule="auto"/>
        <w:rPr>
          <w:rFonts w:hint="default" w:ascii="Times New Roman" w:hAnsi="Times New Roman" w:eastAsia="等线" w:cs="Times New Roman"/>
          <w:b w:val="0"/>
          <w:bCs w:val="0"/>
          <w:sz w:val="22"/>
          <w:szCs w:val="22"/>
          <w:shd w:val="clear" w:color="auto" w:fill="FFFFFF"/>
        </w:rPr>
      </w:pPr>
      <w:r>
        <w:rPr>
          <w:rFonts w:hint="default" w:ascii="Times New Roman" w:hAnsi="Times New Roman" w:eastAsia="等线" w:cs="Times New Roman"/>
          <w:b w:val="0"/>
          <w:bCs w:val="0"/>
          <w:sz w:val="22"/>
          <w:szCs w:val="22"/>
          <w:shd w:val="clear" w:color="auto" w:fill="FFFFFF"/>
        </w:rPr>
        <w:t xml:space="preserve">c. The hvKp like scores for different samples from the same patient provide only the highest predictive scores. </w:t>
      </w:r>
    </w:p>
    <w:p>
      <w:pPr>
        <w:spacing w:line="360" w:lineRule="auto"/>
        <w:rPr>
          <w:rFonts w:hint="default" w:ascii="Times New Roman" w:hAnsi="Times New Roman" w:eastAsia="等线" w:cs="Times New Roman"/>
          <w:b w:val="0"/>
          <w:bCs w:val="0"/>
          <w:sz w:val="22"/>
          <w:szCs w:val="22"/>
          <w:shd w:val="clear" w:color="auto" w:fill="FFFFFF"/>
        </w:rPr>
      </w:pPr>
      <w:r>
        <w:rPr>
          <w:rFonts w:hint="default" w:ascii="Times New Roman" w:hAnsi="Times New Roman" w:eastAsia="等线" w:cs="Times New Roman"/>
          <w:b w:val="0"/>
          <w:bCs w:val="0"/>
          <w:sz w:val="22"/>
          <w:szCs w:val="22"/>
          <w:shd w:val="clear" w:color="auto" w:fill="FFFFFF"/>
        </w:rPr>
        <w:t xml:space="preserve">BALF, </w:t>
      </w:r>
      <w:r>
        <w:rPr>
          <w:rFonts w:hint="default" w:ascii="Times New Roman" w:hAnsi="Times New Roman" w:eastAsia="等线" w:cs="Times New Roman"/>
          <w:b w:val="0"/>
          <w:bCs w:val="0"/>
          <w:sz w:val="22"/>
          <w:szCs w:val="22"/>
          <w:shd w:val="clear" w:color="auto" w:fill="FFFFFF"/>
        </w:rPr>
        <w:t>b</w:t>
      </w:r>
      <w:r>
        <w:rPr>
          <w:rFonts w:hint="default" w:ascii="Times New Roman" w:hAnsi="Times New Roman" w:eastAsia="等线" w:cs="Times New Roman"/>
          <w:b w:val="0"/>
          <w:bCs w:val="0"/>
          <w:sz w:val="22"/>
          <w:szCs w:val="22"/>
          <w:shd w:val="clear" w:color="auto" w:fill="FFFFFF"/>
        </w:rPr>
        <w:t xml:space="preserve">ronchoalveolar lavage fluid; +, positive; -, negative;  AAD, </w:t>
      </w:r>
      <w:r>
        <w:rPr>
          <w:rFonts w:hint="default" w:ascii="Times New Roman" w:hAnsi="Times New Roman" w:eastAsia="等线" w:cs="Times New Roman"/>
          <w:b w:val="0"/>
          <w:bCs w:val="0"/>
          <w:sz w:val="22"/>
          <w:szCs w:val="22"/>
          <w:shd w:val="clear" w:color="auto" w:fill="FFFFFF"/>
        </w:rPr>
        <w:t>a</w:t>
      </w:r>
      <w:r>
        <w:rPr>
          <w:rFonts w:hint="default" w:ascii="Times New Roman" w:hAnsi="Times New Roman" w:eastAsia="等线" w:cs="Times New Roman"/>
          <w:b w:val="0"/>
          <w:bCs w:val="0"/>
          <w:sz w:val="22"/>
          <w:szCs w:val="22"/>
          <w:shd w:val="clear" w:color="auto" w:fill="FFFFFF"/>
        </w:rPr>
        <w:t xml:space="preserve">gainst </w:t>
      </w:r>
      <w:r>
        <w:rPr>
          <w:rFonts w:hint="default" w:ascii="Times New Roman" w:hAnsi="Times New Roman" w:eastAsia="等线" w:cs="Times New Roman"/>
          <w:b w:val="0"/>
          <w:bCs w:val="0"/>
          <w:sz w:val="22"/>
          <w:szCs w:val="22"/>
          <w:shd w:val="clear" w:color="auto" w:fill="FFFFFF"/>
        </w:rPr>
        <w:t>a</w:t>
      </w:r>
      <w:r>
        <w:rPr>
          <w:rFonts w:hint="default" w:ascii="Times New Roman" w:hAnsi="Times New Roman" w:eastAsia="等线" w:cs="Times New Roman"/>
          <w:b w:val="0"/>
          <w:bCs w:val="0"/>
          <w:sz w:val="22"/>
          <w:szCs w:val="22"/>
          <w:shd w:val="clear" w:color="auto" w:fill="FFFFFF"/>
        </w:rPr>
        <w:t xml:space="preserve">dvise </w:t>
      </w:r>
      <w:r>
        <w:rPr>
          <w:rFonts w:hint="default" w:ascii="Times New Roman" w:hAnsi="Times New Roman" w:eastAsia="等线" w:cs="Times New Roman"/>
          <w:b w:val="0"/>
          <w:bCs w:val="0"/>
          <w:sz w:val="22"/>
          <w:szCs w:val="22"/>
          <w:shd w:val="clear" w:color="auto" w:fill="FFFFFF"/>
        </w:rPr>
        <w:t>d</w:t>
      </w:r>
      <w:r>
        <w:rPr>
          <w:rFonts w:hint="default" w:ascii="Times New Roman" w:hAnsi="Times New Roman" w:eastAsia="等线" w:cs="Times New Roman"/>
          <w:b w:val="0"/>
          <w:bCs w:val="0"/>
          <w:sz w:val="22"/>
          <w:szCs w:val="22"/>
          <w:shd w:val="clear" w:color="auto" w:fill="FFFFFF"/>
        </w:rPr>
        <w:t>ischarge.</w:t>
      </w:r>
    </w:p>
    <w:p>
      <w:pPr>
        <w:spacing w:line="360" w:lineRule="auto"/>
        <w:rPr>
          <w:rFonts w:hint="default" w:ascii="Times New Roman" w:hAnsi="Times New Roman" w:eastAsia="等线" w:cs="Times New Roman"/>
          <w:b w:val="0"/>
          <w:bCs w:val="0"/>
          <w:sz w:val="22"/>
          <w:szCs w:val="22"/>
          <w:shd w:val="clear" w:color="auto" w:fill="FFFFFF"/>
        </w:rPr>
      </w:pPr>
    </w:p>
    <w:p>
      <w:pPr>
        <w:rPr>
          <w:rFonts w:hint="default" w:ascii="Times New Roman" w:hAnsi="Times New Roman" w:cs="Times New Roman"/>
          <w:b/>
          <w:bCs/>
          <w:sz w:val="18"/>
          <w:szCs w:val="18"/>
        </w:rPr>
      </w:pPr>
    </w:p>
    <w:p>
      <w:pPr>
        <w:rPr>
          <w:rFonts w:hint="default" w:ascii="Times New Roman" w:hAnsi="Times New Roman" w:cs="Times New Roman"/>
          <w:b/>
          <w:bCs/>
          <w:sz w:val="18"/>
          <w:szCs w:val="18"/>
        </w:rPr>
      </w:pPr>
    </w:p>
    <w:p>
      <w:pPr>
        <w:rPr>
          <w:rFonts w:hint="default" w:ascii="Times New Roman" w:hAnsi="Times New Roman" w:cs="Times New Roman"/>
          <w:b/>
          <w:bCs/>
          <w:sz w:val="18"/>
          <w:szCs w:val="18"/>
        </w:rPr>
      </w:pPr>
    </w:p>
    <w:p>
      <w:pPr>
        <w:rPr>
          <w:rFonts w:hint="default" w:ascii="Times New Roman" w:hAnsi="Times New Roman" w:cs="Times New Roman"/>
          <w:b/>
          <w:bCs/>
          <w:sz w:val="18"/>
          <w:szCs w:val="18"/>
        </w:rPr>
      </w:pPr>
    </w:p>
    <w:p>
      <w:pPr>
        <w:spacing w:line="360" w:lineRule="auto"/>
        <w:rPr>
          <w:rFonts w:hint="default" w:ascii="Times New Roman Bold" w:hAnsi="Times New Roman Bold" w:eastAsia="等线" w:cs="Times New Roman Bold"/>
          <w:b/>
          <w:bCs/>
          <w:sz w:val="22"/>
          <w:szCs w:val="22"/>
          <w:shd w:val="clear" w:color="auto" w:fill="FFFFFF"/>
        </w:rPr>
      </w:pPr>
      <w:r>
        <w:rPr>
          <w:rFonts w:hint="default" w:ascii="Times New Roman Bold" w:hAnsi="Times New Roman Bold" w:eastAsia="等线" w:cs="Times New Roman Bold"/>
          <w:b/>
          <w:bCs/>
          <w:sz w:val="22"/>
          <w:szCs w:val="22"/>
          <w:shd w:val="clear" w:color="auto" w:fill="FFFFFF"/>
        </w:rPr>
        <w:t xml:space="preserve">Table S5 </w:t>
      </w:r>
      <w:r>
        <w:rPr>
          <w:rFonts w:hint="eastAsia" w:ascii="Times New Roman" w:hAnsi="Times New Roman" w:cs="Times New Roman"/>
          <w:b/>
          <w:bCs/>
          <w:sz w:val="22"/>
          <w:szCs w:val="22"/>
          <w:lang w:val="en-US" w:eastAsia="zh-CN"/>
        </w:rPr>
        <w:t xml:space="preserve">| </w:t>
      </w:r>
      <w:r>
        <w:rPr>
          <w:rFonts w:hint="default" w:ascii="Times New Roman Bold" w:hAnsi="Times New Roman Bold" w:eastAsia="等线" w:cs="Times New Roman Bold"/>
          <w:b/>
          <w:bCs/>
          <w:sz w:val="22"/>
          <w:szCs w:val="22"/>
          <w:shd w:val="clear" w:color="auto" w:fill="FFFFFF"/>
        </w:rPr>
        <w:t xml:space="preserve">Diagnostic performance of </w:t>
      </w:r>
      <w:r>
        <w:rPr>
          <w:rFonts w:hint="default" w:ascii="Times New Roman Bold" w:hAnsi="Times New Roman Bold" w:eastAsia="等线" w:cs="Times New Roman Bold"/>
          <w:b/>
          <w:bCs/>
          <w:sz w:val="22"/>
          <w:szCs w:val="22"/>
          <w:shd w:val="clear" w:color="auto" w:fill="FFFFFF"/>
        </w:rPr>
        <w:t xml:space="preserve">the </w:t>
      </w:r>
      <w:r>
        <w:rPr>
          <w:rFonts w:hint="default" w:ascii="Times New Roman Bold" w:hAnsi="Times New Roman Bold" w:eastAsia="等线" w:cs="Times New Roman Bold"/>
          <w:b/>
          <w:bCs/>
          <w:sz w:val="22"/>
          <w:szCs w:val="22"/>
          <w:shd w:val="clear" w:color="auto" w:fill="FFFFFF"/>
        </w:rPr>
        <w:t>hvKp-like score by RVFScan in the prospective cohort</w:t>
      </w:r>
    </w:p>
    <w:tbl>
      <w:tblPr>
        <w:tblStyle w:val="4"/>
        <w:tblpPr w:leftFromText="180" w:rightFromText="180" w:vertAnchor="text" w:horzAnchor="page" w:tblpX="1539" w:tblpY="202"/>
        <w:tblOverlap w:val="never"/>
        <w:tblW w:w="13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760"/>
        <w:gridCol w:w="1812"/>
        <w:gridCol w:w="1784"/>
        <w:gridCol w:w="1273"/>
        <w:gridCol w:w="1273"/>
        <w:gridCol w:w="1386"/>
        <w:gridCol w:w="1273"/>
        <w:gridCol w:w="1273"/>
        <w:gridCol w:w="11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97" w:hRule="atLeast"/>
        </w:trPr>
        <w:tc>
          <w:tcPr>
            <w:tcW w:w="1760" w:type="dxa"/>
            <w:vMerge w:val="restart"/>
            <w:tcBorders>
              <w:top w:val="single" w:color="000000" w:sz="12" w:space="0"/>
              <w:bottom w:val="single" w:color="000000" w:sz="12" w:space="0"/>
            </w:tcBorders>
            <w:shd w:val="clear" w:color="auto" w:fill="auto"/>
            <w:vAlign w:val="center"/>
          </w:tcPr>
          <w:p>
            <w:pPr>
              <w:keepNext w:val="0"/>
              <w:keepLines w:val="0"/>
              <w:widowControl/>
              <w:suppressLineNumbers w:val="0"/>
              <w:jc w:val="left"/>
              <w:textAlignment w:val="center"/>
              <w:rPr>
                <w:rFonts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　Subjects</w:t>
            </w:r>
          </w:p>
        </w:tc>
        <w:tc>
          <w:tcPr>
            <w:tcW w:w="1812" w:type="dxa"/>
            <w:tcBorders>
              <w:top w:val="single" w:color="000000" w:sz="12" w:space="0"/>
            </w:tcBorders>
            <w:shd w:val="clear" w:color="auto" w:fill="auto"/>
            <w:vAlign w:val="bottom"/>
          </w:tcPr>
          <w:p>
            <w:pPr>
              <w:keepNext w:val="0"/>
              <w:keepLines w:val="0"/>
              <w:widowControl/>
              <w:suppressLineNumbers w:val="0"/>
              <w:jc w:val="center"/>
              <w:textAlignment w:val="bottom"/>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Clinically diagnosed hvKp patients</w:t>
            </w:r>
          </w:p>
        </w:tc>
        <w:tc>
          <w:tcPr>
            <w:tcW w:w="1784" w:type="dxa"/>
            <w:tcBorders>
              <w:top w:val="single" w:color="000000" w:sz="12" w:space="0"/>
            </w:tcBorders>
            <w:shd w:val="clear" w:color="auto" w:fill="auto"/>
            <w:vAlign w:val="bottom"/>
          </w:tcPr>
          <w:p>
            <w:pPr>
              <w:keepNext w:val="0"/>
              <w:keepLines w:val="0"/>
              <w:widowControl/>
              <w:suppressLineNumbers w:val="0"/>
              <w:jc w:val="center"/>
              <w:textAlignment w:val="bottom"/>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Clinically diagnosed non-hvKp patients</w:t>
            </w:r>
          </w:p>
        </w:tc>
        <w:tc>
          <w:tcPr>
            <w:tcW w:w="1273" w:type="dxa"/>
            <w:tcBorders>
              <w:top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Sensitivity</w:t>
            </w:r>
          </w:p>
        </w:tc>
        <w:tc>
          <w:tcPr>
            <w:tcW w:w="1273" w:type="dxa"/>
            <w:tcBorders>
              <w:top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Specificity</w:t>
            </w:r>
          </w:p>
        </w:tc>
        <w:tc>
          <w:tcPr>
            <w:tcW w:w="1386" w:type="dxa"/>
            <w:tcBorders>
              <w:top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PPV</w:t>
            </w:r>
          </w:p>
        </w:tc>
        <w:tc>
          <w:tcPr>
            <w:tcW w:w="1273" w:type="dxa"/>
            <w:tcBorders>
              <w:top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NPV</w:t>
            </w:r>
          </w:p>
        </w:tc>
        <w:tc>
          <w:tcPr>
            <w:tcW w:w="1273" w:type="dxa"/>
            <w:tcBorders>
              <w:top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Accuracy</w:t>
            </w:r>
          </w:p>
        </w:tc>
        <w:tc>
          <w:tcPr>
            <w:tcW w:w="1191" w:type="dxa"/>
            <w:vMerge w:val="restart"/>
            <w:tcBorders>
              <w:top w:val="single" w:color="000000" w:sz="12" w:space="0"/>
              <w:bottom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Agreement</w:t>
            </w:r>
            <w:r>
              <w:rPr>
                <w:rFonts w:hint="default" w:ascii="Times New Roman Bold" w:hAnsi="Times New Roman Bold" w:eastAsia="Times New Roman Bold" w:cs="Times New Roman Bold"/>
                <w:b/>
                <w:i w:val="0"/>
                <w:color w:val="000000"/>
                <w:kern w:val="0"/>
                <w:sz w:val="20"/>
                <w:szCs w:val="20"/>
                <w:u w:val="none"/>
                <w:lang w:val="en-US" w:eastAsia="zh-CN" w:bidi="ar"/>
              </w:rPr>
              <w:br w:type="textWrapping"/>
            </w:r>
            <w:r>
              <w:rPr>
                <w:rFonts w:hint="default" w:ascii="Times New Roman Bold" w:hAnsi="Times New Roman Bold" w:eastAsia="Times New Roman Bold" w:cs="Times New Roman Bold"/>
                <w:b/>
                <w:i w:val="0"/>
                <w:color w:val="000000"/>
                <w:kern w:val="0"/>
                <w:sz w:val="20"/>
                <w:szCs w:val="20"/>
                <w:u w:val="none"/>
                <w:lang w:val="en-US" w:eastAsia="zh-CN" w:bidi="ar"/>
              </w:rPr>
              <w:t xml:space="preserve"> (Cohen's kappa)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4" w:hRule="atLeast"/>
        </w:trPr>
        <w:tc>
          <w:tcPr>
            <w:tcW w:w="1760" w:type="dxa"/>
            <w:vMerge w:val="continue"/>
            <w:tcBorders>
              <w:top w:val="single" w:color="000000" w:sz="12" w:space="0"/>
              <w:bottom w:val="single" w:color="000000" w:sz="12" w:space="0"/>
            </w:tcBorders>
            <w:shd w:val="clear" w:color="auto" w:fill="auto"/>
            <w:vAlign w:val="center"/>
          </w:tcPr>
          <w:p>
            <w:pPr>
              <w:rPr>
                <w:rFonts w:hint="default" w:ascii="Times New Roman Bold" w:hAnsi="Times New Roman Bold" w:eastAsia="Times New Roman Bold" w:cs="Times New Roman Bold"/>
                <w:b/>
                <w:i w:val="0"/>
                <w:color w:val="000000"/>
                <w:sz w:val="20"/>
                <w:szCs w:val="20"/>
                <w:u w:val="none"/>
              </w:rPr>
            </w:pPr>
          </w:p>
        </w:tc>
        <w:tc>
          <w:tcPr>
            <w:tcW w:w="1812" w:type="dxa"/>
            <w:tcBorders>
              <w:bottom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n = 10</w:t>
            </w:r>
          </w:p>
        </w:tc>
        <w:tc>
          <w:tcPr>
            <w:tcW w:w="1784" w:type="dxa"/>
            <w:tcBorders>
              <w:bottom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n = 69</w:t>
            </w:r>
          </w:p>
        </w:tc>
        <w:tc>
          <w:tcPr>
            <w:tcW w:w="1273" w:type="dxa"/>
            <w:tcBorders>
              <w:bottom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 (95% CI)</w:t>
            </w:r>
          </w:p>
        </w:tc>
        <w:tc>
          <w:tcPr>
            <w:tcW w:w="1273" w:type="dxa"/>
            <w:tcBorders>
              <w:bottom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 (95% CI)</w:t>
            </w:r>
          </w:p>
        </w:tc>
        <w:tc>
          <w:tcPr>
            <w:tcW w:w="1386" w:type="dxa"/>
            <w:tcBorders>
              <w:bottom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 (95% CI)</w:t>
            </w:r>
          </w:p>
        </w:tc>
        <w:tc>
          <w:tcPr>
            <w:tcW w:w="1273" w:type="dxa"/>
            <w:tcBorders>
              <w:bottom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 (95% CI)</w:t>
            </w:r>
          </w:p>
        </w:tc>
        <w:tc>
          <w:tcPr>
            <w:tcW w:w="1273" w:type="dxa"/>
            <w:tcBorders>
              <w:bottom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 (95% CI)</w:t>
            </w:r>
          </w:p>
        </w:tc>
        <w:tc>
          <w:tcPr>
            <w:tcW w:w="1191" w:type="dxa"/>
            <w:vMerge w:val="continue"/>
            <w:tcBorders>
              <w:top w:val="single" w:color="000000" w:sz="12" w:space="0"/>
              <w:bottom w:val="single" w:color="000000" w:sz="12" w:space="0"/>
            </w:tcBorders>
            <w:shd w:val="clear" w:color="auto" w:fill="auto"/>
            <w:vAlign w:val="center"/>
          </w:tcPr>
          <w:p>
            <w:pPr>
              <w:jc w:val="center"/>
              <w:rPr>
                <w:rFonts w:hint="default" w:ascii="Times New Roman Bold" w:hAnsi="Times New Roman Bold" w:eastAsia="Times New Roman Bold" w:cs="Times New Roman Bold"/>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6" w:hRule="atLeast"/>
        </w:trPr>
        <w:tc>
          <w:tcPr>
            <w:tcW w:w="5356" w:type="dxa"/>
            <w:gridSpan w:val="3"/>
            <w:shd w:val="clear" w:color="auto" w:fill="auto"/>
            <w:vAlign w:val="center"/>
          </w:tcPr>
          <w:p>
            <w:pPr>
              <w:keepNext w:val="0"/>
              <w:keepLines w:val="0"/>
              <w:widowControl/>
              <w:suppressLineNumbers w:val="0"/>
              <w:jc w:val="left"/>
              <w:textAlignment w:val="center"/>
              <w:rPr>
                <w:rFonts w:hint="default" w:ascii="Times New Roman Bold" w:hAnsi="Times New Roman Bold" w:eastAsia="Times New Roman Bold" w:cs="Times New Roman Bold"/>
                <w:b/>
                <w:i w:val="0"/>
                <w:color w:val="000000"/>
                <w:sz w:val="20"/>
                <w:szCs w:val="20"/>
                <w:u w:val="none"/>
              </w:rPr>
            </w:pPr>
            <w:r>
              <w:rPr>
                <w:rFonts w:hint="default" w:ascii="Times New Roman Bold" w:hAnsi="Times New Roman Bold" w:eastAsia="Times New Roman Bold" w:cs="Times New Roman Bold"/>
                <w:b/>
                <w:i w:val="0"/>
                <w:color w:val="000000"/>
                <w:kern w:val="0"/>
                <w:sz w:val="20"/>
                <w:szCs w:val="20"/>
                <w:u w:val="none"/>
                <w:lang w:val="en-US" w:eastAsia="zh-CN" w:bidi="ar"/>
              </w:rPr>
              <w:t>hvKp-like score by RVFScan</w:t>
            </w:r>
          </w:p>
        </w:tc>
        <w:tc>
          <w:tcPr>
            <w:tcW w:w="1273" w:type="dxa"/>
            <w:vMerge w:val="restart"/>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bCs/>
                <w:i w:val="0"/>
                <w:color w:val="000000"/>
                <w:sz w:val="20"/>
                <w:szCs w:val="20"/>
                <w:u w:val="none"/>
              </w:rPr>
            </w:pPr>
            <w:r>
              <w:rPr>
                <w:rFonts w:hint="default" w:ascii="Times New Roman Bold" w:hAnsi="Times New Roman Bold" w:eastAsia="Times New Roman Bold" w:cs="Times New Roman Bold"/>
                <w:b/>
                <w:bCs/>
                <w:i w:val="0"/>
                <w:color w:val="000000"/>
                <w:kern w:val="0"/>
                <w:sz w:val="20"/>
                <w:szCs w:val="20"/>
                <w:u w:val="none"/>
                <w:lang w:val="en-US" w:eastAsia="zh-CN" w:bidi="ar"/>
              </w:rPr>
              <w:t>90.00 (59.58-98.21)</w:t>
            </w:r>
          </w:p>
        </w:tc>
        <w:tc>
          <w:tcPr>
            <w:tcW w:w="1273" w:type="dxa"/>
            <w:vMerge w:val="restart"/>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bCs/>
                <w:i w:val="0"/>
                <w:color w:val="000000"/>
                <w:sz w:val="20"/>
                <w:szCs w:val="20"/>
                <w:u w:val="none"/>
              </w:rPr>
            </w:pPr>
            <w:r>
              <w:rPr>
                <w:rFonts w:hint="default" w:ascii="Times New Roman Bold" w:hAnsi="Times New Roman Bold" w:eastAsia="Times New Roman Bold" w:cs="Times New Roman Bold"/>
                <w:b/>
                <w:bCs/>
                <w:i w:val="0"/>
                <w:color w:val="000000"/>
                <w:kern w:val="0"/>
                <w:sz w:val="20"/>
                <w:szCs w:val="20"/>
                <w:u w:val="none"/>
                <w:lang w:val="en-US" w:eastAsia="zh-CN" w:bidi="ar"/>
              </w:rPr>
              <w:t>100.00 (94.73-98.21)</w:t>
            </w:r>
          </w:p>
        </w:tc>
        <w:tc>
          <w:tcPr>
            <w:tcW w:w="1386" w:type="dxa"/>
            <w:vMerge w:val="restart"/>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bCs/>
                <w:i w:val="0"/>
                <w:color w:val="000000"/>
                <w:sz w:val="20"/>
                <w:szCs w:val="20"/>
                <w:u w:val="none"/>
              </w:rPr>
            </w:pPr>
            <w:r>
              <w:rPr>
                <w:rFonts w:hint="default" w:ascii="Times New Roman Bold" w:hAnsi="Times New Roman Bold" w:eastAsia="Times New Roman Bold" w:cs="Times New Roman Bold"/>
                <w:b/>
                <w:bCs/>
                <w:i w:val="0"/>
                <w:color w:val="000000"/>
                <w:kern w:val="0"/>
                <w:sz w:val="20"/>
                <w:szCs w:val="20"/>
                <w:u w:val="none"/>
                <w:lang w:val="en-US" w:eastAsia="zh-CN" w:bidi="ar"/>
              </w:rPr>
              <w:t>100.00 (70.08-100.00)</w:t>
            </w:r>
          </w:p>
        </w:tc>
        <w:tc>
          <w:tcPr>
            <w:tcW w:w="1273" w:type="dxa"/>
            <w:vMerge w:val="restart"/>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bCs/>
                <w:i w:val="0"/>
                <w:color w:val="000000"/>
                <w:sz w:val="20"/>
                <w:szCs w:val="20"/>
                <w:u w:val="none"/>
              </w:rPr>
            </w:pPr>
            <w:r>
              <w:rPr>
                <w:rFonts w:hint="default" w:ascii="Times New Roman Bold" w:hAnsi="Times New Roman Bold" w:eastAsia="Times New Roman Bold" w:cs="Times New Roman Bold"/>
                <w:b/>
                <w:bCs/>
                <w:i w:val="0"/>
                <w:color w:val="000000"/>
                <w:kern w:val="0"/>
                <w:sz w:val="20"/>
                <w:szCs w:val="20"/>
                <w:u w:val="none"/>
                <w:lang w:val="en-US" w:eastAsia="zh-CN" w:bidi="ar"/>
              </w:rPr>
              <w:t>98.57 (92.34-99.75)</w:t>
            </w:r>
          </w:p>
        </w:tc>
        <w:tc>
          <w:tcPr>
            <w:tcW w:w="1273" w:type="dxa"/>
            <w:vMerge w:val="restart"/>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bCs/>
                <w:i w:val="0"/>
                <w:color w:val="000000"/>
                <w:sz w:val="20"/>
                <w:szCs w:val="20"/>
                <w:u w:val="none"/>
              </w:rPr>
            </w:pPr>
            <w:r>
              <w:rPr>
                <w:rFonts w:hint="default" w:ascii="Times New Roman Bold" w:hAnsi="Times New Roman Bold" w:eastAsia="Times New Roman Bold" w:cs="Times New Roman Bold"/>
                <w:b/>
                <w:bCs/>
                <w:i w:val="0"/>
                <w:color w:val="000000"/>
                <w:kern w:val="0"/>
                <w:sz w:val="20"/>
                <w:szCs w:val="20"/>
                <w:u w:val="none"/>
                <w:lang w:val="en-US" w:eastAsia="zh-CN" w:bidi="ar"/>
              </w:rPr>
              <w:t>98.73 (93.17-99.78)</w:t>
            </w:r>
          </w:p>
        </w:tc>
        <w:tc>
          <w:tcPr>
            <w:tcW w:w="1191" w:type="dxa"/>
            <w:vMerge w:val="restart"/>
            <w:shd w:val="clear" w:color="auto" w:fill="auto"/>
            <w:vAlign w:val="center"/>
          </w:tcPr>
          <w:p>
            <w:pPr>
              <w:keepNext w:val="0"/>
              <w:keepLines w:val="0"/>
              <w:widowControl/>
              <w:suppressLineNumbers w:val="0"/>
              <w:jc w:val="center"/>
              <w:textAlignment w:val="center"/>
              <w:rPr>
                <w:rFonts w:hint="default" w:ascii="Times New Roman Bold" w:hAnsi="Times New Roman Bold" w:eastAsia="Times New Roman Bold" w:cs="Times New Roman Bold"/>
                <w:b/>
                <w:bCs/>
                <w:i w:val="0"/>
                <w:color w:val="000000"/>
                <w:sz w:val="20"/>
                <w:szCs w:val="20"/>
                <w:u w:val="none"/>
              </w:rPr>
            </w:pPr>
            <w:r>
              <w:rPr>
                <w:rFonts w:hint="default" w:ascii="Times New Roman Bold" w:hAnsi="Times New Roman Bold" w:eastAsia="Times New Roman Bold" w:cs="Times New Roman Bold"/>
                <w:b/>
                <w:bCs/>
                <w:i w:val="0"/>
                <w:color w:val="000000"/>
                <w:kern w:val="0"/>
                <w:sz w:val="20"/>
                <w:szCs w:val="20"/>
                <w:u w:val="none"/>
                <w:lang w:val="en-US" w:eastAsia="zh-CN" w:bidi="ar"/>
              </w:rPr>
              <w:t>0.94 (0.72-1.00)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760" w:type="dxa"/>
            <w:shd w:val="clear" w:color="auto" w:fill="auto"/>
            <w:vAlign w:val="bottom"/>
          </w:tcPr>
          <w:p>
            <w:pPr>
              <w:keepNext w:val="0"/>
              <w:keepLines w:val="0"/>
              <w:widowControl/>
              <w:suppressLineNumbers w:val="0"/>
              <w:jc w:val="left"/>
              <w:textAlignment w:val="bottom"/>
              <w:rPr>
                <w:rFonts w:hint="default" w:ascii="Times New Roman Bold" w:hAnsi="Times New Roman Bold" w:eastAsia="Times New Roman Bold" w:cs="Times New Roman Bold"/>
                <w:i w:val="0"/>
                <w:color w:val="000000"/>
                <w:sz w:val="20"/>
                <w:szCs w:val="20"/>
                <w:u w:val="none"/>
              </w:rPr>
            </w:pPr>
            <w:r>
              <w:rPr>
                <w:rFonts w:hint="default" w:ascii="Times New Roman Bold" w:hAnsi="Times New Roman Bold" w:eastAsia="Times New Roman Bold" w:cs="Times New Roman Bold"/>
                <w:i w:val="0"/>
                <w:color w:val="000000"/>
                <w:kern w:val="0"/>
                <w:sz w:val="20"/>
                <w:szCs w:val="20"/>
                <w:u w:val="none"/>
                <w:lang w:val="en-US" w:eastAsia="zh-CN" w:bidi="ar"/>
              </w:rPr>
              <w:t xml:space="preserve">   Positive</w:t>
            </w:r>
          </w:p>
        </w:tc>
        <w:tc>
          <w:tcPr>
            <w:tcW w:w="1812" w:type="dxa"/>
            <w:shd w:val="clear" w:color="auto" w:fill="auto"/>
            <w:vAlign w:val="bottom"/>
          </w:tcPr>
          <w:p>
            <w:pPr>
              <w:keepNext w:val="0"/>
              <w:keepLines w:val="0"/>
              <w:widowControl/>
              <w:suppressLineNumbers w:val="0"/>
              <w:jc w:val="center"/>
              <w:textAlignment w:val="bottom"/>
              <w:rPr>
                <w:rFonts w:hint="default" w:ascii="Times New Roman" w:hAnsi="Times New Roman" w:eastAsia="Times New Roman Bold" w:cs="Times New Roman"/>
                <w:b w:val="0"/>
                <w:bCs w:val="0"/>
                <w:i w:val="0"/>
                <w:color w:val="000000"/>
                <w:sz w:val="20"/>
                <w:szCs w:val="20"/>
                <w:u w:val="none"/>
              </w:rPr>
            </w:pPr>
            <w:r>
              <w:rPr>
                <w:rFonts w:hint="default" w:ascii="Times New Roman" w:hAnsi="Times New Roman" w:eastAsia="Times New Roman Bold" w:cs="Times New Roman"/>
                <w:b w:val="0"/>
                <w:bCs w:val="0"/>
                <w:i w:val="0"/>
                <w:color w:val="000000"/>
                <w:kern w:val="0"/>
                <w:sz w:val="20"/>
                <w:szCs w:val="20"/>
                <w:u w:val="none"/>
                <w:lang w:val="en-US" w:eastAsia="zh-CN" w:bidi="ar"/>
              </w:rPr>
              <w:t>9</w:t>
            </w:r>
          </w:p>
        </w:tc>
        <w:tc>
          <w:tcPr>
            <w:tcW w:w="1784" w:type="dxa"/>
            <w:shd w:val="clear" w:color="auto" w:fill="auto"/>
            <w:vAlign w:val="bottom"/>
          </w:tcPr>
          <w:p>
            <w:pPr>
              <w:keepNext w:val="0"/>
              <w:keepLines w:val="0"/>
              <w:widowControl/>
              <w:suppressLineNumbers w:val="0"/>
              <w:jc w:val="center"/>
              <w:textAlignment w:val="bottom"/>
              <w:rPr>
                <w:rFonts w:hint="default" w:ascii="Times New Roman" w:hAnsi="Times New Roman" w:eastAsia="Times New Roman Bold" w:cs="Times New Roman"/>
                <w:b w:val="0"/>
                <w:bCs w:val="0"/>
                <w:i w:val="0"/>
                <w:color w:val="000000"/>
                <w:sz w:val="20"/>
                <w:szCs w:val="20"/>
                <w:u w:val="none"/>
              </w:rPr>
            </w:pPr>
            <w:r>
              <w:rPr>
                <w:rFonts w:hint="default" w:ascii="Times New Roman" w:hAnsi="Times New Roman" w:eastAsia="Times New Roman Bold" w:cs="Times New Roman"/>
                <w:b w:val="0"/>
                <w:bCs w:val="0"/>
                <w:i w:val="0"/>
                <w:color w:val="000000"/>
                <w:kern w:val="0"/>
                <w:sz w:val="20"/>
                <w:szCs w:val="20"/>
                <w:u w:val="none"/>
                <w:lang w:val="en-US" w:eastAsia="zh-CN" w:bidi="ar"/>
              </w:rPr>
              <w:t>0</w:t>
            </w:r>
          </w:p>
        </w:tc>
        <w:tc>
          <w:tcPr>
            <w:tcW w:w="1273" w:type="dxa"/>
            <w:vMerge w:val="continue"/>
            <w:shd w:val="clear" w:color="auto" w:fill="auto"/>
            <w:vAlign w:val="center"/>
          </w:tcPr>
          <w:p>
            <w:pPr>
              <w:jc w:val="center"/>
              <w:rPr>
                <w:rFonts w:hint="default" w:ascii="Times New Roman Bold" w:hAnsi="Times New Roman Bold" w:eastAsia="Times New Roman Bold" w:cs="Times New Roman Bold"/>
                <w:i w:val="0"/>
                <w:color w:val="000000"/>
                <w:sz w:val="20"/>
                <w:szCs w:val="20"/>
                <w:u w:val="none"/>
              </w:rPr>
            </w:pPr>
          </w:p>
        </w:tc>
        <w:tc>
          <w:tcPr>
            <w:tcW w:w="1273" w:type="dxa"/>
            <w:vMerge w:val="continue"/>
            <w:shd w:val="clear" w:color="auto" w:fill="auto"/>
            <w:vAlign w:val="center"/>
          </w:tcPr>
          <w:p>
            <w:pPr>
              <w:jc w:val="center"/>
              <w:rPr>
                <w:rFonts w:hint="default" w:ascii="Times New Roman Bold" w:hAnsi="Times New Roman Bold" w:eastAsia="Times New Roman Bold" w:cs="Times New Roman Bold"/>
                <w:i w:val="0"/>
                <w:color w:val="000000"/>
                <w:sz w:val="20"/>
                <w:szCs w:val="20"/>
                <w:u w:val="none"/>
              </w:rPr>
            </w:pPr>
          </w:p>
        </w:tc>
        <w:tc>
          <w:tcPr>
            <w:tcW w:w="1386" w:type="dxa"/>
            <w:vMerge w:val="continue"/>
            <w:shd w:val="clear" w:color="auto" w:fill="auto"/>
            <w:vAlign w:val="center"/>
          </w:tcPr>
          <w:p>
            <w:pPr>
              <w:jc w:val="center"/>
              <w:rPr>
                <w:rFonts w:hint="default" w:ascii="Times New Roman Bold" w:hAnsi="Times New Roman Bold" w:eastAsia="Times New Roman Bold" w:cs="Times New Roman Bold"/>
                <w:i w:val="0"/>
                <w:color w:val="000000"/>
                <w:sz w:val="20"/>
                <w:szCs w:val="20"/>
                <w:u w:val="none"/>
              </w:rPr>
            </w:pPr>
          </w:p>
        </w:tc>
        <w:tc>
          <w:tcPr>
            <w:tcW w:w="1273" w:type="dxa"/>
            <w:vMerge w:val="continue"/>
            <w:shd w:val="clear" w:color="auto" w:fill="auto"/>
            <w:vAlign w:val="center"/>
          </w:tcPr>
          <w:p>
            <w:pPr>
              <w:jc w:val="center"/>
              <w:rPr>
                <w:rFonts w:hint="default" w:ascii="Times New Roman Bold" w:hAnsi="Times New Roman Bold" w:eastAsia="Times New Roman Bold" w:cs="Times New Roman Bold"/>
                <w:i w:val="0"/>
                <w:color w:val="000000"/>
                <w:sz w:val="20"/>
                <w:szCs w:val="20"/>
                <w:u w:val="none"/>
              </w:rPr>
            </w:pPr>
          </w:p>
        </w:tc>
        <w:tc>
          <w:tcPr>
            <w:tcW w:w="1273" w:type="dxa"/>
            <w:vMerge w:val="continue"/>
            <w:shd w:val="clear" w:color="auto" w:fill="auto"/>
            <w:vAlign w:val="center"/>
          </w:tcPr>
          <w:p>
            <w:pPr>
              <w:jc w:val="center"/>
              <w:rPr>
                <w:rFonts w:hint="default" w:ascii="Times New Roman Bold" w:hAnsi="Times New Roman Bold" w:eastAsia="Times New Roman Bold" w:cs="Times New Roman Bold"/>
                <w:i w:val="0"/>
                <w:color w:val="000000"/>
                <w:sz w:val="20"/>
                <w:szCs w:val="20"/>
                <w:u w:val="none"/>
              </w:rPr>
            </w:pPr>
          </w:p>
        </w:tc>
        <w:tc>
          <w:tcPr>
            <w:tcW w:w="1191" w:type="dxa"/>
            <w:vMerge w:val="continue"/>
            <w:shd w:val="clear" w:color="auto" w:fill="auto"/>
            <w:vAlign w:val="center"/>
          </w:tcPr>
          <w:p>
            <w:pPr>
              <w:jc w:val="center"/>
              <w:rPr>
                <w:rFonts w:hint="default" w:ascii="Times New Roman Bold" w:hAnsi="Times New Roman Bold" w:eastAsia="Times New Roman Bold" w:cs="Times New Roman Bold"/>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2" w:hRule="atLeast"/>
        </w:trPr>
        <w:tc>
          <w:tcPr>
            <w:tcW w:w="1760" w:type="dxa"/>
            <w:tcBorders>
              <w:bottom w:val="single" w:color="auto" w:sz="4" w:space="0"/>
            </w:tcBorders>
            <w:shd w:val="clear" w:color="auto" w:fill="auto"/>
            <w:vAlign w:val="bottom"/>
          </w:tcPr>
          <w:p>
            <w:pPr>
              <w:keepNext w:val="0"/>
              <w:keepLines w:val="0"/>
              <w:widowControl/>
              <w:suppressLineNumbers w:val="0"/>
              <w:jc w:val="left"/>
              <w:textAlignment w:val="bottom"/>
              <w:rPr>
                <w:rFonts w:hint="default" w:ascii="Times New Roman Bold" w:hAnsi="Times New Roman Bold" w:eastAsia="Times New Roman Bold" w:cs="Times New Roman Bold"/>
                <w:i w:val="0"/>
                <w:color w:val="000000"/>
                <w:sz w:val="20"/>
                <w:szCs w:val="20"/>
                <w:u w:val="none"/>
              </w:rPr>
            </w:pPr>
            <w:r>
              <w:rPr>
                <w:rFonts w:hint="default" w:ascii="Times New Roman Bold" w:hAnsi="Times New Roman Bold" w:eastAsia="Times New Roman Bold" w:cs="Times New Roman Bold"/>
                <w:i w:val="0"/>
                <w:color w:val="000000"/>
                <w:kern w:val="0"/>
                <w:sz w:val="20"/>
                <w:szCs w:val="20"/>
                <w:u w:val="none"/>
                <w:lang w:val="en-US" w:eastAsia="zh-CN" w:bidi="ar"/>
              </w:rPr>
              <w:t xml:space="preserve">   Negative</w:t>
            </w:r>
          </w:p>
        </w:tc>
        <w:tc>
          <w:tcPr>
            <w:tcW w:w="1812" w:type="dxa"/>
            <w:tcBorders>
              <w:bottom w:val="single" w:color="auto" w:sz="4" w:space="0"/>
            </w:tcBorders>
            <w:shd w:val="clear" w:color="auto" w:fill="auto"/>
            <w:vAlign w:val="bottom"/>
          </w:tcPr>
          <w:p>
            <w:pPr>
              <w:keepNext w:val="0"/>
              <w:keepLines w:val="0"/>
              <w:widowControl/>
              <w:suppressLineNumbers w:val="0"/>
              <w:jc w:val="center"/>
              <w:textAlignment w:val="bottom"/>
              <w:rPr>
                <w:rFonts w:hint="default" w:ascii="Times New Roman" w:hAnsi="Times New Roman" w:eastAsia="Times New Roman Bold" w:cs="Times New Roman"/>
                <w:b w:val="0"/>
                <w:bCs w:val="0"/>
                <w:i w:val="0"/>
                <w:color w:val="000000"/>
                <w:sz w:val="20"/>
                <w:szCs w:val="20"/>
                <w:u w:val="none"/>
              </w:rPr>
            </w:pPr>
            <w:r>
              <w:rPr>
                <w:rFonts w:hint="default" w:ascii="Times New Roman" w:hAnsi="Times New Roman" w:eastAsia="Times New Roman Bold" w:cs="Times New Roman"/>
                <w:b w:val="0"/>
                <w:bCs w:val="0"/>
                <w:i w:val="0"/>
                <w:color w:val="000000"/>
                <w:kern w:val="0"/>
                <w:sz w:val="20"/>
                <w:szCs w:val="20"/>
                <w:u w:val="none"/>
                <w:lang w:val="en-US" w:eastAsia="zh-CN" w:bidi="ar"/>
              </w:rPr>
              <w:t>1</w:t>
            </w:r>
          </w:p>
        </w:tc>
        <w:tc>
          <w:tcPr>
            <w:tcW w:w="1784" w:type="dxa"/>
            <w:tcBorders>
              <w:bottom w:val="single" w:color="auto" w:sz="4" w:space="0"/>
            </w:tcBorders>
            <w:shd w:val="clear" w:color="auto" w:fill="auto"/>
            <w:vAlign w:val="bottom"/>
          </w:tcPr>
          <w:p>
            <w:pPr>
              <w:keepNext w:val="0"/>
              <w:keepLines w:val="0"/>
              <w:widowControl/>
              <w:suppressLineNumbers w:val="0"/>
              <w:jc w:val="center"/>
              <w:textAlignment w:val="bottom"/>
              <w:rPr>
                <w:rFonts w:hint="default" w:ascii="Times New Roman" w:hAnsi="Times New Roman" w:eastAsia="Times New Roman Bold" w:cs="Times New Roman"/>
                <w:b w:val="0"/>
                <w:bCs w:val="0"/>
                <w:i w:val="0"/>
                <w:color w:val="000000"/>
                <w:sz w:val="20"/>
                <w:szCs w:val="20"/>
                <w:u w:val="none"/>
              </w:rPr>
            </w:pPr>
            <w:r>
              <w:rPr>
                <w:rFonts w:hint="default" w:ascii="Times New Roman" w:hAnsi="Times New Roman" w:eastAsia="Times New Roman Bold" w:cs="Times New Roman"/>
                <w:b w:val="0"/>
                <w:bCs w:val="0"/>
                <w:i w:val="0"/>
                <w:color w:val="000000"/>
                <w:kern w:val="0"/>
                <w:sz w:val="20"/>
                <w:szCs w:val="20"/>
                <w:u w:val="none"/>
                <w:lang w:val="en-US" w:eastAsia="zh-CN" w:bidi="ar"/>
              </w:rPr>
              <w:t>69</w:t>
            </w:r>
          </w:p>
        </w:tc>
        <w:tc>
          <w:tcPr>
            <w:tcW w:w="1273" w:type="dxa"/>
            <w:vMerge w:val="continue"/>
            <w:tcBorders>
              <w:bottom w:val="single" w:color="auto" w:sz="4" w:space="0"/>
            </w:tcBorders>
            <w:shd w:val="clear" w:color="auto" w:fill="auto"/>
            <w:vAlign w:val="center"/>
          </w:tcPr>
          <w:p>
            <w:pPr>
              <w:jc w:val="center"/>
              <w:rPr>
                <w:rFonts w:hint="default" w:ascii="Times New Roman Bold" w:hAnsi="Times New Roman Bold" w:eastAsia="Times New Roman Bold" w:cs="Times New Roman Bold"/>
                <w:i w:val="0"/>
                <w:color w:val="000000"/>
                <w:sz w:val="20"/>
                <w:szCs w:val="20"/>
                <w:u w:val="none"/>
              </w:rPr>
            </w:pPr>
          </w:p>
        </w:tc>
        <w:tc>
          <w:tcPr>
            <w:tcW w:w="1273" w:type="dxa"/>
            <w:vMerge w:val="continue"/>
            <w:tcBorders>
              <w:bottom w:val="single" w:color="auto" w:sz="4" w:space="0"/>
            </w:tcBorders>
            <w:shd w:val="clear" w:color="auto" w:fill="auto"/>
            <w:vAlign w:val="center"/>
          </w:tcPr>
          <w:p>
            <w:pPr>
              <w:jc w:val="center"/>
              <w:rPr>
                <w:rFonts w:hint="default" w:ascii="Times New Roman Bold" w:hAnsi="Times New Roman Bold" w:eastAsia="Times New Roman Bold" w:cs="Times New Roman Bold"/>
                <w:i w:val="0"/>
                <w:color w:val="000000"/>
                <w:sz w:val="20"/>
                <w:szCs w:val="20"/>
                <w:u w:val="none"/>
              </w:rPr>
            </w:pPr>
          </w:p>
        </w:tc>
        <w:tc>
          <w:tcPr>
            <w:tcW w:w="1386" w:type="dxa"/>
            <w:vMerge w:val="continue"/>
            <w:tcBorders>
              <w:bottom w:val="single" w:color="auto" w:sz="4" w:space="0"/>
            </w:tcBorders>
            <w:shd w:val="clear" w:color="auto" w:fill="auto"/>
            <w:vAlign w:val="center"/>
          </w:tcPr>
          <w:p>
            <w:pPr>
              <w:jc w:val="center"/>
              <w:rPr>
                <w:rFonts w:hint="default" w:ascii="Times New Roman Bold" w:hAnsi="Times New Roman Bold" w:eastAsia="Times New Roman Bold" w:cs="Times New Roman Bold"/>
                <w:i w:val="0"/>
                <w:color w:val="000000"/>
                <w:sz w:val="20"/>
                <w:szCs w:val="20"/>
                <w:u w:val="none"/>
              </w:rPr>
            </w:pPr>
          </w:p>
        </w:tc>
        <w:tc>
          <w:tcPr>
            <w:tcW w:w="1273" w:type="dxa"/>
            <w:vMerge w:val="continue"/>
            <w:tcBorders>
              <w:bottom w:val="single" w:color="auto" w:sz="4" w:space="0"/>
            </w:tcBorders>
            <w:shd w:val="clear" w:color="auto" w:fill="auto"/>
            <w:vAlign w:val="center"/>
          </w:tcPr>
          <w:p>
            <w:pPr>
              <w:jc w:val="center"/>
              <w:rPr>
                <w:rFonts w:hint="default" w:ascii="Times New Roman Bold" w:hAnsi="Times New Roman Bold" w:eastAsia="Times New Roman Bold" w:cs="Times New Roman Bold"/>
                <w:i w:val="0"/>
                <w:color w:val="000000"/>
                <w:sz w:val="20"/>
                <w:szCs w:val="20"/>
                <w:u w:val="none"/>
              </w:rPr>
            </w:pPr>
          </w:p>
        </w:tc>
        <w:tc>
          <w:tcPr>
            <w:tcW w:w="1273" w:type="dxa"/>
            <w:vMerge w:val="continue"/>
            <w:tcBorders>
              <w:bottom w:val="single" w:color="auto" w:sz="4" w:space="0"/>
            </w:tcBorders>
            <w:shd w:val="clear" w:color="auto" w:fill="auto"/>
            <w:vAlign w:val="center"/>
          </w:tcPr>
          <w:p>
            <w:pPr>
              <w:jc w:val="center"/>
              <w:rPr>
                <w:rFonts w:hint="default" w:ascii="Times New Roman Bold" w:hAnsi="Times New Roman Bold" w:eastAsia="Times New Roman Bold" w:cs="Times New Roman Bold"/>
                <w:i w:val="0"/>
                <w:color w:val="000000"/>
                <w:sz w:val="20"/>
                <w:szCs w:val="20"/>
                <w:u w:val="none"/>
              </w:rPr>
            </w:pPr>
          </w:p>
        </w:tc>
        <w:tc>
          <w:tcPr>
            <w:tcW w:w="1191" w:type="dxa"/>
            <w:vMerge w:val="continue"/>
            <w:tcBorders>
              <w:bottom w:val="single" w:color="auto" w:sz="4" w:space="0"/>
            </w:tcBorders>
            <w:shd w:val="clear" w:color="auto" w:fill="auto"/>
            <w:vAlign w:val="center"/>
          </w:tcPr>
          <w:p>
            <w:pPr>
              <w:jc w:val="center"/>
              <w:rPr>
                <w:rFonts w:hint="default" w:ascii="Times New Roman Bold" w:hAnsi="Times New Roman Bold" w:eastAsia="Times New Roman Bold" w:cs="Times New Roman Bold"/>
                <w:i w:val="0"/>
                <w:color w:val="000000"/>
                <w:sz w:val="20"/>
                <w:szCs w:val="20"/>
                <w:u w:val="none"/>
              </w:rPr>
            </w:pPr>
          </w:p>
        </w:tc>
      </w:tr>
    </w:tbl>
    <w:p>
      <w:pPr>
        <w:spacing w:line="360" w:lineRule="auto"/>
        <w:rPr>
          <w:rFonts w:hint="default" w:ascii="Times New Roman Bold" w:hAnsi="Times New Roman Bold" w:eastAsia="等线" w:cs="Times New Roman Bold"/>
          <w:b/>
          <w:bCs/>
          <w:color w:val="auto"/>
          <w:sz w:val="28"/>
          <w:szCs w:val="28"/>
          <w:highlight w:val="none"/>
        </w:rPr>
      </w:pPr>
    </w:p>
    <w:p>
      <w:pPr>
        <w:spacing w:line="360" w:lineRule="auto"/>
        <w:rPr>
          <w:rFonts w:hint="default" w:ascii="Times New Roman Bold" w:hAnsi="Times New Roman Bold" w:eastAsia="等线" w:cs="Times New Roman Bold"/>
          <w:b/>
          <w:bCs/>
          <w:color w:val="auto"/>
          <w:sz w:val="28"/>
          <w:szCs w:val="28"/>
          <w:highlight w:val="none"/>
        </w:rPr>
      </w:pPr>
    </w:p>
    <w:p>
      <w:pPr>
        <w:spacing w:line="360" w:lineRule="auto"/>
        <w:rPr>
          <w:rFonts w:hint="default" w:ascii="Times New Roman Bold" w:hAnsi="Times New Roman Bold" w:eastAsia="等线" w:cs="Times New Roman Bold"/>
          <w:b/>
          <w:bCs/>
          <w:color w:val="auto"/>
          <w:sz w:val="28"/>
          <w:szCs w:val="28"/>
          <w:highlight w:val="none"/>
        </w:rPr>
      </w:pPr>
    </w:p>
    <w:p>
      <w:pPr>
        <w:spacing w:line="360" w:lineRule="auto"/>
        <w:rPr>
          <w:rFonts w:hint="default" w:ascii="Times New Roman Bold" w:hAnsi="Times New Roman Bold" w:eastAsia="等线" w:cs="Times New Roman Bold"/>
          <w:b/>
          <w:bCs/>
          <w:color w:val="auto"/>
          <w:sz w:val="28"/>
          <w:szCs w:val="28"/>
          <w:highlight w:val="none"/>
        </w:rPr>
      </w:pPr>
    </w:p>
    <w:p>
      <w:pPr>
        <w:spacing w:line="360" w:lineRule="auto"/>
        <w:rPr>
          <w:rFonts w:hint="default" w:ascii="Times New Roman" w:hAnsi="Times New Roman" w:eastAsia="等线" w:cs="Times New Roman"/>
          <w:b w:val="0"/>
          <w:bCs w:val="0"/>
          <w:color w:val="auto"/>
          <w:sz w:val="18"/>
          <w:szCs w:val="18"/>
          <w:highlight w:val="none"/>
        </w:rPr>
      </w:pPr>
    </w:p>
    <w:p>
      <w:pPr>
        <w:spacing w:line="360" w:lineRule="auto"/>
        <w:rPr>
          <w:rFonts w:hint="default" w:ascii="Times New Roman" w:hAnsi="Times New Roman" w:eastAsia="等线" w:cs="Times New Roman"/>
          <w:b w:val="0"/>
          <w:bCs w:val="0"/>
          <w:color w:val="auto"/>
          <w:sz w:val="20"/>
          <w:szCs w:val="20"/>
          <w:highlight w:val="none"/>
        </w:rPr>
      </w:pPr>
      <w:r>
        <w:rPr>
          <w:rFonts w:hint="default" w:ascii="Times New Roman" w:hAnsi="Times New Roman" w:eastAsia="等线" w:cs="Times New Roman"/>
          <w:b w:val="0"/>
          <w:bCs w:val="0"/>
          <w:color w:val="auto"/>
          <w:sz w:val="20"/>
          <w:szCs w:val="20"/>
          <w:highlight w:val="none"/>
        </w:rPr>
        <w:t>Note: The above samples only contain 79 patients with definitive diagnosis (hvKp and non-hvKp) after excluding the 5 unknowns.</w:t>
      </w:r>
    </w:p>
    <w:p>
      <w:pPr>
        <w:spacing w:line="360" w:lineRule="auto"/>
        <w:rPr>
          <w:rFonts w:hint="default" w:ascii="Times New Roman Bold" w:hAnsi="Times New Roman Bold" w:eastAsia="等线" w:cs="Times New Roman Bold"/>
          <w:b/>
          <w:bCs/>
          <w:color w:val="auto"/>
          <w:sz w:val="28"/>
          <w:szCs w:val="28"/>
          <w:highlight w:val="none"/>
        </w:rPr>
      </w:pPr>
    </w:p>
    <w:p>
      <w:pPr>
        <w:spacing w:line="360" w:lineRule="auto"/>
        <w:rPr>
          <w:rFonts w:hint="default" w:ascii="Times New Roman Bold" w:hAnsi="Times New Roman Bold" w:eastAsia="等线" w:cs="Times New Roman Bold"/>
          <w:b/>
          <w:bCs/>
          <w:color w:val="auto"/>
          <w:sz w:val="28"/>
          <w:szCs w:val="28"/>
          <w:highlight w:val="none"/>
        </w:rPr>
      </w:pPr>
    </w:p>
    <w:p>
      <w:pPr>
        <w:spacing w:line="360" w:lineRule="auto"/>
        <w:rPr>
          <w:rFonts w:hint="default" w:ascii="Times New Roman Bold" w:hAnsi="Times New Roman Bold" w:eastAsia="等线" w:cs="Times New Roman Bold"/>
          <w:b/>
          <w:bCs/>
          <w:color w:val="auto"/>
          <w:sz w:val="28"/>
          <w:szCs w:val="28"/>
          <w:highlight w:val="none"/>
        </w:rPr>
      </w:pPr>
    </w:p>
    <w:p>
      <w:pPr>
        <w:spacing w:line="360" w:lineRule="auto"/>
        <w:rPr>
          <w:rFonts w:hint="default" w:ascii="Times New Roman Bold" w:hAnsi="Times New Roman Bold" w:eastAsia="等线" w:cs="Times New Roman Bold"/>
          <w:b/>
          <w:bCs/>
          <w:color w:val="auto"/>
          <w:sz w:val="28"/>
          <w:szCs w:val="28"/>
          <w:highlight w:val="none"/>
        </w:rPr>
      </w:pPr>
    </w:p>
    <w:p>
      <w:pPr>
        <w:spacing w:line="360" w:lineRule="auto"/>
        <w:rPr>
          <w:rFonts w:hint="default" w:ascii="Times New Roman Bold" w:hAnsi="Times New Roman Bold" w:eastAsia="等线" w:cs="Times New Roman Bold"/>
          <w:b/>
          <w:bCs/>
          <w:color w:val="auto"/>
          <w:sz w:val="28"/>
          <w:szCs w:val="28"/>
          <w:highlight w:val="none"/>
        </w:rPr>
        <w:sectPr>
          <w:pgSz w:w="16838" w:h="11906" w:orient="landscape"/>
          <w:pgMar w:top="1800" w:right="1440" w:bottom="1800" w:left="1440" w:header="851" w:footer="992" w:gutter="0"/>
          <w:cols w:space="425" w:num="1"/>
          <w:docGrid w:type="lines" w:linePitch="312" w:charSpace="0"/>
        </w:sectPr>
      </w:pPr>
    </w:p>
    <w:p>
      <w:pPr>
        <w:spacing w:line="360" w:lineRule="auto"/>
        <w:rPr>
          <w:rFonts w:hint="default" w:ascii="Times New Roman Bold" w:hAnsi="Times New Roman Bold" w:eastAsia="等线" w:cs="Times New Roman Bold"/>
          <w:b/>
          <w:bCs/>
          <w:color w:val="auto"/>
          <w:sz w:val="28"/>
          <w:szCs w:val="28"/>
          <w:highlight w:val="none"/>
          <w:shd w:val="clear" w:color="auto" w:fill="FFFFFF"/>
        </w:rPr>
      </w:pPr>
      <w:r>
        <w:rPr>
          <w:rFonts w:hint="default" w:ascii="Times New Roman Bold" w:hAnsi="Times New Roman Bold" w:eastAsia="等线" w:cs="Times New Roman Bold"/>
          <w:b/>
          <w:bCs/>
          <w:color w:val="auto"/>
          <w:sz w:val="28"/>
          <w:szCs w:val="28"/>
          <w:highlight w:val="none"/>
        </w:rPr>
        <w:t>III Supplementary Figures</w:t>
      </w:r>
    </w:p>
    <w:p>
      <w:pPr>
        <w:spacing w:line="360" w:lineRule="auto"/>
        <w:rPr>
          <w:rFonts w:hint="default" w:ascii="Times New Roman" w:hAnsi="Times New Roman" w:cs="Times New Roman"/>
          <w:b w:val="0"/>
          <w:bCs w:val="0"/>
          <w:sz w:val="24"/>
          <w:szCs w:val="24"/>
          <w:highlight w:val="none"/>
        </w:rPr>
      </w:pPr>
      <w:r>
        <w:drawing>
          <wp:inline distT="0" distB="0" distL="114300" distR="114300">
            <wp:extent cx="5263515" cy="5875020"/>
            <wp:effectExtent l="0" t="0" r="19685" b="1778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a:stretch>
                      <a:fillRect/>
                    </a:stretch>
                  </pic:blipFill>
                  <pic:spPr>
                    <a:xfrm>
                      <a:off x="0" y="0"/>
                      <a:ext cx="5263515" cy="5875020"/>
                    </a:xfrm>
                    <a:prstGeom prst="rect">
                      <a:avLst/>
                    </a:prstGeom>
                    <a:noFill/>
                    <a:ln w="9525">
                      <a:noFill/>
                    </a:ln>
                  </pic:spPr>
                </pic:pic>
              </a:graphicData>
            </a:graphic>
          </wp:inline>
        </w:drawing>
      </w:r>
      <w:r>
        <w:rPr>
          <w:rFonts w:hint="default" w:ascii="Times New Roman" w:hAnsi="Times New Roman" w:cs="Times New Roman"/>
          <w:b/>
          <w:bCs/>
          <w:sz w:val="24"/>
          <w:szCs w:val="24"/>
          <w:highlight w:val="none"/>
        </w:rPr>
        <w:t xml:space="preserve">Figure </w:t>
      </w:r>
      <w:r>
        <w:rPr>
          <w:rFonts w:hint="default" w:ascii="Times New Roman" w:hAnsi="Times New Roman" w:cs="Times New Roman"/>
          <w:b/>
          <w:bCs/>
          <w:sz w:val="24"/>
          <w:szCs w:val="24"/>
          <w:highlight w:val="none"/>
        </w:rPr>
        <w:t>S</w:t>
      </w:r>
      <w:r>
        <w:rPr>
          <w:rFonts w:hint="default" w:ascii="Times New Roman" w:hAnsi="Times New Roman" w:cs="Times New Roman"/>
          <w:b/>
          <w:bCs/>
          <w:sz w:val="24"/>
          <w:szCs w:val="24"/>
          <w:highlight w:val="none"/>
        </w:rPr>
        <w:t xml:space="preserve">1. </w:t>
      </w:r>
      <w:r>
        <w:rPr>
          <w:rFonts w:hint="default" w:ascii="Times New Roman Bold" w:hAnsi="Times New Roman Bold" w:cs="Times New Roman Bold"/>
          <w:b/>
          <w:bCs/>
          <w:sz w:val="24"/>
          <w:szCs w:val="24"/>
          <w:highlight w:val="none"/>
        </w:rPr>
        <w:t>The effect of sequencing depth and read length on VFG detection.</w:t>
      </w:r>
      <w:r>
        <w:rPr>
          <w:rFonts w:hint="default" w:ascii="Times New Roman" w:hAnsi="Times New Roman" w:cs="Times New Roman"/>
          <w:b w:val="0"/>
          <w:bCs w:val="0"/>
          <w:sz w:val="24"/>
          <w:szCs w:val="24"/>
          <w:highlight w:val="none"/>
        </w:rPr>
        <w:t xml:space="preserve"> a-b. The effect of sequencing depth on VFG detection by RVFScan and ShortBRED. c-d. Effect of read length on the performance of RVFScan.</w:t>
      </w:r>
    </w:p>
    <w:p>
      <w:pPr>
        <w:spacing w:line="360" w:lineRule="auto"/>
        <w:rPr>
          <w:rFonts w:hint="default" w:ascii="Times New Roman" w:hAnsi="Times New Roman" w:cs="Times New Roman"/>
          <w:b w:val="0"/>
          <w:bCs w:val="0"/>
          <w:sz w:val="24"/>
          <w:szCs w:val="24"/>
          <w:highlight w:val="none"/>
        </w:rPr>
        <w:sectPr>
          <w:pgSz w:w="11906" w:h="16838"/>
          <w:pgMar w:top="1440" w:right="1800" w:bottom="1440" w:left="1800" w:header="851" w:footer="992" w:gutter="0"/>
          <w:cols w:space="425" w:num="1"/>
          <w:docGrid w:type="lines" w:linePitch="312" w:charSpace="0"/>
        </w:sectPr>
      </w:pPr>
    </w:p>
    <w:p>
      <w:pPr>
        <w:spacing w:line="360" w:lineRule="auto"/>
        <w:rPr>
          <w:rFonts w:hint="default" w:ascii="Times New Roman" w:hAnsi="Times New Roman" w:cs="Times New Roman"/>
          <w:b/>
          <w:bCs/>
          <w:sz w:val="24"/>
          <w:szCs w:val="24"/>
          <w:highlight w:val="none"/>
        </w:rPr>
      </w:pPr>
    </w:p>
    <w:p>
      <w:pPr>
        <w:spacing w:line="360" w:lineRule="auto"/>
        <w:rPr>
          <w:rFonts w:hint="default" w:ascii="Times New Roman" w:hAnsi="Times New Roman" w:cs="Times New Roman"/>
          <w:b/>
          <w:bCs/>
          <w:sz w:val="24"/>
          <w:szCs w:val="24"/>
          <w:highlight w:val="none"/>
        </w:rPr>
      </w:pPr>
      <w:r>
        <w:rPr>
          <w:rFonts w:hint="default" w:ascii="Times New Roman" w:hAnsi="Times New Roman" w:cs="Times New Roman"/>
          <w:b/>
          <w:bCs/>
          <w:sz w:val="24"/>
          <w:szCs w:val="24"/>
          <w:highlight w:val="none"/>
        </w:rPr>
        <w:drawing>
          <wp:inline distT="0" distB="0" distL="114300" distR="114300">
            <wp:extent cx="5272405" cy="4121150"/>
            <wp:effectExtent l="0" t="0" r="10795" b="19050"/>
            <wp:docPr id="6" name="Picture 6"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S2"/>
                    <pic:cNvPicPr>
                      <a:picLocks noChangeAspect="1"/>
                    </pic:cNvPicPr>
                  </pic:nvPicPr>
                  <pic:blipFill>
                    <a:blip r:embed="rId9"/>
                    <a:stretch>
                      <a:fillRect/>
                    </a:stretch>
                  </pic:blipFill>
                  <pic:spPr>
                    <a:xfrm>
                      <a:off x="0" y="0"/>
                      <a:ext cx="5272405" cy="4121150"/>
                    </a:xfrm>
                    <a:prstGeom prst="rect">
                      <a:avLst/>
                    </a:prstGeom>
                  </pic:spPr>
                </pic:pic>
              </a:graphicData>
            </a:graphic>
          </wp:inline>
        </w:drawing>
      </w:r>
    </w:p>
    <w:p>
      <w:pPr>
        <w:spacing w:line="360" w:lineRule="auto"/>
        <w:rPr>
          <w:rFonts w:hint="default" w:ascii="Times New Roman" w:hAnsi="Times New Roman" w:cs="Times New Roman"/>
          <w:b w:val="0"/>
          <w:bCs w:val="0"/>
          <w:sz w:val="24"/>
          <w:szCs w:val="24"/>
          <w:highlight w:val="none"/>
        </w:rPr>
        <w:sectPr>
          <w:pgSz w:w="11906" w:h="16838"/>
          <w:pgMar w:top="1440" w:right="1800" w:bottom="1440" w:left="1800" w:header="851" w:footer="992" w:gutter="0"/>
          <w:cols w:space="425" w:num="1"/>
          <w:docGrid w:type="lines" w:linePitch="312" w:charSpace="0"/>
        </w:sectPr>
      </w:pPr>
      <w:r>
        <w:rPr>
          <w:rFonts w:hint="default" w:ascii="Times New Roman" w:hAnsi="Times New Roman" w:cs="Times New Roman"/>
          <w:b/>
          <w:bCs/>
          <w:sz w:val="24"/>
          <w:szCs w:val="24"/>
          <w:highlight w:val="none"/>
        </w:rPr>
        <w:t xml:space="preserve">Figure </w:t>
      </w:r>
      <w:r>
        <w:rPr>
          <w:rFonts w:hint="default" w:ascii="Times New Roman" w:hAnsi="Times New Roman" w:cs="Times New Roman"/>
          <w:b/>
          <w:bCs/>
          <w:sz w:val="24"/>
          <w:szCs w:val="24"/>
          <w:highlight w:val="none"/>
        </w:rPr>
        <w:t>S</w:t>
      </w:r>
      <w:r>
        <w:rPr>
          <w:rFonts w:hint="default" w:ascii="Times New Roman" w:hAnsi="Times New Roman" w:cs="Times New Roman"/>
          <w:b/>
          <w:bCs/>
          <w:sz w:val="24"/>
          <w:szCs w:val="24"/>
          <w:highlight w:val="none"/>
        </w:rPr>
        <w:t xml:space="preserve">2. </w:t>
      </w:r>
      <w:r>
        <w:rPr>
          <w:rFonts w:hint="default" w:ascii="Times New Roman Bold" w:hAnsi="Times New Roman Bold" w:cs="Times New Roman Bold"/>
          <w:b/>
          <w:bCs/>
          <w:sz w:val="24"/>
          <w:szCs w:val="24"/>
          <w:highlight w:val="none"/>
        </w:rPr>
        <w:t>The rate of VFG detection for pathogens ranked according to VF units.</w:t>
      </w:r>
      <w:r>
        <w:rPr>
          <w:rFonts w:hint="default" w:ascii="Times New Roman" w:hAnsi="Times New Roman" w:cs="Times New Roman"/>
          <w:b w:val="0"/>
          <w:bCs w:val="0"/>
          <w:sz w:val="24"/>
          <w:szCs w:val="24"/>
          <w:highlight w:val="none"/>
        </w:rPr>
        <w:t xml:space="preserve"> Colors represent the VFG detection rates from high to low (red to blue). a and b indicate DNA and RNA levels, respectively.</w:t>
      </w:r>
    </w:p>
    <w:p>
      <w:pPr>
        <w:spacing w:line="360" w:lineRule="auto"/>
        <w:rPr>
          <w:rFonts w:hint="default" w:ascii="Times New Roman" w:hAnsi="Times New Roman" w:cs="Times New Roman"/>
          <w:b w:val="0"/>
          <w:bCs w:val="0"/>
          <w:sz w:val="24"/>
          <w:szCs w:val="24"/>
          <w:highlight w:val="none"/>
        </w:rPr>
      </w:pPr>
      <w:r>
        <w:rPr>
          <w:rFonts w:hint="default" w:ascii="Times New Roman" w:hAnsi="Times New Roman" w:cs="Times New Roman"/>
          <w:b w:val="0"/>
          <w:bCs w:val="0"/>
          <w:sz w:val="24"/>
          <w:szCs w:val="24"/>
          <w:highlight w:val="none"/>
        </w:rPr>
        <w:drawing>
          <wp:inline distT="0" distB="0" distL="114300" distR="114300">
            <wp:extent cx="5268595" cy="2280920"/>
            <wp:effectExtent l="0" t="0" r="14605" b="5080"/>
            <wp:docPr id="1" name="Picture 1"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3"/>
                    <pic:cNvPicPr>
                      <a:picLocks noChangeAspect="1"/>
                    </pic:cNvPicPr>
                  </pic:nvPicPr>
                  <pic:blipFill>
                    <a:blip r:embed="rId10"/>
                    <a:stretch>
                      <a:fillRect/>
                    </a:stretch>
                  </pic:blipFill>
                  <pic:spPr>
                    <a:xfrm>
                      <a:off x="0" y="0"/>
                      <a:ext cx="5268595" cy="2280920"/>
                    </a:xfrm>
                    <a:prstGeom prst="rect">
                      <a:avLst/>
                    </a:prstGeom>
                  </pic:spPr>
                </pic:pic>
              </a:graphicData>
            </a:graphic>
          </wp:inline>
        </w:drawing>
      </w:r>
    </w:p>
    <w:p>
      <w:pPr>
        <w:spacing w:line="360" w:lineRule="auto"/>
        <w:rPr>
          <w:rFonts w:ascii="Times New Roman" w:hAnsi="Times New Roman" w:cs="Times New Roman"/>
          <w:sz w:val="24"/>
          <w:szCs w:val="24"/>
        </w:rPr>
        <w:sectPr>
          <w:pgSz w:w="11906" w:h="16838"/>
          <w:pgMar w:top="1440" w:right="1800" w:bottom="1440" w:left="1800" w:header="851" w:footer="992" w:gutter="0"/>
          <w:cols w:space="425" w:num="1"/>
          <w:docGrid w:type="lines" w:linePitch="312" w:charSpace="0"/>
        </w:sectPr>
      </w:pPr>
      <w:r>
        <w:rPr>
          <w:rFonts w:ascii="Times New Roman Bold" w:hAnsi="Times New Roman Bold" w:cs="Times New Roman Bold"/>
          <w:b/>
          <w:bCs/>
          <w:sz w:val="24"/>
          <w:szCs w:val="24"/>
        </w:rPr>
        <w:t>F</w:t>
      </w:r>
      <w:r>
        <w:rPr>
          <w:rFonts w:ascii="Times New Roman Bold" w:hAnsi="Times New Roman Bold" w:cs="Times New Roman Bold"/>
          <w:b w:val="0"/>
          <w:bCs w:val="0"/>
          <w:sz w:val="24"/>
          <w:szCs w:val="24"/>
        </w:rPr>
        <w:t xml:space="preserve">igure </w:t>
      </w:r>
      <w:r>
        <w:rPr>
          <w:rFonts w:ascii="Times New Roman Bold" w:hAnsi="Times New Roman Bold" w:cs="Times New Roman Bold"/>
          <w:b w:val="0"/>
          <w:bCs w:val="0"/>
          <w:sz w:val="24"/>
          <w:szCs w:val="24"/>
        </w:rPr>
        <w:t>S</w:t>
      </w:r>
      <w:r>
        <w:rPr>
          <w:rFonts w:ascii="Times New Roman Bold" w:hAnsi="Times New Roman Bold" w:cs="Times New Roman Bold"/>
          <w:b/>
          <w:bCs/>
          <w:sz w:val="24"/>
          <w:szCs w:val="24"/>
        </w:rPr>
        <w:t xml:space="preserve">3. </w:t>
      </w:r>
      <w:r>
        <w:rPr>
          <w:rFonts w:hint="default" w:ascii="Times New Roman Bold" w:hAnsi="Times New Roman Bold" w:cs="Times New Roman Bold"/>
          <w:b/>
          <w:bCs/>
          <w:sz w:val="24"/>
          <w:szCs w:val="24"/>
        </w:rPr>
        <w:t xml:space="preserve">The </w:t>
      </w:r>
      <w:r>
        <w:rPr>
          <w:rFonts w:hint="default" w:ascii="Times New Roman Bold" w:hAnsi="Times New Roman Bold" w:eastAsia="等线" w:cs="Times New Roman Bold"/>
          <w:b/>
          <w:bCs/>
          <w:sz w:val="24"/>
          <w:szCs w:val="24"/>
        </w:rPr>
        <w:t>functional</w:t>
      </w:r>
      <w:r>
        <w:rPr>
          <w:rFonts w:hint="default" w:ascii="Times New Roman Bold" w:hAnsi="Times New Roman Bold" w:cs="Times New Roman Bold"/>
          <w:b/>
          <w:bCs/>
          <w:sz w:val="24"/>
          <w:szCs w:val="24"/>
        </w:rPr>
        <w:t xml:space="preserve"> units of high-frequency VFGs detected in DNA and RNA samples from infected patients.</w:t>
      </w:r>
      <w:r>
        <w:rPr>
          <w:rFonts w:ascii="Times New Roman" w:hAnsi="Times New Roman" w:eastAsia="等线" w:cs="Times New Roman"/>
          <w:b w:val="0"/>
          <w:bCs w:val="0"/>
          <w:sz w:val="24"/>
          <w:szCs w:val="24"/>
        </w:rPr>
        <w:t xml:space="preserve"> </w:t>
      </w:r>
      <w:r>
        <w:rPr>
          <w:rFonts w:ascii="Times New Roman" w:hAnsi="Times New Roman" w:eastAsia="等线" w:cs="Times New Roman"/>
          <w:sz w:val="24"/>
          <w:szCs w:val="24"/>
        </w:rPr>
        <w:t>The left</w:t>
      </w:r>
      <w:r>
        <w:rPr>
          <w:rFonts w:ascii="Times New Roman" w:hAnsi="Times New Roman" w:cs="Times New Roman"/>
          <w:sz w:val="24"/>
          <w:szCs w:val="24"/>
        </w:rPr>
        <w:t xml:space="preserve"> panel is the heatmap of high-frequency VFG (detection rate ≥ 0.3) in DNA samples. </w:t>
      </w:r>
      <w:r>
        <w:rPr>
          <w:rFonts w:ascii="Times New Roman" w:hAnsi="Times New Roman" w:eastAsia="等线" w:cs="Times New Roman"/>
          <w:sz w:val="24"/>
          <w:szCs w:val="24"/>
        </w:rPr>
        <w:t>The right</w:t>
      </w:r>
      <w:r>
        <w:rPr>
          <w:rFonts w:ascii="Times New Roman" w:hAnsi="Times New Roman" w:cs="Times New Roman"/>
          <w:sz w:val="24"/>
          <w:szCs w:val="24"/>
        </w:rPr>
        <w:t xml:space="preserve"> panel is the heatmap of high-frequency VFG (detection rate ≥ 0.1) in RNA samples.</w:t>
      </w:r>
    </w:p>
    <w:p>
      <w:pPr>
        <w:spacing w:line="360" w:lineRule="auto"/>
        <w:jc w:val="center"/>
        <w:rPr>
          <w:rFonts w:ascii="Times New Roman Bold" w:hAnsi="Times New Roman Bold" w:cs="Times New Roman Bold"/>
          <w:b/>
          <w:bCs/>
          <w:sz w:val="24"/>
          <w:szCs w:val="24"/>
        </w:rPr>
      </w:pPr>
      <w:r>
        <w:rPr>
          <w:rFonts w:ascii="Times New Roman Bold" w:hAnsi="Times New Roman Bold" w:cs="Times New Roman Bold"/>
          <w:b/>
          <w:bCs/>
          <w:sz w:val="24"/>
          <w:szCs w:val="24"/>
        </w:rPr>
        <w:drawing>
          <wp:inline distT="0" distB="0" distL="114300" distR="114300">
            <wp:extent cx="4414520" cy="3390265"/>
            <wp:effectExtent l="0" t="0" r="5080" b="13335"/>
            <wp:docPr id="2" name="Picture 2"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5"/>
                    <pic:cNvPicPr>
                      <a:picLocks noChangeAspect="1"/>
                    </pic:cNvPicPr>
                  </pic:nvPicPr>
                  <pic:blipFill>
                    <a:blip r:embed="rId11"/>
                    <a:stretch>
                      <a:fillRect/>
                    </a:stretch>
                  </pic:blipFill>
                  <pic:spPr>
                    <a:xfrm>
                      <a:off x="0" y="0"/>
                      <a:ext cx="4414520" cy="3390265"/>
                    </a:xfrm>
                    <a:prstGeom prst="rect">
                      <a:avLst/>
                    </a:prstGeom>
                  </pic:spPr>
                </pic:pic>
              </a:graphicData>
            </a:graphic>
          </wp:inline>
        </w:drawing>
      </w:r>
    </w:p>
    <w:p>
      <w:pPr>
        <w:spacing w:line="360" w:lineRule="auto"/>
        <w:rPr>
          <w:rFonts w:ascii="Times New Roman" w:hAnsi="Times New Roman" w:cs="Times New Roman"/>
          <w:sz w:val="24"/>
          <w:szCs w:val="24"/>
        </w:rPr>
        <w:sectPr>
          <w:pgSz w:w="11906" w:h="16838"/>
          <w:pgMar w:top="1440" w:right="1800" w:bottom="1440" w:left="1800" w:header="851" w:footer="992" w:gutter="0"/>
          <w:cols w:space="425" w:num="1"/>
          <w:docGrid w:type="lines" w:linePitch="312" w:charSpace="0"/>
        </w:sectPr>
      </w:pPr>
      <w:r>
        <w:rPr>
          <w:rFonts w:ascii="Times New Roman Bold" w:hAnsi="Times New Roman Bold" w:cs="Times New Roman Bold"/>
          <w:b/>
          <w:bCs/>
          <w:sz w:val="24"/>
          <w:szCs w:val="24"/>
        </w:rPr>
        <w:t xml:space="preserve">Figure </w:t>
      </w:r>
      <w:r>
        <w:rPr>
          <w:rFonts w:ascii="Times New Roman Bold" w:hAnsi="Times New Roman Bold" w:cs="Times New Roman Bold"/>
          <w:b/>
          <w:bCs/>
          <w:sz w:val="24"/>
          <w:szCs w:val="24"/>
        </w:rPr>
        <w:t>S</w:t>
      </w:r>
      <w:r>
        <w:rPr>
          <w:rFonts w:ascii="Times New Roman Bold" w:hAnsi="Times New Roman Bold" w:cs="Times New Roman Bold"/>
          <w:b/>
          <w:bCs/>
          <w:sz w:val="24"/>
          <w:szCs w:val="24"/>
        </w:rPr>
        <w:t xml:space="preserve">4. </w:t>
      </w:r>
      <w:r>
        <w:rPr>
          <w:rFonts w:ascii="Times New Roman" w:hAnsi="Times New Roman" w:eastAsia="等线" w:cs="Times New Roman"/>
          <w:b/>
          <w:bCs/>
          <w:sz w:val="24"/>
          <w:szCs w:val="24"/>
        </w:rPr>
        <w:t>VFG</w:t>
      </w:r>
      <w:r>
        <w:rPr>
          <w:rFonts w:ascii="Times New Roman" w:hAnsi="Times New Roman" w:cs="Times New Roman"/>
          <w:b/>
          <w:bCs/>
          <w:sz w:val="24"/>
          <w:szCs w:val="24"/>
        </w:rPr>
        <w:t xml:space="preserve"> co</w:t>
      </w:r>
      <w:r>
        <w:rPr>
          <w:rFonts w:hint="eastAsia" w:ascii="Times New Roman" w:hAnsi="Times New Roman" w:cs="Times New Roman"/>
          <w:b/>
          <w:bCs/>
          <w:sz w:val="24"/>
          <w:szCs w:val="24"/>
        </w:rPr>
        <w:t>-</w:t>
      </w:r>
      <w:r>
        <w:rPr>
          <w:rFonts w:ascii="Times New Roman" w:hAnsi="Times New Roman" w:cs="Times New Roman"/>
          <w:b/>
          <w:bCs/>
          <w:sz w:val="24"/>
          <w:szCs w:val="24"/>
        </w:rPr>
        <w:t xml:space="preserve">occurrence network in </w:t>
      </w:r>
      <w:r>
        <w:rPr>
          <w:rFonts w:hint="default" w:ascii="Times New Roman Bold Italic" w:hAnsi="Times New Roman Bold Italic" w:cs="Times New Roman Bold Italic"/>
          <w:b/>
          <w:bCs/>
          <w:i/>
          <w:iCs/>
          <w:sz w:val="24"/>
          <w:szCs w:val="24"/>
        </w:rPr>
        <w:t>K. pneumoniae</w:t>
      </w:r>
      <w:r>
        <w:rPr>
          <w:rFonts w:ascii="Times New Roman Italic" w:hAnsi="Times New Roman Italic" w:cs="Times New Roman Italic"/>
          <w:b/>
          <w:bCs/>
          <w:i/>
          <w:iCs/>
          <w:sz w:val="24"/>
          <w:szCs w:val="24"/>
        </w:rPr>
        <w:t xml:space="preserve">. </w:t>
      </w:r>
      <w:r>
        <w:rPr>
          <w:rFonts w:hint="default" w:ascii="Times New Roman" w:hAnsi="Times New Roman" w:cs="Times New Roman"/>
          <w:b w:val="0"/>
          <w:bCs w:val="0"/>
          <w:sz w:val="24"/>
          <w:szCs w:val="24"/>
        </w:rPr>
        <w:t xml:space="preserve">Different colors represent different </w:t>
      </w:r>
      <w:r>
        <w:rPr>
          <w:rFonts w:hint="default" w:ascii="Times New Roman" w:hAnsi="Times New Roman" w:eastAsia="等线" w:cs="Times New Roman"/>
          <w:b w:val="0"/>
          <w:bCs w:val="0"/>
          <w:sz w:val="24"/>
          <w:szCs w:val="24"/>
        </w:rPr>
        <w:t>functional</w:t>
      </w:r>
      <w:r>
        <w:rPr>
          <w:rFonts w:hint="default" w:ascii="Times New Roman" w:hAnsi="Times New Roman" w:cs="Times New Roman"/>
          <w:b w:val="0"/>
          <w:bCs w:val="0"/>
          <w:sz w:val="24"/>
          <w:szCs w:val="24"/>
        </w:rPr>
        <w:t xml:space="preserve"> units. </w:t>
      </w:r>
      <w:r>
        <w:rPr>
          <w:rFonts w:ascii="Times New Roman" w:hAnsi="Times New Roman" w:cs="Times New Roman"/>
          <w:sz w:val="24"/>
          <w:szCs w:val="24"/>
        </w:rPr>
        <w:t xml:space="preserve">The node size represents the frequency of VFGs at </w:t>
      </w:r>
      <w:r>
        <w:rPr>
          <w:rFonts w:ascii="Times New Roman" w:hAnsi="Times New Roman" w:eastAsia="等线" w:cs="Times New Roman"/>
          <w:sz w:val="24"/>
          <w:szCs w:val="24"/>
        </w:rPr>
        <w:t xml:space="preserve">the </w:t>
      </w:r>
      <w:r>
        <w:rPr>
          <w:rFonts w:ascii="Times New Roman" w:hAnsi="Times New Roman" w:cs="Times New Roman"/>
          <w:sz w:val="24"/>
          <w:szCs w:val="24"/>
        </w:rPr>
        <w:t>DNA level. The node label represents</w:t>
      </w:r>
      <w:r>
        <w:rPr>
          <w:rFonts w:ascii="Times New Roman" w:hAnsi="Times New Roman" w:eastAsia="等线" w:cs="Times New Roman"/>
          <w:sz w:val="24"/>
          <w:szCs w:val="24"/>
        </w:rPr>
        <w:t xml:space="preserve"> the</w:t>
      </w:r>
      <w:r>
        <w:rPr>
          <w:rFonts w:ascii="Times New Roman" w:hAnsi="Times New Roman" w:cs="Times New Roman"/>
          <w:sz w:val="24"/>
          <w:szCs w:val="24"/>
        </w:rPr>
        <w:t xml:space="preserve"> VFG symbol and the frequency at </w:t>
      </w:r>
      <w:r>
        <w:rPr>
          <w:rFonts w:ascii="Times New Roman" w:hAnsi="Times New Roman" w:eastAsia="等线" w:cs="Times New Roman"/>
          <w:sz w:val="24"/>
          <w:szCs w:val="24"/>
        </w:rPr>
        <w:t xml:space="preserve">the </w:t>
      </w:r>
      <w:r>
        <w:rPr>
          <w:rFonts w:ascii="Times New Roman" w:hAnsi="Times New Roman" w:cs="Times New Roman"/>
          <w:sz w:val="24"/>
          <w:szCs w:val="24"/>
        </w:rPr>
        <w:t xml:space="preserve">DNA and RNA </w:t>
      </w:r>
      <w:r>
        <w:rPr>
          <w:rFonts w:ascii="Times New Roman" w:hAnsi="Times New Roman" w:eastAsia="等线" w:cs="Times New Roman"/>
          <w:sz w:val="24"/>
          <w:szCs w:val="24"/>
        </w:rPr>
        <w:t>levels</w:t>
      </w:r>
      <w:r>
        <w:rPr>
          <w:rFonts w:ascii="Times New Roman" w:hAnsi="Times New Roman" w:cs="Times New Roman"/>
          <w:sz w:val="24"/>
          <w:szCs w:val="24"/>
        </w:rPr>
        <w:t>, respectively.</w:t>
      </w:r>
    </w:p>
    <w:p>
      <w:pPr>
        <w:spacing w:line="360" w:lineRule="auto"/>
        <w:jc w:val="center"/>
        <w:rPr>
          <w:rFonts w:hint="default" w:ascii="Times New Roman Bold" w:hAnsi="Times New Roman Bold" w:cs="Times New Roman Bold"/>
          <w:b/>
          <w:bCs/>
          <w:sz w:val="24"/>
          <w:szCs w:val="24"/>
          <w:highlight w:val="none"/>
        </w:rPr>
      </w:pPr>
      <w:r>
        <w:rPr>
          <w:rFonts w:hint="default" w:ascii="Times New Roman Bold" w:hAnsi="Times New Roman Bold" w:cs="Times New Roman Bold"/>
          <w:b/>
          <w:bCs/>
          <w:sz w:val="24"/>
          <w:szCs w:val="24"/>
          <w:highlight w:val="none"/>
        </w:rPr>
        <w:drawing>
          <wp:inline distT="0" distB="0" distL="114300" distR="114300">
            <wp:extent cx="3657600" cy="3657600"/>
            <wp:effectExtent l="0" t="0" r="0" b="0"/>
            <wp:docPr id="3" name="Picture 3" descr="Paer.ex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aer.exo"/>
                    <pic:cNvPicPr>
                      <a:picLocks noChangeAspect="1"/>
                    </pic:cNvPicPr>
                  </pic:nvPicPr>
                  <pic:blipFill>
                    <a:blip r:embed="rId12"/>
                    <a:stretch>
                      <a:fillRect/>
                    </a:stretch>
                  </pic:blipFill>
                  <pic:spPr>
                    <a:xfrm>
                      <a:off x="0" y="0"/>
                      <a:ext cx="3657600" cy="3657600"/>
                    </a:xfrm>
                    <a:prstGeom prst="rect">
                      <a:avLst/>
                    </a:prstGeom>
                  </pic:spPr>
                </pic:pic>
              </a:graphicData>
            </a:graphic>
          </wp:inline>
        </w:drawing>
      </w:r>
    </w:p>
    <w:p>
      <w:pPr>
        <w:spacing w:line="360" w:lineRule="auto"/>
        <w:rPr>
          <w:rFonts w:ascii="Times New Roman" w:hAnsi="Times New Roman" w:cs="Times New Roman"/>
          <w:sz w:val="24"/>
          <w:szCs w:val="24"/>
        </w:rPr>
      </w:pPr>
      <w:r>
        <w:rPr>
          <w:rFonts w:hint="default" w:ascii="Times New Roman Bold" w:hAnsi="Times New Roman Bold" w:cs="Times New Roman Bold"/>
          <w:b/>
          <w:bCs/>
          <w:sz w:val="24"/>
          <w:szCs w:val="24"/>
          <w:highlight w:val="none"/>
        </w:rPr>
        <w:t>Figure S5.</w:t>
      </w:r>
      <w:r>
        <w:rPr>
          <w:rFonts w:hint="default" w:ascii="Times New Roman" w:hAnsi="Times New Roman" w:cs="Times New Roman"/>
          <w:b w:val="0"/>
          <w:bCs w:val="0"/>
          <w:sz w:val="24"/>
          <w:szCs w:val="24"/>
          <w:highlight w:val="none"/>
        </w:rPr>
        <w:t xml:space="preserve"> </w:t>
      </w:r>
      <w:r>
        <w:rPr>
          <w:rFonts w:hint="default" w:ascii="Times New Roman Bold" w:hAnsi="Times New Roman Bold" w:cs="Times New Roman Bold"/>
          <w:b w:val="0"/>
          <w:bCs w:val="0"/>
          <w:sz w:val="24"/>
          <w:szCs w:val="24"/>
          <w:highlight w:val="none"/>
        </w:rPr>
        <w:t xml:space="preserve">Four most relevant </w:t>
      </w:r>
      <w:r>
        <w:rPr>
          <w:rFonts w:hint="default" w:ascii="Times New Roman Bold Italic" w:hAnsi="Times New Roman Bold Italic" w:cs="Times New Roman Bold Italic"/>
          <w:b/>
          <w:bCs/>
          <w:i/>
          <w:iCs/>
          <w:sz w:val="24"/>
          <w:szCs w:val="24"/>
          <w:highlight w:val="none"/>
        </w:rPr>
        <w:t xml:space="preserve">P. aeruginosa </w:t>
      </w:r>
      <w:r>
        <w:rPr>
          <w:rFonts w:hint="default" w:ascii="Times New Roman Bold" w:hAnsi="Times New Roman Bold" w:cs="Times New Roman Bold"/>
          <w:b w:val="0"/>
          <w:bCs w:val="0"/>
          <w:sz w:val="24"/>
          <w:szCs w:val="24"/>
          <w:highlight w:val="none"/>
        </w:rPr>
        <w:t>VFGs detected in mNGS samples using RVFScan</w:t>
      </w:r>
      <w:r>
        <w:rPr>
          <w:rFonts w:hint="default" w:ascii="Times New Roman" w:hAnsi="Times New Roman" w:cs="Times New Roman"/>
          <w:b w:val="0"/>
          <w:bCs w:val="0"/>
          <w:sz w:val="24"/>
          <w:szCs w:val="24"/>
          <w:highlight w:val="none"/>
        </w:rPr>
        <w:t xml:space="preserve">. </w:t>
      </w:r>
      <w:r>
        <w:rPr>
          <w:rFonts w:hint="default" w:ascii="Times New Roman" w:hAnsi="Times New Roman" w:cs="Times New Roman"/>
          <w:b w:val="0"/>
          <w:bCs w:val="0"/>
          <w:sz w:val="24"/>
          <w:szCs w:val="24"/>
          <w:highlight w:val="none"/>
        </w:rPr>
        <w:t>The f</w:t>
      </w:r>
      <w:r>
        <w:rPr>
          <w:rFonts w:hint="default" w:ascii="Times New Roman" w:hAnsi="Times New Roman" w:cs="Times New Roman"/>
          <w:b w:val="0"/>
          <w:bCs w:val="0"/>
          <w:sz w:val="24"/>
          <w:szCs w:val="24"/>
          <w:highlight w:val="none"/>
        </w:rPr>
        <w:t xml:space="preserve">our most relevant </w:t>
      </w:r>
      <w:r>
        <w:rPr>
          <w:rFonts w:hint="default" w:ascii="Times New Roman Italic" w:hAnsi="Times New Roman Italic" w:cs="Times New Roman Italic"/>
          <w:b w:val="0"/>
          <w:bCs w:val="0"/>
          <w:i/>
          <w:iCs/>
          <w:sz w:val="24"/>
          <w:szCs w:val="24"/>
          <w:highlight w:val="none"/>
        </w:rPr>
        <w:t>P. aeruginosa</w:t>
      </w:r>
      <w:r>
        <w:rPr>
          <w:rFonts w:hint="default" w:ascii="Times New Roman" w:hAnsi="Times New Roman" w:cs="Times New Roman"/>
          <w:b w:val="0"/>
          <w:bCs w:val="0"/>
          <w:sz w:val="24"/>
          <w:szCs w:val="24"/>
          <w:highlight w:val="none"/>
        </w:rPr>
        <w:t xml:space="preserve"> VFGs (</w:t>
      </w:r>
      <w:r>
        <w:rPr>
          <w:rFonts w:hint="eastAsia" w:ascii="Times New Roman" w:hAnsi="Times New Roman" w:cs="Times New Roman"/>
          <w:b w:val="0"/>
          <w:bCs w:val="0"/>
          <w:sz w:val="24"/>
          <w:szCs w:val="24"/>
          <w:highlight w:val="none"/>
        </w:rPr>
        <w:t>exoU,</w:t>
      </w:r>
      <w:r>
        <w:rPr>
          <w:rFonts w:hint="default" w:ascii="Times New Roman" w:hAnsi="Times New Roman" w:cs="Times New Roman"/>
          <w:b w:val="0"/>
          <w:bCs w:val="0"/>
          <w:sz w:val="24"/>
          <w:szCs w:val="24"/>
          <w:highlight w:val="none"/>
        </w:rPr>
        <w:t xml:space="preserve"> </w:t>
      </w:r>
      <w:r>
        <w:rPr>
          <w:rFonts w:hint="eastAsia" w:ascii="Times New Roman" w:hAnsi="Times New Roman" w:cs="Times New Roman"/>
          <w:b w:val="0"/>
          <w:bCs w:val="0"/>
          <w:sz w:val="24"/>
          <w:szCs w:val="24"/>
          <w:highlight w:val="none"/>
        </w:rPr>
        <w:t>exoS,</w:t>
      </w:r>
      <w:r>
        <w:rPr>
          <w:rFonts w:hint="default" w:ascii="Times New Roman" w:hAnsi="Times New Roman" w:cs="Times New Roman"/>
          <w:b w:val="0"/>
          <w:bCs w:val="0"/>
          <w:sz w:val="24"/>
          <w:szCs w:val="24"/>
          <w:highlight w:val="none"/>
        </w:rPr>
        <w:t xml:space="preserve"> </w:t>
      </w:r>
      <w:r>
        <w:rPr>
          <w:rFonts w:hint="eastAsia" w:ascii="Times New Roman" w:hAnsi="Times New Roman" w:cs="Times New Roman"/>
          <w:b w:val="0"/>
          <w:bCs w:val="0"/>
          <w:sz w:val="24"/>
          <w:szCs w:val="24"/>
          <w:highlight w:val="none"/>
        </w:rPr>
        <w:t>exo</w:t>
      </w:r>
      <w:r>
        <w:rPr>
          <w:rFonts w:hint="default" w:ascii="Times New Roman" w:hAnsi="Times New Roman" w:cs="Times New Roman"/>
          <w:b w:val="0"/>
          <w:bCs w:val="0"/>
          <w:sz w:val="24"/>
          <w:szCs w:val="24"/>
          <w:highlight w:val="none"/>
        </w:rPr>
        <w:t xml:space="preserve">Y and </w:t>
      </w:r>
      <w:r>
        <w:rPr>
          <w:rFonts w:hint="eastAsia" w:ascii="Times New Roman" w:hAnsi="Times New Roman" w:cs="Times New Roman"/>
          <w:b w:val="0"/>
          <w:bCs w:val="0"/>
          <w:sz w:val="24"/>
          <w:szCs w:val="24"/>
          <w:highlight w:val="none"/>
        </w:rPr>
        <w:t>ex</w:t>
      </w:r>
      <w:r>
        <w:rPr>
          <w:rFonts w:hint="default" w:ascii="Times New Roman" w:hAnsi="Times New Roman" w:cs="Times New Roman"/>
          <w:b w:val="0"/>
          <w:bCs w:val="0"/>
          <w:sz w:val="24"/>
          <w:szCs w:val="24"/>
          <w:highlight w:val="none"/>
        </w:rPr>
        <w:t xml:space="preserve">oT) were validated using RVFScan based on 311 </w:t>
      </w:r>
      <w:r>
        <w:rPr>
          <w:rFonts w:hint="default" w:ascii="Times New Roman Italic" w:hAnsi="Times New Roman Italic" w:cs="Times New Roman Italic"/>
          <w:b w:val="0"/>
          <w:bCs w:val="0"/>
          <w:i/>
          <w:iCs/>
          <w:sz w:val="24"/>
          <w:szCs w:val="24"/>
          <w:highlight w:val="none"/>
        </w:rPr>
        <w:t xml:space="preserve">P. aeruginosa </w:t>
      </w:r>
      <w:r>
        <w:rPr>
          <w:rFonts w:hint="default" w:ascii="Times New Roman" w:hAnsi="Times New Roman" w:cs="Times New Roman"/>
          <w:b w:val="0"/>
          <w:bCs w:val="0"/>
          <w:sz w:val="24"/>
          <w:szCs w:val="24"/>
          <w:highlight w:val="none"/>
        </w:rPr>
        <w:t>mNGS samples. A total of 86 samples with t</w:t>
      </w:r>
      <w:r>
        <w:rPr>
          <w:rFonts w:hint="eastAsia" w:ascii="Times New Roman" w:hAnsi="Times New Roman" w:cs="Times New Roman"/>
          <w:b w:val="0"/>
          <w:bCs w:val="0"/>
          <w:sz w:val="24"/>
          <w:szCs w:val="24"/>
          <w:highlight w:val="none"/>
        </w:rPr>
        <w:t>otal reads</w:t>
      </w:r>
      <w:r>
        <w:rPr>
          <w:rFonts w:hint="default" w:ascii="Times New Roman" w:hAnsi="Times New Roman" w:cs="Times New Roman"/>
          <w:b w:val="0"/>
          <w:bCs w:val="0"/>
          <w:sz w:val="24"/>
          <w:szCs w:val="24"/>
          <w:highlight w:val="none"/>
        </w:rPr>
        <w:t xml:space="preserve"> of these four VFGs </w:t>
      </w:r>
      <w:r>
        <w:rPr>
          <w:rFonts w:hint="eastAsia" w:ascii="Times New Roman" w:hAnsi="Times New Roman" w:cs="Times New Roman"/>
          <w:b w:val="0"/>
          <w:bCs w:val="0"/>
          <w:sz w:val="24"/>
          <w:szCs w:val="24"/>
          <w:highlight w:val="none"/>
        </w:rPr>
        <w:t>&gt;</w:t>
      </w:r>
      <w:r>
        <w:rPr>
          <w:rFonts w:hint="default" w:ascii="Times New Roman" w:hAnsi="Times New Roman" w:cs="Times New Roman"/>
          <w:b w:val="0"/>
          <w:bCs w:val="0"/>
          <w:sz w:val="24"/>
          <w:szCs w:val="24"/>
          <w:highlight w:val="none"/>
        </w:rPr>
        <w:t xml:space="preserve"> </w:t>
      </w:r>
      <w:r>
        <w:rPr>
          <w:rFonts w:hint="eastAsia" w:ascii="Times New Roman" w:hAnsi="Times New Roman" w:cs="Times New Roman"/>
          <w:b w:val="0"/>
          <w:bCs w:val="0"/>
          <w:sz w:val="24"/>
          <w:szCs w:val="24"/>
          <w:highlight w:val="none"/>
        </w:rPr>
        <w:t>=</w:t>
      </w:r>
      <w:r>
        <w:rPr>
          <w:rFonts w:hint="default" w:ascii="Times New Roman" w:hAnsi="Times New Roman" w:cs="Times New Roman"/>
          <w:b w:val="0"/>
          <w:bCs w:val="0"/>
          <w:sz w:val="24"/>
          <w:szCs w:val="24"/>
          <w:highlight w:val="none"/>
        </w:rPr>
        <w:t xml:space="preserve"> </w:t>
      </w:r>
      <w:r>
        <w:rPr>
          <w:rFonts w:hint="eastAsia" w:ascii="Times New Roman" w:hAnsi="Times New Roman" w:cs="Times New Roman"/>
          <w:b w:val="0"/>
          <w:bCs w:val="0"/>
          <w:sz w:val="24"/>
          <w:szCs w:val="24"/>
          <w:highlight w:val="none"/>
        </w:rPr>
        <w:t xml:space="preserve">10 </w:t>
      </w:r>
      <w:r>
        <w:rPr>
          <w:rFonts w:hint="default" w:ascii="Times New Roman" w:hAnsi="Times New Roman" w:cs="Times New Roman"/>
          <w:b w:val="0"/>
          <w:bCs w:val="0"/>
          <w:sz w:val="24"/>
          <w:szCs w:val="24"/>
          <w:highlight w:val="none"/>
        </w:rPr>
        <w:t xml:space="preserve">were selected and presented in the cluster diagram. </w:t>
      </w:r>
      <w:r>
        <w:rPr>
          <w:rFonts w:hint="eastAsia" w:ascii="Times New Roman" w:hAnsi="Times New Roman" w:cs="Times New Roman"/>
          <w:b w:val="0"/>
          <w:bCs w:val="0"/>
          <w:sz w:val="24"/>
          <w:szCs w:val="24"/>
          <w:highlight w:val="none"/>
          <w:lang w:val="en-US" w:eastAsia="zh-CN"/>
        </w:rPr>
        <w:t xml:space="preserve">Green shows the presence of the </w:t>
      </w:r>
      <w:r>
        <w:rPr>
          <w:rFonts w:hint="default" w:ascii="Times New Roman" w:hAnsi="Times New Roman" w:cs="Times New Roman"/>
          <w:b w:val="0"/>
          <w:bCs w:val="0"/>
          <w:sz w:val="24"/>
          <w:szCs w:val="24"/>
          <w:highlight w:val="none"/>
          <w:lang w:eastAsia="zh-CN"/>
        </w:rPr>
        <w:t>VFG</w:t>
      </w:r>
      <w:r>
        <w:rPr>
          <w:rFonts w:hint="eastAsia" w:ascii="Times New Roman" w:hAnsi="Times New Roman" w:cs="Times New Roman"/>
          <w:b w:val="0"/>
          <w:bCs w:val="0"/>
          <w:sz w:val="24"/>
          <w:szCs w:val="24"/>
          <w:highlight w:val="none"/>
          <w:lang w:val="en-US" w:eastAsia="zh-CN"/>
        </w:rPr>
        <w:t>, while gray indicates the absence of the VFG.</w:t>
      </w:r>
      <w:r>
        <w:rPr>
          <w:rFonts w:hint="default" w:ascii="Times New Roman" w:hAnsi="Times New Roman" w:cs="Times New Roman"/>
          <w:b w:val="0"/>
          <w:bCs w:val="0"/>
          <w:sz w:val="24"/>
          <w:szCs w:val="24"/>
          <w:highlight w:val="none"/>
          <w:lang w:eastAsia="zh-CN"/>
        </w:rPr>
        <w:t xml:space="preserve"> E</w:t>
      </w:r>
      <w:r>
        <w:rPr>
          <w:rFonts w:hint="default" w:ascii="Times New Roman" w:hAnsi="Times New Roman" w:cs="Times New Roman"/>
          <w:b w:val="0"/>
          <w:bCs w:val="0"/>
          <w:sz w:val="24"/>
          <w:szCs w:val="24"/>
          <w:highlight w:val="none"/>
        </w:rPr>
        <w:t xml:space="preserve">xoU and exoS are mutually exclusive in </w:t>
      </w:r>
      <w:r>
        <w:rPr>
          <w:rFonts w:hint="default" w:ascii="Times New Roman Italic" w:hAnsi="Times New Roman Italic" w:cs="Times New Roman Italic"/>
          <w:b w:val="0"/>
          <w:bCs w:val="0"/>
          <w:i/>
          <w:iCs/>
          <w:sz w:val="24"/>
          <w:szCs w:val="24"/>
          <w:highlight w:val="none"/>
        </w:rPr>
        <w:t>P. aeruginosa</w:t>
      </w:r>
      <w:r>
        <w:rPr>
          <w:rFonts w:hint="default" w:ascii="Times New Roman" w:hAnsi="Times New Roman" w:cs="Times New Roman"/>
          <w:b w:val="0"/>
          <w:bCs w:val="0"/>
          <w:sz w:val="24"/>
          <w:szCs w:val="24"/>
          <w:highlight w:val="none"/>
        </w:rPr>
        <w:t xml:space="preserve">. This cluster diagram indicates that RVFScan could aid in the detection of hypervirulent </w:t>
      </w:r>
      <w:r>
        <w:rPr>
          <w:rFonts w:hint="default" w:ascii="Times New Roman Italic" w:hAnsi="Times New Roman Italic" w:cs="Times New Roman Italic"/>
          <w:b w:val="0"/>
          <w:bCs w:val="0"/>
          <w:i/>
          <w:iCs/>
          <w:sz w:val="24"/>
          <w:szCs w:val="24"/>
          <w:highlight w:val="none"/>
        </w:rPr>
        <w:t>P. aeruginosa</w:t>
      </w:r>
      <w:r>
        <w:rPr>
          <w:rFonts w:hint="default" w:ascii="Times New Roman" w:hAnsi="Times New Roman" w:cs="Times New Roman"/>
          <w:b w:val="0"/>
          <w:bCs w:val="0"/>
          <w:sz w:val="24"/>
          <w:szCs w:val="24"/>
          <w:highlight w:val="none"/>
        </w:rPr>
        <w:t xml:space="preserve"> infections.</w:t>
      </w:r>
    </w:p>
    <w:p>
      <w:pPr>
        <w:spacing w:line="360" w:lineRule="auto"/>
        <w:rPr>
          <w:rFonts w:ascii="Times New Roman" w:hAnsi="Times New Roman" w:cs="Times New Roman"/>
          <w:sz w:val="24"/>
          <w:szCs w:val="24"/>
        </w:rPr>
      </w:pPr>
    </w:p>
    <w:p>
      <w:pPr>
        <w:spacing w:line="360" w:lineRule="auto"/>
        <w:rPr>
          <w:rFonts w:hint="default" w:ascii="Times New Roman" w:hAnsi="Times New Roman" w:cs="Times New Roman"/>
          <w:b w:val="0"/>
          <w:bCs w:val="0"/>
          <w:sz w:val="24"/>
          <w:szCs w:val="24"/>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汉仪书宋二KW"/>
    <w:panose1 w:val="00000000000000000000"/>
    <w:charset w:val="86"/>
    <w:family w:val="auto"/>
    <w:pitch w:val="default"/>
    <w:sig w:usb0="00000000" w:usb1="00000000" w:usb2="00000000" w:usb3="00000000" w:csb0="00000000" w:csb1="00000000"/>
  </w:font>
  <w:font w:name="SimSun">
    <w:altName w:val="汉仪书宋二KW"/>
    <w:panose1 w:val="02010600030101010101"/>
    <w:charset w:val="86"/>
    <w:family w:val="auto"/>
    <w:pitch w:val="default"/>
    <w:sig w:usb0="00000000" w:usb1="00000000" w:usb2="0000001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宋体-简">
    <w:panose1 w:val="02010800040101010101"/>
    <w:charset w:val="86"/>
    <w:family w:val="auto"/>
    <w:pitch w:val="default"/>
    <w:sig w:usb0="00000001" w:usb1="080F0000" w:usb2="00000000" w:usb3="00000000" w:csb0="00040000" w:csb1="00000000"/>
  </w:font>
  <w:font w:name="Times New Roman Regular">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等线">
    <w:altName w:val="汉仪中等线KW"/>
    <w:panose1 w:val="02010600030101010101"/>
    <w:charset w:val="86"/>
    <w:family w:val="auto"/>
    <w:pitch w:val="default"/>
    <w:sig w:usb0="00000000" w:usb1="00000000" w:usb2="00000016" w:usb3="00000000" w:csb0="0004000F" w:csb1="00000000"/>
  </w:font>
  <w:font w:name="Times New Roman Italic">
    <w:panose1 w:val="02020503050405090304"/>
    <w:charset w:val="00"/>
    <w:family w:val="auto"/>
    <w:pitch w:val="default"/>
    <w:sig w:usb0="E0000AFF" w:usb1="00007843" w:usb2="00000001" w:usb3="00000000" w:csb0="400001BF" w:csb1="DFF70000"/>
  </w:font>
  <w:font w:name="Times New Roman Bold Italic">
    <w:panose1 w:val="02020503050405090304"/>
    <w:charset w:val="00"/>
    <w:family w:val="auto"/>
    <w:pitch w:val="default"/>
    <w:sig w:usb0="E0000AFF" w:usb1="00007843" w:usb2="00000001" w:usb3="00000000" w:csb0="400001BF" w:csb1="DFF70000"/>
  </w:font>
  <w:font w:name="Cambria Math">
    <w:altName w:val="Kingsoft Math"/>
    <w:panose1 w:val="02040503050406030204"/>
    <w:charset w:val="00"/>
    <w:family w:val="roman"/>
    <w:pitch w:val="default"/>
    <w:sig w:usb0="00000000" w:usb1="00000000" w:usb2="02000000" w:usb3="00000000" w:csb0="2000019F" w:csb1="00000000"/>
  </w:font>
  <w:font w:name="Calibri">
    <w:altName w:val="Helvetica Neue"/>
    <w:panose1 w:val="020F0502020204030204"/>
    <w:charset w:val="86"/>
    <w:family w:val="swiss"/>
    <w:pitch w:val="default"/>
    <w:sig w:usb0="00000000" w:usb1="00000000" w:usb2="00000009" w:usb3="00000000" w:csb0="200001FF" w:csb1="00000000"/>
  </w:font>
  <w:font w:name="Kingsoft Math">
    <w:panose1 w:val="02040503050406030204"/>
    <w:charset w:val="00"/>
    <w:family w:val="auto"/>
    <w:pitch w:val="default"/>
    <w:sig w:usb0="80000087" w:usb1="00002068" w:usb2="00000000" w:usb3="00000000" w:csb0="2000019F" w:csb1="00000000"/>
  </w:font>
  <w:font w:name="华康宋体W5">
    <w:panose1 w:val="02020509000000000000"/>
    <w:charset w:val="86"/>
    <w:family w:val="auto"/>
    <w:pitch w:val="default"/>
    <w:sig w:usb0="800002BF" w:usb1="184F6CFA" w:usb2="00000012" w:usb3="00000000" w:csb0="00040001" w:csb1="00000000"/>
  </w:font>
  <w:font w:name="汉仪中等线KW">
    <w:panose1 w:val="01010104010101010101"/>
    <w:charset w:val="86"/>
    <w:family w:val="auto"/>
    <w:pitch w:val="default"/>
    <w:sig w:usb0="800002BF" w:usb1="004F7CFA" w:usb2="00000000" w:usb3="00000000" w:csb0="00040001" w:csb1="00000000"/>
  </w:font>
  <w:font w:name="Kingsoft Sign">
    <w:panose1 w:val="05050102010706020507"/>
    <w:charset w:val="00"/>
    <w:family w:val="auto"/>
    <w:pitch w:val="default"/>
    <w:sig w:usb0="00000000" w:usb1="10000000" w:usb2="00000000" w:usb3="00000000" w:csb0="00000001" w:csb1="00000000"/>
  </w:font>
  <w:font w:name="AdvTTb5929f4c">
    <w:altName w:val="苹方-简"/>
    <w:panose1 w:val="00000000000000000000"/>
    <w:charset w:val="00"/>
    <w:family w:val="roman"/>
    <w:pitch w:val="default"/>
    <w:sig w:usb0="00000000" w:usb1="00000000" w:usb2="00000000" w:usb3="00000000" w:csb0="00000000" w:csb1="00000000"/>
  </w:font>
  <w:font w:name="MTSYN">
    <w:altName w:val="苹方-简"/>
    <w:panose1 w:val="00000000000000000000"/>
    <w:charset w:val="00"/>
    <w:family w:val="roman"/>
    <w:pitch w:val="default"/>
    <w:sig w:usb0="00000000" w:usb1="00000000" w:usb2="00000000" w:usb3="00000000" w:csb0="00000000" w:csb1="00000000"/>
  </w:font>
  <w:font w:name="DengXian-Light">
    <w:altName w:val="苹方-简"/>
    <w:panose1 w:val="00000000000000000000"/>
    <w:charset w:val="00"/>
    <w:family w:val="roman"/>
    <w:pitch w:val="default"/>
    <w:sig w:usb0="00000000" w:usb1="00000000" w:usb2="00000000" w:usb3="00000000" w:csb0="00000000" w:csb1="00000000"/>
  </w:font>
  <w:font w:name="Times">
    <w:panose1 w:val="00000500000000020000"/>
    <w:charset w:val="00"/>
    <w:family w:val="roman"/>
    <w:pitch w:val="default"/>
    <w:sig w:usb0="E00002FF" w:usb1="5000205A" w:usb2="00000000" w:usb3="00000000" w:csb0="2000019F" w:csb1="4F010000"/>
  </w:font>
  <w:font w:name="Helvetica">
    <w:panose1 w:val="00000000000000000000"/>
    <w:charset w:val="00"/>
    <w:family w:val="auto"/>
    <w:pitch w:val="default"/>
    <w:sig w:usb0="E00002FF" w:usb1="5000785B" w:usb2="00000000" w:usb3="00000000" w:csb0="2000019F" w:csb1="4F010000"/>
  </w:font>
  <w:font w:name="微软雅黑">
    <w:altName w:val="汉仪旗黑"/>
    <w:panose1 w:val="020B0503020204020204"/>
    <w:charset w:val="86"/>
    <w:family w:val="swiss"/>
    <w:pitch w:val="default"/>
    <w:sig w:usb0="00000000" w:usb1="00000000" w:usb2="00000016" w:usb3="00000000" w:csb0="0004001F" w:csb1="00000000"/>
  </w:font>
  <w:font w:name="TimesNewRomanMTStd-Bold">
    <w:altName w:val="苹方-简"/>
    <w:panose1 w:val="00000000000000000000"/>
    <w:charset w:val="00"/>
    <w:family w:val="roman"/>
    <w:pitch w:val="default"/>
    <w:sig w:usb0="00000000" w:usb1="00000000" w:usb2="00000000" w:usb3="00000000" w:csb0="00000000" w:csb1="00000000"/>
  </w:font>
  <w:font w:name="Georgia">
    <w:panose1 w:val="02040502050405090303"/>
    <w:charset w:val="00"/>
    <w:family w:val="roman"/>
    <w:pitch w:val="default"/>
    <w:sig w:usb0="00000287" w:usb1="00000000" w:usb2="00000000" w:usb3="00000000" w:csb0="2000009F" w:csb1="00000000"/>
  </w:font>
  <w:font w:name="等线 Light">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00"/>
    <w:family w:val="auto"/>
    <w:pitch w:val="default"/>
    <w:sig w:usb0="00000000" w:usb1="00000000" w:usb2="00000000" w:usb3="00000000" w:csb0="00000000" w:csb1="00000000"/>
  </w:font>
  <w:font w:name="Segoe Print">
    <w:altName w:val="苹方-简"/>
    <w:panose1 w:val="02000600000000000000"/>
    <w:charset w:val="00"/>
    <w:family w:val="auto"/>
    <w:pitch w:val="default"/>
    <w:sig w:usb0="00000000" w:usb1="00000000" w:usb2="00000000" w:usb3="00000000" w:csb0="2000009F" w:csb1="47010000"/>
  </w:font>
  <w:font w:name="Tahoma">
    <w:panose1 w:val="020B0604030504040204"/>
    <w:charset w:val="00"/>
    <w:family w:val="auto"/>
    <w:pitch w:val="default"/>
    <w:sig w:usb0="E1002AFF" w:usb1="C000605B" w:usb2="00000029" w:usb3="00000000" w:csb0="200101FF" w:csb1="20280000"/>
  </w:font>
  <w:font w:name="汉仪旗黑">
    <w:panose1 w:val="00020600040101010101"/>
    <w:charset w:val="86"/>
    <w:family w:val="auto"/>
    <w:pitch w:val="default"/>
    <w:sig w:usb0="A00002BF" w:usb1="1ACF7CFA" w:usb2="00000016" w:usb3="00000000" w:csb0="0004009F" w:csb1="DFD70000"/>
  </w:font>
  <w:font w:name="-webkit-standard">
    <w:altName w:val="苹方-简"/>
    <w:panose1 w:val="00000000000000000000"/>
    <w:charset w:val="00"/>
    <w:family w:val="auto"/>
    <w:pitch w:val="default"/>
    <w:sig w:usb0="00000000" w:usb1="00000000" w:usb2="00000000" w:usb3="00000000" w:csb0="00000000" w:csb1="00000000"/>
  </w:font>
  <w:font w:name="DengXian">
    <w:altName w:val="汉仪中等线KW"/>
    <w:panose1 w:val="02010600030101010101"/>
    <w:charset w:val="86"/>
    <w:family w:val="script"/>
    <w:pitch w:val="default"/>
    <w:sig w:usb0="00000000" w:usb1="00000000" w:usb2="00000016" w:usb3="00000000" w:csb0="0004000F" w:csb1="00000000"/>
  </w:font>
  <w:font w:name="MS Mincho">
    <w:altName w:val="Hiragino Sans"/>
    <w:panose1 w:val="02020609040205080304"/>
    <w:charset w:val="80"/>
    <w:family w:val="roman"/>
    <w:pitch w:val="default"/>
    <w:sig w:usb0="00000000" w:usb1="00000000" w:usb2="08000012" w:usb3="00000000" w:csb0="0002009F" w:csb1="00000000"/>
  </w:font>
  <w:font w:name="凸版文久ゴシック Regular">
    <w:altName w:val="Hiragino Sans"/>
    <w:panose1 w:val="00000000000000000000"/>
    <w:charset w:val="80"/>
    <w:family w:val="swiss"/>
    <w:pitch w:val="default"/>
    <w:sig w:usb0="00000000" w:usb1="00000000" w:usb2="00000012" w:usb3="00000000" w:csb0="0002009F" w:csb1="00000000"/>
  </w:font>
  <w:font w:name="DengXian Light">
    <w:altName w:val="汉仪中等线KW"/>
    <w:panose1 w:val="02010600030101010101"/>
    <w:charset w:val="86"/>
    <w:family w:val="script"/>
    <w:pitch w:val="default"/>
    <w:sig w:usb0="00000000" w:usb1="00000000" w:usb2="00000016" w:usb3="00000000" w:csb0="0004000F" w:csb1="00000000"/>
  </w:font>
  <w:font w:name="DengXian">
    <w:altName w:val="汉仪中等线KW"/>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MacDictSTHeiti">
    <w:altName w:val="苹方-简"/>
    <w:panose1 w:val="00000000000000000000"/>
    <w:charset w:val="00"/>
    <w:family w:val="auto"/>
    <w:pitch w:val="default"/>
    <w:sig w:usb0="00000000" w:usb1="00000000" w:usb2="00000000" w:usb3="00000000" w:csb0="00000000" w:csb1="00000000"/>
  </w:font>
  <w:font w:name="BlinkMacSystemFont">
    <w:altName w:val="苹方-简"/>
    <w:panose1 w:val="00000000000000000000"/>
    <w:charset w:val="00"/>
    <w:family w:val="auto"/>
    <w:pitch w:val="default"/>
    <w:sig w:usb0="00000000" w:usb1="00000000" w:usb2="00000000" w:usb3="00000000" w:csb0="00000000" w:csb1="00000000"/>
  </w:font>
  <w:font w:name="Symbol">
    <w:altName w:val="Kingsoft Sign"/>
    <w:panose1 w:val="00000000000000000000"/>
    <w:charset w:val="00"/>
    <w:family w:val="auto"/>
    <w:pitch w:val="default"/>
    <w:sig w:usb0="00000000" w:usb1="00000000" w:usb2="00000000" w:usb3="00000000" w:csb0="00000000" w:csb1="00000000"/>
  </w:font>
  <w:font w:name="Europa">
    <w:altName w:val="苹方-简"/>
    <w:panose1 w:val="00000000000000000000"/>
    <w:charset w:val="00"/>
    <w:family w:val="auto"/>
    <w:pitch w:val="default"/>
    <w:sig w:usb0="00000000" w:usb1="00000000" w:usb2="00000000" w:usb3="00000000" w:csb0="00000000" w:csb1="00000000"/>
  </w:font>
  <w:font w:name="Segoe UI">
    <w:altName w:val="苹方-简"/>
    <w:panose1 w:val="020B0502040204020203"/>
    <w:charset w:val="00"/>
    <w:family w:val="swiss"/>
    <w:pitch w:val="default"/>
    <w:sig w:usb0="00000000" w:usb1="00000000" w:usb2="00000009" w:usb3="00000000" w:csb0="000001FF" w:csb1="00000000"/>
  </w:font>
  <w:font w:name="Microsoft YaHei">
    <w:altName w:val="汉仪旗黑"/>
    <w:panose1 w:val="020B0503020204020204"/>
    <w:charset w:val="86"/>
    <w:family w:val="swiss"/>
    <w:pitch w:val="default"/>
    <w:sig w:usb0="00000000" w:usb1="00000000" w:usb2="00000016" w:usb3="00000000" w:csb0="0004001F" w:csb1="00000000"/>
  </w:font>
  <w:font w:name="Arial Regular">
    <w:panose1 w:val="020B0604020202090204"/>
    <w:charset w:val="00"/>
    <w:family w:val="auto"/>
    <w:pitch w:val="default"/>
    <w:sig w:usb0="E0000AFF" w:usb1="00007843" w:usb2="00000001" w:usb3="00000000" w:csb0="400001BF" w:csb1="DFF70000"/>
  </w:font>
  <w:font w:name="PingFang SC">
    <w:panose1 w:val="020B0400000000000000"/>
    <w:charset w:val="86"/>
    <w:family w:val="auto"/>
    <w:pitch w:val="default"/>
    <w:sig w:usb0="A00002FF" w:usb1="7ACFFDFB" w:usb2="00000017"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MS Mincho">
    <w:altName w:val="Hiragino Sans"/>
    <w:panose1 w:val="00000000000000000000"/>
    <w:charset w:val="00"/>
    <w:family w:val="auto"/>
    <w:pitch w:val="default"/>
    <w:sig w:usb0="00000000" w:usb1="00000000" w:usb2="00000000" w:usb3="00000000" w:csb0="00000000" w:csb1="00000000"/>
  </w:font>
  <w:font w:name="Arial Bold">
    <w:panose1 w:val="020B0604020202090204"/>
    <w:charset w:val="00"/>
    <w:family w:val="auto"/>
    <w:pitch w:val="default"/>
    <w:sig w:usb0="E0000AFF" w:usb1="00007843" w:usb2="00000001" w:usb3="00000000" w:csb0="400001BF" w:csb1="DFF70000"/>
  </w:font>
  <w:font w:name="PingFangHK">
    <w:altName w:val="苹方-简"/>
    <w:panose1 w:val="00000000000000000000"/>
    <w:charset w:val="00"/>
    <w:family w:val="auto"/>
    <w:pitch w:val="default"/>
    <w:sig w:usb0="00000000" w:usb1="00000000" w:usb2="00000000" w:usb3="00000000" w:csb0="00000000" w:csb1="00000000"/>
  </w:font>
  <w:font w:name="Consolas">
    <w:altName w:val="苹方-简"/>
    <w:panose1 w:val="020B0609020204030204"/>
    <w:charset w:val="00"/>
    <w:family w:val="modern"/>
    <w:pitch w:val="default"/>
    <w:sig w:usb0="00000000" w:usb1="00000000" w:usb2="00000001" w:usb3="00000000" w:csb0="0000019F" w:csb1="00000000"/>
  </w:font>
  <w:font w:name="Calibri Light">
    <w:altName w:val="Helvetica Neue"/>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1MWNmMmNiYzQyOWJmNmNkZTlkM2U4M2RkYjAzM2UifQ=="/>
  </w:docVars>
  <w:rsids>
    <w:rsidRoot w:val="7CCF9533"/>
    <w:rsid w:val="33961D91"/>
    <w:rsid w:val="3D7FB20F"/>
    <w:rsid w:val="3FBFEABD"/>
    <w:rsid w:val="5F172E91"/>
    <w:rsid w:val="5FDDFFC5"/>
    <w:rsid w:val="675F51AD"/>
    <w:rsid w:val="73D7E657"/>
    <w:rsid w:val="75DA6DFE"/>
    <w:rsid w:val="7B76EB2E"/>
    <w:rsid w:val="7C5F9DFD"/>
    <w:rsid w:val="7CCF9533"/>
    <w:rsid w:val="7DAF7B1B"/>
    <w:rsid w:val="7DFB7822"/>
    <w:rsid w:val="7DFD97D5"/>
    <w:rsid w:val="7ECC4DF6"/>
    <w:rsid w:val="8AFE4351"/>
    <w:rsid w:val="9BDA0882"/>
    <w:rsid w:val="AF9B64D8"/>
    <w:rsid w:val="B5DE6C89"/>
    <w:rsid w:val="BEF140B6"/>
    <w:rsid w:val="BF7CB8F8"/>
    <w:rsid w:val="D7D942D4"/>
    <w:rsid w:val="DF3A5572"/>
    <w:rsid w:val="E5C5B681"/>
    <w:rsid w:val="E6E5B3B3"/>
    <w:rsid w:val="FBA35BCC"/>
    <w:rsid w:val="FEF2F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szCs w:val="24"/>
    </w:rPr>
  </w:style>
  <w:style w:type="character" w:customStyle="1" w:styleId="5">
    <w:name w:val="font21"/>
    <w:qFormat/>
    <w:uiPriority w:val="0"/>
    <w:rPr>
      <w:rFonts w:hint="eastAsia" w:ascii="宋体-简" w:hAnsi="宋体-简" w:eastAsia="宋体-简" w:cs="宋体-简"/>
      <w:b/>
      <w:color w:val="000000"/>
      <w:sz w:val="20"/>
      <w:szCs w:val="20"/>
      <w:u w:val="none"/>
    </w:rPr>
  </w:style>
  <w:style w:type="character" w:customStyle="1" w:styleId="6">
    <w:name w:val="font11"/>
    <w:qFormat/>
    <w:uiPriority w:val="0"/>
    <w:rPr>
      <w:rFonts w:ascii="Times New Roman Regular" w:hAnsi="Times New Roman Regular" w:eastAsia="Times New Roman Regular" w:cs="Times New Roman Regular"/>
      <w:b/>
      <w:color w:val="000000"/>
      <w:sz w:val="20"/>
      <w:szCs w:val="20"/>
      <w:u w:val="none"/>
    </w:rPr>
  </w:style>
  <w:style w:type="character" w:customStyle="1" w:styleId="7">
    <w:name w:val="font31"/>
    <w:basedOn w:val="3"/>
    <w:qFormat/>
    <w:uiPriority w:val="0"/>
    <w:rPr>
      <w:rFonts w:ascii="宋体-简" w:hAnsi="宋体-简" w:eastAsia="宋体-简" w:cs="宋体-简"/>
      <w:b/>
      <w:bCs/>
      <w:color w:val="000000"/>
      <w:sz w:val="22"/>
      <w:szCs w:val="22"/>
      <w:u w:val="none"/>
    </w:rPr>
  </w:style>
  <w:style w:type="character" w:customStyle="1" w:styleId="8">
    <w:name w:val="font41"/>
    <w:basedOn w:val="3"/>
    <w:qFormat/>
    <w:uiPriority w:val="0"/>
    <w:rPr>
      <w:rFonts w:hint="default" w:ascii="Times New Roman" w:hAnsi="Times New Roman" w:cs="Times New Roman"/>
      <w:b/>
      <w:bCs/>
      <w:color w:val="000000"/>
      <w:sz w:val="22"/>
      <w:szCs w:val="22"/>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6655</Words>
  <Characters>43137</Characters>
  <Lines>0</Lines>
  <Paragraphs>0</Paragraphs>
  <ScaleCrop>false</ScaleCrop>
  <LinksUpToDate>false</LinksUpToDate>
  <CharactersWithSpaces>46931</CharactersWithSpaces>
  <Application>WPS Office_3.9.1.6204_F1E327BC-269C-435d-A152-05C5408002CA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2022-11-13T22:54:00Z</dcterms:created>
  <dc:creator>xuejiao</dc:creator>
  <cp:lastModifiedBy>xuejiao</cp:lastModifiedBy>
  <dcterms:modified xsi:type="dcterms:W3CDTF">2022-12-31T16:28:17Z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1033-3.9.1.6204</vt:lpwstr>
  </property>
  <property fmtid="{D5CDD505-2E9C-101B-9397-08002B2CF9AE}" pid="3" name="ICV">
    <vt:lpwstr>0E6A6A5D61284C2A80911D01E7ACF33C</vt:lpwstr>
  </property>
</Properties>
</file>