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0B5CC1" w14:textId="77777777" w:rsidR="00EC2900" w:rsidRPr="00BB28C0" w:rsidRDefault="00EC2900" w:rsidP="00EC2900">
      <w:pPr>
        <w:widowControl/>
        <w:adjustRightInd w:val="0"/>
        <w:snapToGrid w:val="0"/>
        <w:spacing w:after="120" w:line="260" w:lineRule="atLeast"/>
        <w:ind w:left="425" w:right="425"/>
        <w:jc w:val="left"/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</w:pPr>
      <w:r w:rsidRPr="00BB28C0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Table S1. Detail items and severity of two surveys</w:t>
      </w:r>
    </w:p>
    <w:tbl>
      <w:tblPr>
        <w:tblStyle w:val="6-31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630"/>
        <w:gridCol w:w="4928"/>
        <w:gridCol w:w="3802"/>
      </w:tblGrid>
      <w:tr w:rsidR="00EC2900" w:rsidRPr="00BB28C0" w14:paraId="2F6E7507" w14:textId="77777777" w:rsidTr="00770C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364" w:type="dxa"/>
            <w:gridSpan w:val="2"/>
            <w:shd w:val="clear" w:color="auto" w:fill="FFFFFF" w:themeFill="background1"/>
          </w:tcPr>
          <w:p w14:paraId="24F24570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center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  <w:sz w:val="24"/>
                <w:szCs w:val="24"/>
              </w:rPr>
              <w:t>Patient Health Questionnaire 9-item (PHQ-9) scale</w:t>
            </w:r>
          </w:p>
        </w:tc>
        <w:tc>
          <w:tcPr>
            <w:tcW w:w="5594" w:type="dxa"/>
            <w:shd w:val="clear" w:color="auto" w:fill="FFFFFF" w:themeFill="background1"/>
          </w:tcPr>
          <w:p w14:paraId="7D5E8DAF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  <w:sz w:val="24"/>
                <w:szCs w:val="24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  <w:sz w:val="24"/>
                <w:szCs w:val="24"/>
              </w:rPr>
              <w:t>Generalized Anxiety Disorder 7-item (GAD-7) scale</w:t>
            </w:r>
          </w:p>
        </w:tc>
      </w:tr>
      <w:tr w:rsidR="00EC2900" w:rsidRPr="00BB28C0" w14:paraId="7833A16F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5A5A5" w:themeColor="accent3"/>
            </w:tcBorders>
            <w:shd w:val="clear" w:color="auto" w:fill="FFFFFF" w:themeFill="background1"/>
          </w:tcPr>
          <w:p w14:paraId="3B8C4A29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No.</w:t>
            </w:r>
          </w:p>
        </w:tc>
        <w:tc>
          <w:tcPr>
            <w:tcW w:w="7655" w:type="dxa"/>
            <w:tcBorders>
              <w:bottom w:val="single" w:sz="4" w:space="0" w:color="A5A5A5" w:themeColor="accent3"/>
            </w:tcBorders>
            <w:shd w:val="clear" w:color="auto" w:fill="FFFFFF" w:themeFill="background1"/>
          </w:tcPr>
          <w:p w14:paraId="1005DEB7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 xml:space="preserve">Items </w:t>
            </w:r>
            <w:r w:rsidRPr="00BB28C0">
              <w:rPr>
                <w:rFonts w:ascii="Times New Roman" w:hAnsi="Times New Roman" w:hint="eastAsia"/>
                <w:iCs/>
                <w:noProof/>
                <w:snapToGrid w:val="0"/>
                <w:color w:val="000000" w:themeColor="text1"/>
              </w:rPr>
              <w:t>of</w:t>
            </w: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 xml:space="preserve"> PHQ-9 (n = 9)</w:t>
            </w:r>
          </w:p>
        </w:tc>
        <w:tc>
          <w:tcPr>
            <w:tcW w:w="5594" w:type="dxa"/>
            <w:tcBorders>
              <w:bottom w:val="single" w:sz="4" w:space="0" w:color="A5A5A5" w:themeColor="accent3"/>
            </w:tcBorders>
            <w:shd w:val="clear" w:color="auto" w:fill="FFFFFF" w:themeFill="background1"/>
          </w:tcPr>
          <w:p w14:paraId="4C3DC176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center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b/>
                <w:bCs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Items of GAD-7 (n = 7)</w:t>
            </w:r>
          </w:p>
        </w:tc>
      </w:tr>
      <w:tr w:rsidR="00EC2900" w:rsidRPr="00BB28C0" w14:paraId="07C3C046" w14:textId="77777777" w:rsidTr="00770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6FC509CB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1.</w:t>
            </w:r>
          </w:p>
        </w:tc>
        <w:tc>
          <w:tcPr>
            <w:tcW w:w="7655" w:type="dxa"/>
            <w:shd w:val="clear" w:color="auto" w:fill="FFFFFF" w:themeFill="background1"/>
          </w:tcPr>
          <w:p w14:paraId="7515B54B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 xml:space="preserve">Little interest or pleasure in doing things </w:t>
            </w:r>
          </w:p>
        </w:tc>
        <w:tc>
          <w:tcPr>
            <w:tcW w:w="5594" w:type="dxa"/>
            <w:shd w:val="clear" w:color="auto" w:fill="FFFFFF" w:themeFill="background1"/>
          </w:tcPr>
          <w:p w14:paraId="5CD8E486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Feeling nervous, anxious, or on edge</w:t>
            </w:r>
          </w:p>
        </w:tc>
      </w:tr>
      <w:tr w:rsidR="00EC2900" w:rsidRPr="00BB28C0" w14:paraId="7EB34314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7BB3FDDD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2.</w:t>
            </w:r>
          </w:p>
        </w:tc>
        <w:tc>
          <w:tcPr>
            <w:tcW w:w="7655" w:type="dxa"/>
            <w:shd w:val="clear" w:color="auto" w:fill="FFFFFF" w:themeFill="background1"/>
          </w:tcPr>
          <w:p w14:paraId="431F0F94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 xml:space="preserve">Feeling down, depressed, or hopeless </w:t>
            </w:r>
          </w:p>
        </w:tc>
        <w:tc>
          <w:tcPr>
            <w:tcW w:w="5594" w:type="dxa"/>
            <w:shd w:val="clear" w:color="auto" w:fill="FFFFFF" w:themeFill="background1"/>
          </w:tcPr>
          <w:p w14:paraId="19A58A31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Not being able to stop or control worrying</w:t>
            </w:r>
          </w:p>
        </w:tc>
      </w:tr>
      <w:tr w:rsidR="00EC2900" w:rsidRPr="00BB28C0" w14:paraId="134F10EF" w14:textId="77777777" w:rsidTr="00770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3E2148D5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3.</w:t>
            </w:r>
          </w:p>
        </w:tc>
        <w:tc>
          <w:tcPr>
            <w:tcW w:w="7655" w:type="dxa"/>
            <w:shd w:val="clear" w:color="auto" w:fill="FFFFFF" w:themeFill="background1"/>
          </w:tcPr>
          <w:p w14:paraId="1DF3E2E1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Trouble falling or staying asleep, or sleeping too much</w:t>
            </w:r>
          </w:p>
        </w:tc>
        <w:tc>
          <w:tcPr>
            <w:tcW w:w="5594" w:type="dxa"/>
            <w:shd w:val="clear" w:color="auto" w:fill="FFFFFF" w:themeFill="background1"/>
          </w:tcPr>
          <w:p w14:paraId="3053A0DD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Worrying too much about different things</w:t>
            </w:r>
          </w:p>
        </w:tc>
      </w:tr>
      <w:tr w:rsidR="00EC2900" w:rsidRPr="00BB28C0" w14:paraId="4E4B1D66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5B4961B6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4.</w:t>
            </w:r>
          </w:p>
        </w:tc>
        <w:tc>
          <w:tcPr>
            <w:tcW w:w="7655" w:type="dxa"/>
            <w:shd w:val="clear" w:color="auto" w:fill="FFFFFF" w:themeFill="background1"/>
          </w:tcPr>
          <w:p w14:paraId="2936687F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Feeling tired or having little energy</w:t>
            </w:r>
          </w:p>
        </w:tc>
        <w:tc>
          <w:tcPr>
            <w:tcW w:w="5594" w:type="dxa"/>
            <w:shd w:val="clear" w:color="auto" w:fill="FFFFFF" w:themeFill="background1"/>
          </w:tcPr>
          <w:p w14:paraId="2753A0C3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Trouble relaxing</w:t>
            </w:r>
          </w:p>
        </w:tc>
      </w:tr>
      <w:tr w:rsidR="00EC2900" w:rsidRPr="00BB28C0" w14:paraId="6F6DC3F5" w14:textId="77777777" w:rsidTr="00770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32B3B39D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5.</w:t>
            </w:r>
          </w:p>
        </w:tc>
        <w:tc>
          <w:tcPr>
            <w:tcW w:w="7655" w:type="dxa"/>
            <w:shd w:val="clear" w:color="auto" w:fill="FFFFFF" w:themeFill="background1"/>
          </w:tcPr>
          <w:p w14:paraId="32FE548B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Poor appetite or overeating</w:t>
            </w:r>
          </w:p>
        </w:tc>
        <w:tc>
          <w:tcPr>
            <w:tcW w:w="5594" w:type="dxa"/>
            <w:shd w:val="clear" w:color="auto" w:fill="FFFFFF" w:themeFill="background1"/>
          </w:tcPr>
          <w:p w14:paraId="61FE2F69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Being so restless that it's hard to sit still</w:t>
            </w:r>
          </w:p>
        </w:tc>
      </w:tr>
      <w:tr w:rsidR="00EC2900" w:rsidRPr="00BB28C0" w14:paraId="2414590E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61036EA9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6.</w:t>
            </w:r>
          </w:p>
        </w:tc>
        <w:tc>
          <w:tcPr>
            <w:tcW w:w="7655" w:type="dxa"/>
            <w:shd w:val="clear" w:color="auto" w:fill="FFFFFF" w:themeFill="background1"/>
          </w:tcPr>
          <w:p w14:paraId="5BB92F85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Feeling bad about yourself or that you are a failure or have let yourself or your family down</w:t>
            </w:r>
          </w:p>
        </w:tc>
        <w:tc>
          <w:tcPr>
            <w:tcW w:w="5594" w:type="dxa"/>
            <w:shd w:val="clear" w:color="auto" w:fill="FFFFFF" w:themeFill="background1"/>
          </w:tcPr>
          <w:p w14:paraId="6A60F142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Becoming easily annoyed or irritable</w:t>
            </w:r>
          </w:p>
        </w:tc>
      </w:tr>
      <w:tr w:rsidR="00EC2900" w:rsidRPr="00BB28C0" w14:paraId="04FF5271" w14:textId="77777777" w:rsidTr="00770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3BA92D07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7.</w:t>
            </w:r>
          </w:p>
        </w:tc>
        <w:tc>
          <w:tcPr>
            <w:tcW w:w="7655" w:type="dxa"/>
            <w:shd w:val="clear" w:color="auto" w:fill="FFFFFF" w:themeFill="background1"/>
          </w:tcPr>
          <w:p w14:paraId="64312F32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 xml:space="preserve">Trouble concentrating on things, such as reading the newspaper or watching television </w:t>
            </w:r>
          </w:p>
        </w:tc>
        <w:tc>
          <w:tcPr>
            <w:tcW w:w="5594" w:type="dxa"/>
            <w:shd w:val="clear" w:color="auto" w:fill="FFFFFF" w:themeFill="background1"/>
          </w:tcPr>
          <w:p w14:paraId="4DEC8035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Feeling afraid as if something awful might happen</w:t>
            </w:r>
          </w:p>
        </w:tc>
      </w:tr>
      <w:tr w:rsidR="00EC2900" w:rsidRPr="00BB28C0" w14:paraId="2489B79B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520A5CB7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8.</w:t>
            </w:r>
          </w:p>
        </w:tc>
        <w:tc>
          <w:tcPr>
            <w:tcW w:w="7655" w:type="dxa"/>
            <w:shd w:val="clear" w:color="auto" w:fill="FFFFFF" w:themeFill="background1"/>
          </w:tcPr>
          <w:p w14:paraId="7293C400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Moving or speaking so slowly that other people could have noticed. Or the opposite being so figety or restless that you have been moving around a lot more than usual</w:t>
            </w:r>
          </w:p>
        </w:tc>
        <w:tc>
          <w:tcPr>
            <w:tcW w:w="5594" w:type="dxa"/>
            <w:shd w:val="clear" w:color="auto" w:fill="FFFFFF" w:themeFill="background1"/>
          </w:tcPr>
          <w:p w14:paraId="29D326F1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</w:p>
        </w:tc>
      </w:tr>
      <w:tr w:rsidR="00EC2900" w:rsidRPr="00BB28C0" w14:paraId="5E1EE571" w14:textId="77777777" w:rsidTr="00770C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shd w:val="clear" w:color="auto" w:fill="FFFFFF" w:themeFill="background1"/>
          </w:tcPr>
          <w:p w14:paraId="525576CC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9.</w:t>
            </w:r>
          </w:p>
        </w:tc>
        <w:tc>
          <w:tcPr>
            <w:tcW w:w="7655" w:type="dxa"/>
            <w:shd w:val="clear" w:color="auto" w:fill="FFFFFF" w:themeFill="background1"/>
          </w:tcPr>
          <w:p w14:paraId="33BB4082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  <w:r w:rsidRPr="00BB28C0"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  <w:t>Thoughts that you would be better off dead, or of hurting yourself</w:t>
            </w:r>
          </w:p>
        </w:tc>
        <w:tc>
          <w:tcPr>
            <w:tcW w:w="5594" w:type="dxa"/>
            <w:shd w:val="clear" w:color="auto" w:fill="FFFFFF" w:themeFill="background1"/>
          </w:tcPr>
          <w:p w14:paraId="31A6913F" w14:textId="77777777" w:rsidR="00EC2900" w:rsidRPr="00BB28C0" w:rsidRDefault="00EC2900" w:rsidP="00770C9B">
            <w:pPr>
              <w:widowControl/>
              <w:kinsoku w:val="0"/>
              <w:overflowPunct w:val="0"/>
              <w:autoSpaceDE w:val="0"/>
              <w:autoSpaceDN w:val="0"/>
              <w:spacing w:before="240" w:after="120"/>
              <w:jc w:val="left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iCs/>
                <w:noProof/>
                <w:snapToGrid w:val="0"/>
                <w:color w:val="000000" w:themeColor="text1"/>
              </w:rPr>
            </w:pPr>
          </w:p>
        </w:tc>
      </w:tr>
    </w:tbl>
    <w:p w14:paraId="62550BCC" w14:textId="77777777" w:rsidR="00EC2900" w:rsidRPr="00BB28C0" w:rsidRDefault="00EC2900" w:rsidP="00EC2900">
      <w:pPr>
        <w:widowControl/>
        <w:adjustRightInd w:val="0"/>
        <w:snapToGrid w:val="0"/>
        <w:spacing w:before="120" w:after="240" w:line="260" w:lineRule="atLeast"/>
        <w:ind w:left="425" w:right="425"/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</w:pP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Table S1.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The detail of PHQ-9 scale was provided in a 9-item questionnaire.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Each item contains four levels (0, 1, 2 and 3). And total PHQ-9 (sum up of all items) refers to the depression severity: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 xml:space="preserve"> Ⅰ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: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1-4 Minimal depression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II: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5-9 Mild depression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Ⅲ: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10-14 Moderate depression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Ⅳ: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 xml:space="preserve">15-19 Moderately severe depression;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Ⅴ: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20-27 Severe depression.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The detail of GAD-7 scale was provided in a 7-item questionnaire. *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Each item contains four levels (0, 1, 2 and 3). And total GAD-7 (sum up of all items) refers to the depression severity: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Ⅰ: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1-4 Minimal Anxiety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II: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5-9 Mild Anxiety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Ⅲ: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10-14 Moderate Anxiety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; </w:t>
      </w:r>
      <w:r w:rsidRPr="00BB28C0">
        <w:rPr>
          <w:rFonts w:ascii="Times New Roman" w:hAnsi="Times New Roman" w:cs="Times New Roman"/>
          <w:b/>
          <w:color w:val="000000"/>
          <w:kern w:val="0"/>
          <w:sz w:val="20"/>
          <w:szCs w:val="20"/>
          <w:lang w:bidi="en-US"/>
        </w:rPr>
        <w:t>Ⅳ: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15-21 Severe Anxiety.</w:t>
      </w:r>
    </w:p>
    <w:p w14:paraId="73B27297" w14:textId="77777777" w:rsidR="00EC2900" w:rsidRPr="00BB28C0" w:rsidRDefault="00EC2900" w:rsidP="00EC2900">
      <w:pPr>
        <w:widowControl/>
        <w:adjustRightInd w:val="0"/>
        <w:snapToGrid w:val="0"/>
        <w:spacing w:after="120" w:line="260" w:lineRule="atLeast"/>
        <w:ind w:left="425" w:right="425"/>
        <w:jc w:val="center"/>
        <w:rPr>
          <w:rFonts w:ascii="Times New Roman" w:eastAsia="Times New Roman" w:hAnsi="Times New Roman" w:cs="Times New Roman"/>
          <w:bCs/>
          <w:color w:val="000000"/>
          <w:kern w:val="0"/>
          <w:sz w:val="20"/>
          <w:lang w:eastAsia="de-DE" w:bidi="en-US"/>
        </w:rPr>
      </w:pPr>
      <w:r w:rsidRPr="00BB28C0">
        <w:rPr>
          <w:rFonts w:ascii="Times New Roman" w:eastAsia="Times New Roman" w:hAnsi="Times New Roman" w:cs="Times New Roman"/>
          <w:b/>
          <w:color w:val="000000"/>
          <w:kern w:val="0"/>
          <w:sz w:val="24"/>
          <w:szCs w:val="24"/>
          <w:lang w:eastAsia="de-DE" w:bidi="en-US"/>
        </w:rPr>
        <w:t>Table S2.  The severity distribution of PHQ-9 and GAD-7 in enrolled GBM patients</w:t>
      </w:r>
      <w:r w:rsidRPr="00BB28C0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de-DE" w:bidi="en-US"/>
        </w:rPr>
        <w:t>.</w:t>
      </w:r>
    </w:p>
    <w:tbl>
      <w:tblPr>
        <w:tblStyle w:val="ListTable2"/>
        <w:tblW w:w="0" w:type="auto"/>
        <w:jc w:val="center"/>
        <w:tblLook w:val="04A0" w:firstRow="1" w:lastRow="0" w:firstColumn="1" w:lastColumn="0" w:noHBand="0" w:noVBand="1"/>
      </w:tblPr>
      <w:tblGrid>
        <w:gridCol w:w="1560"/>
        <w:gridCol w:w="1417"/>
        <w:gridCol w:w="2410"/>
        <w:gridCol w:w="2223"/>
        <w:gridCol w:w="1547"/>
      </w:tblGrid>
      <w:tr w:rsidR="00EC2900" w:rsidRPr="00BB28C0" w14:paraId="2DA879BB" w14:textId="77777777" w:rsidTr="00770C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1FE2F0C3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Survey</w:t>
            </w:r>
          </w:p>
        </w:tc>
        <w:tc>
          <w:tcPr>
            <w:tcW w:w="1417" w:type="dxa"/>
            <w:shd w:val="clear" w:color="auto" w:fill="auto"/>
          </w:tcPr>
          <w:p w14:paraId="603B1D83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G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rade</w:t>
            </w:r>
          </w:p>
        </w:tc>
        <w:tc>
          <w:tcPr>
            <w:tcW w:w="2410" w:type="dxa"/>
            <w:shd w:val="clear" w:color="auto" w:fill="auto"/>
          </w:tcPr>
          <w:p w14:paraId="56E81F07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Number of Cases</w:t>
            </w:r>
          </w:p>
        </w:tc>
        <w:tc>
          <w:tcPr>
            <w:tcW w:w="2223" w:type="dxa"/>
            <w:shd w:val="clear" w:color="auto" w:fill="auto"/>
          </w:tcPr>
          <w:p w14:paraId="21FB33B9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Score (mean± SE)</w:t>
            </w:r>
          </w:p>
        </w:tc>
        <w:tc>
          <w:tcPr>
            <w:tcW w:w="1547" w:type="dxa"/>
            <w:shd w:val="clear" w:color="auto" w:fill="auto"/>
          </w:tcPr>
          <w:p w14:paraId="3CFC146D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Percentage</w:t>
            </w:r>
          </w:p>
        </w:tc>
      </w:tr>
      <w:tr w:rsidR="00EC2900" w:rsidRPr="00BB28C0" w14:paraId="1B105B29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3352D67F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PHQ-9</w:t>
            </w:r>
          </w:p>
        </w:tc>
        <w:tc>
          <w:tcPr>
            <w:tcW w:w="1417" w:type="dxa"/>
            <w:shd w:val="clear" w:color="auto" w:fill="auto"/>
          </w:tcPr>
          <w:p w14:paraId="0BFB9EA1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Ⅰ</w:t>
            </w:r>
          </w:p>
        </w:tc>
        <w:tc>
          <w:tcPr>
            <w:tcW w:w="2410" w:type="dxa"/>
            <w:shd w:val="clear" w:color="auto" w:fill="auto"/>
          </w:tcPr>
          <w:p w14:paraId="4F014DD2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19</w:t>
            </w:r>
          </w:p>
        </w:tc>
        <w:tc>
          <w:tcPr>
            <w:tcW w:w="2223" w:type="dxa"/>
            <w:shd w:val="clear" w:color="auto" w:fill="auto"/>
          </w:tcPr>
          <w:p w14:paraId="00134823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3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 xml:space="preserve">.89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 xml:space="preserve">± 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0.46</w:t>
            </w:r>
          </w:p>
        </w:tc>
        <w:tc>
          <w:tcPr>
            <w:tcW w:w="1547" w:type="dxa"/>
            <w:shd w:val="clear" w:color="auto" w:fill="auto"/>
          </w:tcPr>
          <w:p w14:paraId="7EC307D4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26%</w:t>
            </w:r>
          </w:p>
        </w:tc>
      </w:tr>
      <w:tr w:rsidR="00EC2900" w:rsidRPr="00BB28C0" w14:paraId="3FE63209" w14:textId="77777777" w:rsidTr="00770C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5D8600D8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8DB4D36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II</w:t>
            </w:r>
          </w:p>
        </w:tc>
        <w:tc>
          <w:tcPr>
            <w:tcW w:w="2410" w:type="dxa"/>
            <w:shd w:val="clear" w:color="auto" w:fill="auto"/>
          </w:tcPr>
          <w:p w14:paraId="102DFC4B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41</w:t>
            </w:r>
          </w:p>
        </w:tc>
        <w:tc>
          <w:tcPr>
            <w:tcW w:w="2223" w:type="dxa"/>
            <w:shd w:val="clear" w:color="auto" w:fill="auto"/>
          </w:tcPr>
          <w:p w14:paraId="4F347D78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6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 xml:space="preserve">.73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>± 1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.66</w:t>
            </w:r>
          </w:p>
        </w:tc>
        <w:tc>
          <w:tcPr>
            <w:tcW w:w="1547" w:type="dxa"/>
            <w:shd w:val="clear" w:color="auto" w:fill="auto"/>
          </w:tcPr>
          <w:p w14:paraId="2BBE5596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56%</w:t>
            </w:r>
          </w:p>
        </w:tc>
      </w:tr>
      <w:tr w:rsidR="00EC2900" w:rsidRPr="00BB28C0" w14:paraId="2FCE00D8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7D1A553D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7644FA6C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Ⅲ</w:t>
            </w:r>
          </w:p>
        </w:tc>
        <w:tc>
          <w:tcPr>
            <w:tcW w:w="2410" w:type="dxa"/>
            <w:shd w:val="clear" w:color="auto" w:fill="auto"/>
          </w:tcPr>
          <w:p w14:paraId="4F47E56A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13</w:t>
            </w:r>
          </w:p>
        </w:tc>
        <w:tc>
          <w:tcPr>
            <w:tcW w:w="2223" w:type="dxa"/>
            <w:shd w:val="clear" w:color="auto" w:fill="auto"/>
          </w:tcPr>
          <w:p w14:paraId="1438E7CE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1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 xml:space="preserve">0.92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 xml:space="preserve">± 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1.04</w:t>
            </w:r>
          </w:p>
        </w:tc>
        <w:tc>
          <w:tcPr>
            <w:tcW w:w="1547" w:type="dxa"/>
            <w:shd w:val="clear" w:color="auto" w:fill="auto"/>
          </w:tcPr>
          <w:p w14:paraId="66218A92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18%</w:t>
            </w:r>
          </w:p>
        </w:tc>
      </w:tr>
      <w:tr w:rsidR="00EC2900" w:rsidRPr="00BB28C0" w14:paraId="6E31B45B" w14:textId="77777777" w:rsidTr="00770C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0D033756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4F6EA20D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Ⅳ</w:t>
            </w:r>
          </w:p>
        </w:tc>
        <w:tc>
          <w:tcPr>
            <w:tcW w:w="2410" w:type="dxa"/>
            <w:shd w:val="clear" w:color="auto" w:fill="auto"/>
          </w:tcPr>
          <w:p w14:paraId="624BB552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0</w:t>
            </w:r>
          </w:p>
        </w:tc>
        <w:tc>
          <w:tcPr>
            <w:tcW w:w="2223" w:type="dxa"/>
            <w:shd w:val="clear" w:color="auto" w:fill="auto"/>
          </w:tcPr>
          <w:p w14:paraId="0D77FA83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-</w:t>
            </w:r>
          </w:p>
        </w:tc>
        <w:tc>
          <w:tcPr>
            <w:tcW w:w="1547" w:type="dxa"/>
            <w:shd w:val="clear" w:color="auto" w:fill="auto"/>
          </w:tcPr>
          <w:p w14:paraId="4ED22065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0</w:t>
            </w:r>
          </w:p>
        </w:tc>
      </w:tr>
      <w:tr w:rsidR="00EC2900" w:rsidRPr="00BB28C0" w14:paraId="544882A5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03E0F5F5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84864E2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Ⅴ</w:t>
            </w:r>
          </w:p>
        </w:tc>
        <w:tc>
          <w:tcPr>
            <w:tcW w:w="2410" w:type="dxa"/>
            <w:shd w:val="clear" w:color="auto" w:fill="auto"/>
          </w:tcPr>
          <w:p w14:paraId="3C532ABD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0</w:t>
            </w:r>
          </w:p>
        </w:tc>
        <w:tc>
          <w:tcPr>
            <w:tcW w:w="2223" w:type="dxa"/>
            <w:shd w:val="clear" w:color="auto" w:fill="auto"/>
          </w:tcPr>
          <w:p w14:paraId="5D9B5911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-</w:t>
            </w:r>
          </w:p>
        </w:tc>
        <w:tc>
          <w:tcPr>
            <w:tcW w:w="1547" w:type="dxa"/>
            <w:shd w:val="clear" w:color="auto" w:fill="auto"/>
          </w:tcPr>
          <w:p w14:paraId="2BB4DB29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0</w:t>
            </w:r>
          </w:p>
        </w:tc>
      </w:tr>
      <w:tr w:rsidR="00EC2900" w:rsidRPr="00BB28C0" w14:paraId="280AD8F3" w14:textId="77777777" w:rsidTr="00770C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7CC8CA1B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GAD-7</w:t>
            </w:r>
          </w:p>
        </w:tc>
        <w:tc>
          <w:tcPr>
            <w:tcW w:w="1417" w:type="dxa"/>
            <w:shd w:val="clear" w:color="auto" w:fill="auto"/>
          </w:tcPr>
          <w:p w14:paraId="3DFE69AA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Ⅰ</w:t>
            </w:r>
          </w:p>
        </w:tc>
        <w:tc>
          <w:tcPr>
            <w:tcW w:w="2410" w:type="dxa"/>
            <w:shd w:val="clear" w:color="auto" w:fill="auto"/>
          </w:tcPr>
          <w:p w14:paraId="64288256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31</w:t>
            </w:r>
          </w:p>
        </w:tc>
        <w:tc>
          <w:tcPr>
            <w:tcW w:w="2223" w:type="dxa"/>
            <w:shd w:val="clear" w:color="auto" w:fill="auto"/>
          </w:tcPr>
          <w:p w14:paraId="011D0672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3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 xml:space="preserve">.32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 xml:space="preserve">± 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0.87</w:t>
            </w:r>
          </w:p>
        </w:tc>
        <w:tc>
          <w:tcPr>
            <w:tcW w:w="1547" w:type="dxa"/>
            <w:shd w:val="clear" w:color="auto" w:fill="auto"/>
          </w:tcPr>
          <w:p w14:paraId="518CF7CA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42%</w:t>
            </w:r>
          </w:p>
        </w:tc>
      </w:tr>
      <w:tr w:rsidR="00EC2900" w:rsidRPr="00BB28C0" w14:paraId="4A8AE205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4331BC0B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607BCB3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II</w:t>
            </w:r>
          </w:p>
        </w:tc>
        <w:tc>
          <w:tcPr>
            <w:tcW w:w="2410" w:type="dxa"/>
            <w:shd w:val="clear" w:color="auto" w:fill="auto"/>
          </w:tcPr>
          <w:p w14:paraId="51DEFC89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40</w:t>
            </w:r>
          </w:p>
        </w:tc>
        <w:tc>
          <w:tcPr>
            <w:tcW w:w="2223" w:type="dxa"/>
            <w:shd w:val="clear" w:color="auto" w:fill="auto"/>
          </w:tcPr>
          <w:p w14:paraId="728B07FB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6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 xml:space="preserve">.90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>± 1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.44</w:t>
            </w:r>
          </w:p>
        </w:tc>
        <w:tc>
          <w:tcPr>
            <w:tcW w:w="1547" w:type="dxa"/>
            <w:shd w:val="clear" w:color="auto" w:fill="auto"/>
          </w:tcPr>
          <w:p w14:paraId="5ABE1DD2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55%</w:t>
            </w:r>
          </w:p>
        </w:tc>
      </w:tr>
      <w:tr w:rsidR="00EC2900" w:rsidRPr="00BB28C0" w14:paraId="25074CAE" w14:textId="77777777" w:rsidTr="00770C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4D0DC6C3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248F04BA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Ⅲ</w:t>
            </w:r>
          </w:p>
        </w:tc>
        <w:tc>
          <w:tcPr>
            <w:tcW w:w="2410" w:type="dxa"/>
            <w:shd w:val="clear" w:color="auto" w:fill="auto"/>
          </w:tcPr>
          <w:p w14:paraId="1DB51DE7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2</w:t>
            </w:r>
          </w:p>
        </w:tc>
        <w:tc>
          <w:tcPr>
            <w:tcW w:w="2223" w:type="dxa"/>
            <w:shd w:val="clear" w:color="auto" w:fill="auto"/>
          </w:tcPr>
          <w:p w14:paraId="4848E196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 w:hint="eastAsia"/>
                <w:sz w:val="24"/>
                <w:szCs w:val="20"/>
              </w:rPr>
              <w:t>1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 xml:space="preserve">0.00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 xml:space="preserve">± </w:t>
            </w:r>
            <w:r w:rsidRPr="00BB28C0">
              <w:rPr>
                <w:rFonts w:ascii="Times New Roman" w:hAnsi="Times New Roman"/>
                <w:sz w:val="24"/>
                <w:szCs w:val="20"/>
              </w:rPr>
              <w:t>0.00</w:t>
            </w:r>
          </w:p>
        </w:tc>
        <w:tc>
          <w:tcPr>
            <w:tcW w:w="1547" w:type="dxa"/>
            <w:shd w:val="clear" w:color="auto" w:fill="auto"/>
          </w:tcPr>
          <w:p w14:paraId="2F0319F3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2.7%</w:t>
            </w:r>
          </w:p>
        </w:tc>
      </w:tr>
      <w:tr w:rsidR="00EC2900" w:rsidRPr="00BB28C0" w14:paraId="2714828A" w14:textId="77777777" w:rsidTr="00770C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auto"/>
          </w:tcPr>
          <w:p w14:paraId="24157B0A" w14:textId="77777777" w:rsidR="00EC2900" w:rsidRPr="00BB28C0" w:rsidRDefault="00EC2900" w:rsidP="00770C9B">
            <w:pPr>
              <w:widowControl/>
              <w:spacing w:line="340" w:lineRule="atLeast"/>
              <w:jc w:val="center"/>
              <w:rPr>
                <w:rFonts w:ascii="Times New Roman" w:hAnsi="Times New Roman"/>
                <w:sz w:val="24"/>
                <w:szCs w:val="20"/>
              </w:rPr>
            </w:pPr>
          </w:p>
        </w:tc>
        <w:tc>
          <w:tcPr>
            <w:tcW w:w="1417" w:type="dxa"/>
            <w:shd w:val="clear" w:color="auto" w:fill="auto"/>
          </w:tcPr>
          <w:p w14:paraId="671E0194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bCs/>
                <w:sz w:val="24"/>
                <w:szCs w:val="20"/>
              </w:rPr>
              <w:t>Ⅳ</w:t>
            </w:r>
          </w:p>
        </w:tc>
        <w:tc>
          <w:tcPr>
            <w:tcW w:w="2410" w:type="dxa"/>
            <w:shd w:val="clear" w:color="auto" w:fill="auto"/>
          </w:tcPr>
          <w:p w14:paraId="052F6788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0</w:t>
            </w:r>
          </w:p>
        </w:tc>
        <w:tc>
          <w:tcPr>
            <w:tcW w:w="2223" w:type="dxa"/>
            <w:shd w:val="clear" w:color="auto" w:fill="auto"/>
          </w:tcPr>
          <w:p w14:paraId="06A37AF1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r w:rsidRPr="00BB28C0">
              <w:rPr>
                <w:rFonts w:ascii="Times New Roman" w:hAnsi="Times New Roman" w:hint="eastAsia"/>
                <w:sz w:val="24"/>
                <w:szCs w:val="20"/>
              </w:rPr>
              <w:t>-</w:t>
            </w:r>
          </w:p>
        </w:tc>
        <w:tc>
          <w:tcPr>
            <w:tcW w:w="1547" w:type="dxa"/>
            <w:shd w:val="clear" w:color="auto" w:fill="auto"/>
          </w:tcPr>
          <w:p w14:paraId="48B01B4F" w14:textId="77777777" w:rsidR="00EC2900" w:rsidRPr="00BB28C0" w:rsidRDefault="00EC2900" w:rsidP="00770C9B">
            <w:pPr>
              <w:widowControl/>
              <w:spacing w:line="3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4"/>
                <w:szCs w:val="20"/>
              </w:rPr>
            </w:pPr>
            <w:r w:rsidRPr="00BB28C0">
              <w:rPr>
                <w:rFonts w:ascii="Times New Roman" w:hAnsi="Times New Roman"/>
                <w:sz w:val="24"/>
                <w:szCs w:val="20"/>
              </w:rPr>
              <w:t>0</w:t>
            </w:r>
          </w:p>
        </w:tc>
      </w:tr>
    </w:tbl>
    <w:p w14:paraId="58E09DA1" w14:textId="77777777" w:rsidR="00EC2900" w:rsidRPr="00BB28C0" w:rsidRDefault="00EC2900" w:rsidP="00EC2900">
      <w:pPr>
        <w:widowControl/>
        <w:adjustRightInd w:val="0"/>
        <w:snapToGrid w:val="0"/>
        <w:spacing w:before="120" w:after="240" w:line="260" w:lineRule="atLeast"/>
        <w:ind w:left="425" w:right="425"/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</w:pPr>
      <w:r w:rsidRPr="00BB28C0">
        <w:rPr>
          <w:rFonts w:ascii="Times New Roman" w:eastAsia="Times New Roman" w:hAnsi="Times New Roman" w:cs="Times New Roman"/>
          <w:b/>
          <w:iCs/>
          <w:color w:val="000000"/>
          <w:kern w:val="0"/>
          <w:sz w:val="18"/>
          <w:szCs w:val="20"/>
          <w:lang w:eastAsia="de-DE" w:bidi="en-US"/>
        </w:rPr>
        <w:t>Table S2.</w:t>
      </w:r>
      <w:r w:rsidRPr="00BB28C0">
        <w:rPr>
          <w:rFonts w:ascii="Times New Roman" w:eastAsia="Times New Roman" w:hAnsi="Times New Roman" w:cs="Times New Roman"/>
          <w:iCs/>
          <w:color w:val="000000"/>
          <w:kern w:val="0"/>
          <w:sz w:val="18"/>
          <w:szCs w:val="20"/>
          <w:lang w:eastAsia="de-DE" w:bidi="en-US"/>
        </w:rPr>
        <w:t xml:space="preserve"> * </w:t>
      </w:r>
      <w:r w:rsidRPr="00BB28C0">
        <w:rPr>
          <w:rFonts w:ascii="Times New Roman" w:hAnsi="Times New Roman" w:cs="Times New Roman"/>
          <w:bCs/>
          <w:iCs/>
          <w:color w:val="000000"/>
          <w:kern w:val="0"/>
          <w:sz w:val="18"/>
          <w:szCs w:val="20"/>
          <w:lang w:bidi="en-US"/>
        </w:rPr>
        <w:t xml:space="preserve">Ⅰ to Ⅴ stands for the different level of the PHQ-9 and GAD-7 questionnaire score, namely, minimal, mild, moderate, etc. 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Data were presented as Mean ± Standard Deviation (SD); the difference between the two group were analyzed with unpaired sample t test. </w:t>
      </w:r>
      <w:r w:rsidRPr="00BB28C0">
        <w:rPr>
          <w:rFonts w:ascii="Times New Roman" w:eastAsia="Times New Roman" w:hAnsi="Times New Roman" w:cs="Times New Roman"/>
          <w:bCs/>
          <w:color w:val="000000"/>
          <w:kern w:val="0"/>
          <w:sz w:val="20"/>
          <w:szCs w:val="20"/>
          <w:lang w:eastAsia="de-DE" w:bidi="en-US"/>
        </w:rPr>
        <w:t>Abbreviations:</w:t>
      </w:r>
      <w:r w:rsidRPr="00BB28C0">
        <w:rPr>
          <w:rFonts w:ascii="Times New Roman" w:hAnsi="Times New Roman" w:cs="Times New Roman"/>
          <w:bCs/>
          <w:color w:val="000000"/>
          <w:kern w:val="0"/>
          <w:sz w:val="20"/>
          <w:szCs w:val="20"/>
          <w:lang w:bidi="en-US"/>
        </w:rPr>
        <w:t xml:space="preserve"> GBM: glioblastoma multiforme; CI: confidence interval;</w:t>
      </w:r>
    </w:p>
    <w:p w14:paraId="10B5338A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900"/>
    <w:rsid w:val="00114675"/>
    <w:rsid w:val="002B53FA"/>
    <w:rsid w:val="00A340D3"/>
    <w:rsid w:val="00CB39D0"/>
    <w:rsid w:val="00EC2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F4D38B"/>
  <w15:chartTrackingRefBased/>
  <w15:docId w15:val="{4DF6EAF7-5684-594C-9555-B75265AD2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2900"/>
    <w:pPr>
      <w:widowControl w:val="0"/>
      <w:jc w:val="both"/>
    </w:pPr>
    <w:rPr>
      <w:rFonts w:eastAsiaTheme="minorEastAsia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">
    <w:name w:val="List Table 2"/>
    <w:basedOn w:val="TableNormal"/>
    <w:uiPriority w:val="47"/>
    <w:rsid w:val="00EC2900"/>
    <w:rPr>
      <w:rFonts w:eastAsiaTheme="minorEastAsia"/>
      <w:kern w:val="2"/>
      <w:sz w:val="21"/>
      <w:szCs w:val="22"/>
      <w:lang w:eastAsia="zh-CN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6-31">
    <w:name w:val="清单表 6 彩色 - 着色 31"/>
    <w:basedOn w:val="TableNormal"/>
    <w:next w:val="ListTable6Colorful-Accent3"/>
    <w:uiPriority w:val="51"/>
    <w:rsid w:val="00EC2900"/>
    <w:rPr>
      <w:rFonts w:ascii="Calibri" w:eastAsia="SimSun" w:hAnsi="Calibri" w:cs="Times New Roman"/>
      <w:color w:val="7B7B7B" w:themeColor="accent3" w:themeShade="BF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C2900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2020-08-18T22:15:00Z</dcterms:created>
  <dcterms:modified xsi:type="dcterms:W3CDTF">2020-08-18T22:15:00Z</dcterms:modified>
</cp:coreProperties>
</file>