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28829" w14:textId="48265BB3" w:rsidR="004C7E2F" w:rsidRDefault="004C7E2F" w:rsidP="00FE07B9">
      <w:pPr>
        <w:ind w:firstLineChars="150" w:firstLine="360"/>
      </w:pPr>
      <w:r>
        <w:t>Graphical Abstracts</w:t>
      </w:r>
    </w:p>
    <w:p w14:paraId="0298BF64" w14:textId="77777777" w:rsidR="001C3630" w:rsidRDefault="001C3630" w:rsidP="00FE07B9">
      <w:pPr>
        <w:ind w:firstLineChars="150" w:firstLine="330"/>
        <w:rPr>
          <w:color w:val="000000" w:themeColor="text1"/>
          <w:kern w:val="0"/>
          <w:sz w:val="22"/>
          <w:szCs w:val="22"/>
        </w:rPr>
      </w:pPr>
    </w:p>
    <w:p w14:paraId="6C7AA7D0" w14:textId="77777777" w:rsidR="001C3630" w:rsidRDefault="004C7E2F" w:rsidP="001C3630">
      <w:pPr>
        <w:adjustRightInd w:val="0"/>
        <w:snapToGrid w:val="0"/>
        <w:ind w:firstLineChars="150" w:firstLine="330"/>
        <w:rPr>
          <w:color w:val="000000" w:themeColor="text1"/>
          <w:kern w:val="0"/>
          <w:sz w:val="22"/>
          <w:szCs w:val="22"/>
        </w:rPr>
      </w:pPr>
      <w:r w:rsidRPr="009B5FB9">
        <w:rPr>
          <w:color w:val="000000" w:themeColor="text1"/>
          <w:kern w:val="0"/>
          <w:sz w:val="22"/>
          <w:szCs w:val="22"/>
        </w:rPr>
        <w:t xml:space="preserve">In this research, </w:t>
      </w:r>
      <w:r w:rsidR="00770834" w:rsidRPr="009B5FB9">
        <w:rPr>
          <w:color w:val="000000" w:themeColor="text1"/>
          <w:kern w:val="0"/>
          <w:sz w:val="22"/>
          <w:szCs w:val="22"/>
        </w:rPr>
        <w:t>the data observed by the Phoenix System was used.</w:t>
      </w:r>
      <w:r w:rsidR="00770834" w:rsidRPr="009B5FB9">
        <w:rPr>
          <w:rFonts w:hint="eastAsia"/>
          <w:color w:val="000000" w:themeColor="text1"/>
          <w:kern w:val="0"/>
          <w:sz w:val="22"/>
          <w:szCs w:val="22"/>
        </w:rPr>
        <w:t xml:space="preserve"> </w:t>
      </w:r>
      <w:r w:rsidR="00770834" w:rsidRPr="009B5FB9">
        <w:rPr>
          <w:color w:val="000000" w:themeColor="text1"/>
          <w:kern w:val="0"/>
          <w:sz w:val="22"/>
          <w:szCs w:val="22"/>
        </w:rPr>
        <w:t xml:space="preserve">The data contain continuous and discontinuous time-series data. </w:t>
      </w:r>
      <w:r w:rsidR="00770834" w:rsidRPr="001C3630">
        <w:rPr>
          <w:color w:val="000000" w:themeColor="text1"/>
          <w:kern w:val="0"/>
          <w:sz w:val="22"/>
          <w:szCs w:val="22"/>
        </w:rPr>
        <w:t xml:space="preserve">As </w:t>
      </w:r>
      <w:r w:rsidR="00770834" w:rsidRPr="009B5FB9">
        <w:rPr>
          <w:color w:val="000000" w:themeColor="text1"/>
          <w:kern w:val="0"/>
          <w:sz w:val="22"/>
          <w:szCs w:val="22"/>
        </w:rPr>
        <w:t>an alternative,</w:t>
      </w:r>
      <w:r w:rsidR="00770834" w:rsidRPr="001C3630">
        <w:rPr>
          <w:rFonts w:hint="eastAsia"/>
          <w:color w:val="000000" w:themeColor="text1"/>
          <w:kern w:val="0"/>
          <w:sz w:val="22"/>
          <w:szCs w:val="22"/>
        </w:rPr>
        <w:t xml:space="preserve"> </w:t>
      </w:r>
      <w:r w:rsidRPr="009B5FB9">
        <w:rPr>
          <w:color w:val="000000" w:themeColor="text1"/>
          <w:kern w:val="0"/>
          <w:sz w:val="22"/>
          <w:szCs w:val="22"/>
        </w:rPr>
        <w:t xml:space="preserve">we introduced a robust impedance estimator based on the Hilbert-Huang transform (RMHHT) and </w:t>
      </w:r>
      <w:r w:rsidR="007B0A62" w:rsidRPr="009B5FB9">
        <w:rPr>
          <w:color w:val="000000" w:themeColor="text1"/>
          <w:kern w:val="0"/>
          <w:sz w:val="22"/>
          <w:szCs w:val="22"/>
        </w:rPr>
        <w:t>demonstrated a strategy to process the broadband MT time-series data properly by the RMHHT estimator.</w:t>
      </w:r>
    </w:p>
    <w:p w14:paraId="0232D649" w14:textId="77777777" w:rsidR="001C3630" w:rsidRDefault="007B0A62" w:rsidP="001C3630">
      <w:pPr>
        <w:adjustRightInd w:val="0"/>
        <w:snapToGrid w:val="0"/>
        <w:ind w:firstLineChars="150" w:firstLine="330"/>
        <w:rPr>
          <w:color w:val="000000" w:themeColor="text1"/>
          <w:kern w:val="0"/>
          <w:sz w:val="22"/>
          <w:szCs w:val="22"/>
        </w:rPr>
      </w:pPr>
      <w:r w:rsidRPr="009B5FB9">
        <w:rPr>
          <w:color w:val="000000" w:themeColor="text1"/>
          <w:kern w:val="0"/>
          <w:sz w:val="22"/>
          <w:szCs w:val="22"/>
        </w:rPr>
        <w:t>we showed the capability of HHT to express the spectrum variation in the time-frequency domain. Therefore, we could combine the two-segment time-series directly, which are in a different property, and get a reliable spectrum by HHT. Because of this kind of property, we could combine the discontinuous time-series data directly and process the combined discontinuous time-series data in the same way as the continuous time-series data when we compute the impedance by RMHHT.</w:t>
      </w:r>
      <w:r w:rsidR="00FE3DDC" w:rsidRPr="009B5FB9">
        <w:rPr>
          <w:color w:val="000000" w:themeColor="text1"/>
          <w:kern w:val="0"/>
          <w:sz w:val="22"/>
          <w:szCs w:val="22"/>
        </w:rPr>
        <w:t xml:space="preserve"> However,</w:t>
      </w:r>
      <w:r w:rsidR="00FE3DDC" w:rsidRPr="001C3630">
        <w:rPr>
          <w:rFonts w:hint="eastAsia"/>
          <w:color w:val="000000" w:themeColor="text1"/>
          <w:kern w:val="0"/>
          <w:sz w:val="22"/>
          <w:szCs w:val="22"/>
        </w:rPr>
        <w:t xml:space="preserve"> </w:t>
      </w:r>
      <w:r w:rsidR="000C6FCA" w:rsidRPr="009B5FB9">
        <w:rPr>
          <w:color w:val="000000" w:themeColor="text1"/>
          <w:kern w:val="0"/>
          <w:sz w:val="22"/>
          <w:szCs w:val="22"/>
        </w:rPr>
        <w:t>The biggest problem of the estimator based on HHT is time-consuming. By this strategy, the computation time can be shortened much.</w:t>
      </w:r>
    </w:p>
    <w:p w14:paraId="5066A9BF" w14:textId="5BA5C992" w:rsidR="004C7E2F" w:rsidRPr="009B5FB9" w:rsidRDefault="004C7E2F" w:rsidP="001C3630">
      <w:pPr>
        <w:adjustRightInd w:val="0"/>
        <w:snapToGrid w:val="0"/>
        <w:ind w:firstLineChars="150" w:firstLine="330"/>
        <w:rPr>
          <w:color w:val="000000" w:themeColor="text1"/>
          <w:kern w:val="0"/>
          <w:sz w:val="22"/>
          <w:szCs w:val="22"/>
        </w:rPr>
      </w:pPr>
      <w:r w:rsidRPr="009B5FB9">
        <w:rPr>
          <w:color w:val="000000" w:themeColor="text1"/>
          <w:kern w:val="0"/>
          <w:sz w:val="22"/>
          <w:szCs w:val="22"/>
        </w:rPr>
        <w:t>We</w:t>
      </w:r>
      <w:r w:rsidR="00FE3DDC" w:rsidRPr="009B5FB9">
        <w:rPr>
          <w:color w:val="000000" w:themeColor="text1"/>
          <w:kern w:val="0"/>
          <w:sz w:val="22"/>
          <w:szCs w:val="22"/>
        </w:rPr>
        <w:t xml:space="preserve"> also</w:t>
      </w:r>
      <w:r w:rsidRPr="009B5FB9">
        <w:rPr>
          <w:color w:val="000000" w:themeColor="text1"/>
          <w:kern w:val="0"/>
          <w:sz w:val="22"/>
          <w:szCs w:val="22"/>
        </w:rPr>
        <w:t xml:space="preserve"> indicated that </w:t>
      </w:r>
      <w:r w:rsidRPr="001C3630">
        <w:rPr>
          <w:color w:val="000000" w:themeColor="text1"/>
          <w:kern w:val="0"/>
          <w:sz w:val="22"/>
          <w:szCs w:val="22"/>
        </w:rPr>
        <w:t>this</w:t>
      </w:r>
      <w:r w:rsidRPr="009B5FB9">
        <w:rPr>
          <w:color w:val="000000" w:themeColor="text1"/>
          <w:kern w:val="0"/>
          <w:sz w:val="22"/>
          <w:szCs w:val="22"/>
        </w:rPr>
        <w:t xml:space="preserve"> technique needs 4-hour time-series data to get a reliable resistivity structure up to 1,000 seconds in the numerical simulation. This short measurement time makes it possible to carry out MT surveys in urban areas with strong noises.</w:t>
      </w:r>
    </w:p>
    <w:p w14:paraId="5CF7C4AC" w14:textId="466A4332" w:rsidR="004C7E2F" w:rsidRPr="001C3630" w:rsidRDefault="001C3630" w:rsidP="00A71CE7">
      <w:pPr>
        <w:adjustRightInd w:val="0"/>
        <w:snapToGrid w:val="0"/>
        <w:ind w:firstLineChars="150" w:firstLine="330"/>
        <w:rPr>
          <w:color w:val="000000" w:themeColor="text1"/>
          <w:kern w:val="0"/>
          <w:sz w:val="22"/>
          <w:szCs w:val="22"/>
        </w:rPr>
      </w:pPr>
      <w:r w:rsidRPr="009B5FB9">
        <w:rPr>
          <w:color w:val="000000" w:themeColor="text1"/>
          <w:kern w:val="0"/>
          <w:sz w:val="22"/>
          <w:szCs w:val="22"/>
        </w:rPr>
        <w:t>This paper also demonstrated that a time window of 4-hour length was almost noise-free during the local nighttime at site L7158, L6178, and Y0625. We used the data from this quiet period alone to estimate impedances and get a reliable result.</w:t>
      </w:r>
    </w:p>
    <w:p w14:paraId="21FB6CC9" w14:textId="77777777" w:rsidR="00635AAA" w:rsidRDefault="004C7E2F" w:rsidP="00A71CE7">
      <w:pPr>
        <w:ind w:firstLineChars="150" w:firstLine="360"/>
        <w:jc w:val="center"/>
        <w:rPr>
          <w:color w:val="000000" w:themeColor="text1"/>
          <w:kern w:val="0"/>
          <w:sz w:val="22"/>
          <w:szCs w:val="22"/>
        </w:rPr>
      </w:pPr>
      <w:r>
        <w:rPr>
          <w:noProof/>
        </w:rPr>
        <w:drawing>
          <wp:inline distT="0" distB="0" distL="0" distR="0" wp14:anchorId="1E87D740" wp14:editId="0F5A67E3">
            <wp:extent cx="4429125" cy="1727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187" cy="1728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910F8" w14:textId="77777777" w:rsidR="00635AAA" w:rsidRPr="00395941" w:rsidRDefault="00635AAA" w:rsidP="00635AAA">
      <w:pPr>
        <w:adjustRightInd w:val="0"/>
        <w:snapToGrid w:val="0"/>
        <w:jc w:val="left"/>
        <w:rPr>
          <w:color w:val="000000" w:themeColor="text1"/>
          <w:sz w:val="22"/>
          <w:szCs w:val="22"/>
        </w:rPr>
      </w:pPr>
      <w:r w:rsidRPr="00395941">
        <w:rPr>
          <w:rFonts w:hint="eastAsia"/>
          <w:bCs/>
          <w:color w:val="000000" w:themeColor="text1"/>
          <w:sz w:val="22"/>
          <w:szCs w:val="22"/>
        </w:rPr>
        <w:t>F</w:t>
      </w:r>
      <w:r w:rsidRPr="00395941">
        <w:rPr>
          <w:bCs/>
          <w:color w:val="000000" w:themeColor="text1"/>
          <w:sz w:val="22"/>
          <w:szCs w:val="22"/>
        </w:rPr>
        <w:t xml:space="preserve">ig. </w:t>
      </w:r>
      <w:r>
        <w:rPr>
          <w:bCs/>
          <w:color w:val="000000" w:themeColor="text1"/>
          <w:sz w:val="22"/>
          <w:szCs w:val="22"/>
        </w:rPr>
        <w:t>2</w:t>
      </w:r>
      <w:r w:rsidRPr="00395941">
        <w:rPr>
          <w:bCs/>
          <w:color w:val="000000" w:themeColor="text1"/>
          <w:sz w:val="22"/>
          <w:szCs w:val="22"/>
        </w:rPr>
        <w:t xml:space="preserve"> The </w:t>
      </w:r>
      <w:r>
        <w:rPr>
          <w:bCs/>
          <w:color w:val="000000" w:themeColor="text1"/>
          <w:sz w:val="22"/>
          <w:szCs w:val="22"/>
        </w:rPr>
        <w:t>time-series</w:t>
      </w:r>
      <w:r w:rsidRPr="00395941">
        <w:rPr>
          <w:bCs/>
          <w:color w:val="000000" w:themeColor="text1"/>
          <w:sz w:val="22"/>
          <w:szCs w:val="22"/>
        </w:rPr>
        <w:t xml:space="preserve"> </w:t>
      </w:r>
      <w:r w:rsidRPr="00395941">
        <w:rPr>
          <w:i/>
          <w:color w:val="000000" w:themeColor="text1"/>
          <w:sz w:val="22"/>
          <w:szCs w:val="22"/>
        </w:rPr>
        <w:t>x</w:t>
      </w:r>
      <w:r w:rsidRPr="00395941">
        <w:rPr>
          <w:color w:val="000000" w:themeColor="text1"/>
          <w:sz w:val="22"/>
          <w:szCs w:val="22"/>
          <w:vertAlign w:val="subscript"/>
        </w:rPr>
        <w:t>1</w:t>
      </w:r>
      <w:r w:rsidRPr="00395941">
        <w:rPr>
          <w:color w:val="000000" w:themeColor="text1"/>
          <w:sz w:val="22"/>
          <w:szCs w:val="22"/>
        </w:rPr>
        <w:t>(t)=sin(2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1"/>
            <w:szCs w:val="21"/>
            <w:shd w:val="clear" w:color="auto" w:fill="FDFDFD"/>
          </w:rPr>
          <m:t>π</m:t>
        </m:r>
      </m:oMath>
      <w:r w:rsidRPr="00395941">
        <w:rPr>
          <w:rFonts w:ascii="Arial" w:hAnsi="Arial" w:cs="Arial"/>
          <w:color w:val="000000" w:themeColor="text1"/>
          <w:sz w:val="21"/>
          <w:szCs w:val="21"/>
          <w:shd w:val="clear" w:color="auto" w:fill="FDFDFD"/>
        </w:rPr>
        <w:t>·</w:t>
      </w:r>
      <w:r w:rsidRPr="00395941">
        <w:rPr>
          <w:color w:val="000000" w:themeColor="text1"/>
          <w:sz w:val="22"/>
          <w:szCs w:val="22"/>
        </w:rPr>
        <w:t>50t)+sin(2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1"/>
            <w:szCs w:val="21"/>
            <w:shd w:val="clear" w:color="auto" w:fill="FDFDFD"/>
          </w:rPr>
          <m:t>π</m:t>
        </m:r>
      </m:oMath>
      <w:r w:rsidRPr="00395941">
        <w:rPr>
          <w:rFonts w:ascii="Arial" w:hAnsi="Arial" w:cs="Arial"/>
          <w:color w:val="000000" w:themeColor="text1"/>
          <w:sz w:val="21"/>
          <w:szCs w:val="21"/>
          <w:shd w:val="clear" w:color="auto" w:fill="FDFDFD"/>
        </w:rPr>
        <w:t>·</w:t>
      </w:r>
      <w:r w:rsidRPr="00395941">
        <w:rPr>
          <w:color w:val="000000" w:themeColor="text1"/>
          <w:sz w:val="22"/>
          <w:szCs w:val="22"/>
        </w:rPr>
        <w:t xml:space="preserve">200t) and </w:t>
      </w:r>
      <w:r w:rsidRPr="00395941">
        <w:rPr>
          <w:i/>
          <w:color w:val="000000" w:themeColor="text1"/>
          <w:sz w:val="22"/>
          <w:szCs w:val="22"/>
        </w:rPr>
        <w:t>x</w:t>
      </w:r>
      <w:r w:rsidRPr="00395941">
        <w:rPr>
          <w:color w:val="000000" w:themeColor="text1"/>
          <w:sz w:val="22"/>
          <w:szCs w:val="22"/>
          <w:vertAlign w:val="subscript"/>
        </w:rPr>
        <w:t>2</w:t>
      </w:r>
      <w:r w:rsidRPr="00395941">
        <w:rPr>
          <w:color w:val="000000" w:themeColor="text1"/>
          <w:sz w:val="22"/>
          <w:szCs w:val="22"/>
        </w:rPr>
        <w:t>(t)=sin(2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2"/>
            <w:szCs w:val="22"/>
          </w:rPr>
          <m:t>π</m:t>
        </m:r>
      </m:oMath>
      <w:r w:rsidRPr="00395941">
        <w:rPr>
          <w:rFonts w:ascii="Arial" w:hAnsi="Arial" w:cs="Arial"/>
          <w:color w:val="000000" w:themeColor="text1"/>
          <w:sz w:val="21"/>
          <w:szCs w:val="21"/>
          <w:shd w:val="clear" w:color="auto" w:fill="FDFDFD"/>
        </w:rPr>
        <w:t>·</w:t>
      </w:r>
      <w:r w:rsidRPr="00395941">
        <w:rPr>
          <w:color w:val="000000" w:themeColor="text1"/>
          <w:sz w:val="22"/>
          <w:szCs w:val="22"/>
        </w:rPr>
        <w:t>25t)+sin(2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1"/>
            <w:szCs w:val="21"/>
            <w:shd w:val="clear" w:color="auto" w:fill="FDFDFD"/>
          </w:rPr>
          <m:t>π</m:t>
        </m:r>
      </m:oMath>
      <w:r w:rsidRPr="00395941">
        <w:rPr>
          <w:rFonts w:ascii="Arial" w:hAnsi="Arial" w:cs="Arial"/>
          <w:color w:val="000000" w:themeColor="text1"/>
          <w:sz w:val="21"/>
          <w:szCs w:val="21"/>
          <w:shd w:val="clear" w:color="auto" w:fill="FDFDFD"/>
        </w:rPr>
        <w:t>·</w:t>
      </w:r>
      <w:r w:rsidRPr="00395941">
        <w:rPr>
          <w:color w:val="000000" w:themeColor="text1"/>
          <w:sz w:val="22"/>
          <w:szCs w:val="22"/>
        </w:rPr>
        <w:t>100t)+sin(2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1"/>
            <w:szCs w:val="21"/>
            <w:shd w:val="clear" w:color="auto" w:fill="FDFDFD"/>
          </w:rPr>
          <m:t>π</m:t>
        </m:r>
      </m:oMath>
      <w:r w:rsidRPr="00395941">
        <w:rPr>
          <w:rFonts w:ascii="Arial" w:hAnsi="Arial" w:cs="Arial"/>
          <w:color w:val="000000" w:themeColor="text1"/>
          <w:sz w:val="21"/>
          <w:szCs w:val="21"/>
          <w:shd w:val="clear" w:color="auto" w:fill="FDFDFD"/>
        </w:rPr>
        <w:t>·</w:t>
      </w:r>
      <w:r w:rsidRPr="00395941">
        <w:rPr>
          <w:color w:val="000000" w:themeColor="text1"/>
          <w:sz w:val="22"/>
          <w:szCs w:val="22"/>
        </w:rPr>
        <w:t>250t). Both of the segments are added with 10% Gaussian noises.</w:t>
      </w:r>
    </w:p>
    <w:p w14:paraId="16272459" w14:textId="61415234" w:rsidR="004C7E2F" w:rsidRDefault="004C7E2F" w:rsidP="00A71CE7">
      <w:pPr>
        <w:ind w:firstLineChars="150" w:firstLine="360"/>
        <w:jc w:val="center"/>
        <w:rPr>
          <w:color w:val="000000" w:themeColor="text1"/>
          <w:kern w:val="0"/>
          <w:sz w:val="22"/>
          <w:szCs w:val="22"/>
        </w:rPr>
      </w:pPr>
      <w:r>
        <w:rPr>
          <w:noProof/>
        </w:rPr>
        <w:drawing>
          <wp:inline distT="0" distB="0" distL="0" distR="0" wp14:anchorId="5C596DD1" wp14:editId="66EA5275">
            <wp:extent cx="4657725" cy="20605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714" cy="206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D9B4F" w14:textId="75A0B631" w:rsidR="004C7E2F" w:rsidRDefault="00635AAA" w:rsidP="00A71CE7">
      <w:pPr>
        <w:adjustRightInd w:val="0"/>
        <w:snapToGrid w:val="0"/>
        <w:rPr>
          <w:color w:val="000000" w:themeColor="text1"/>
          <w:kern w:val="0"/>
          <w:sz w:val="22"/>
          <w:szCs w:val="22"/>
        </w:rPr>
      </w:pPr>
      <w:r w:rsidRPr="00395941">
        <w:rPr>
          <w:rFonts w:hint="eastAsia"/>
          <w:bCs/>
          <w:color w:val="000000" w:themeColor="text1"/>
          <w:sz w:val="22"/>
          <w:szCs w:val="22"/>
        </w:rPr>
        <w:t>F</w:t>
      </w:r>
      <w:r w:rsidRPr="00395941">
        <w:rPr>
          <w:bCs/>
          <w:color w:val="000000" w:themeColor="text1"/>
          <w:sz w:val="22"/>
          <w:szCs w:val="22"/>
        </w:rPr>
        <w:t xml:space="preserve">ig. </w:t>
      </w:r>
      <w:r>
        <w:rPr>
          <w:bCs/>
          <w:color w:val="000000" w:themeColor="text1"/>
          <w:sz w:val="22"/>
          <w:szCs w:val="22"/>
        </w:rPr>
        <w:t>3</w:t>
      </w:r>
      <w:r w:rsidRPr="00395941">
        <w:rPr>
          <w:bCs/>
          <w:color w:val="000000" w:themeColor="text1"/>
          <w:sz w:val="22"/>
          <w:szCs w:val="22"/>
        </w:rPr>
        <w:t xml:space="preserve"> </w:t>
      </w:r>
      <w:bookmarkStart w:id="0" w:name="OLE_LINK3"/>
      <w:bookmarkStart w:id="1" w:name="OLE_LINK4"/>
      <w:r w:rsidRPr="00395941">
        <w:rPr>
          <w:bCs/>
          <w:color w:val="000000" w:themeColor="text1"/>
          <w:sz w:val="22"/>
          <w:szCs w:val="22"/>
        </w:rPr>
        <w:t xml:space="preserve">The HHT spectrum of </w:t>
      </w:r>
      <w:r>
        <w:rPr>
          <w:bCs/>
          <w:color w:val="000000" w:themeColor="text1"/>
          <w:sz w:val="22"/>
          <w:szCs w:val="22"/>
        </w:rPr>
        <w:t>time-series</w:t>
      </w:r>
      <w:r w:rsidRPr="00395941">
        <w:rPr>
          <w:bCs/>
          <w:color w:val="000000" w:themeColor="text1"/>
          <w:sz w:val="22"/>
          <w:szCs w:val="22"/>
        </w:rPr>
        <w:t xml:space="preserve"> data, which is shown in Fig. 1. </w:t>
      </w:r>
      <w:r w:rsidRPr="00395941">
        <w:rPr>
          <w:color w:val="000000" w:themeColor="text1"/>
          <w:kern w:val="0"/>
          <w:sz w:val="22"/>
          <w:szCs w:val="22"/>
        </w:rPr>
        <w:t xml:space="preserve">The color denotes the value of </w:t>
      </w:r>
      <w:r w:rsidRPr="00395941">
        <w:rPr>
          <w:bCs/>
          <w:color w:val="000000" w:themeColor="text1"/>
          <w:sz w:val="22"/>
          <w:szCs w:val="22"/>
        </w:rPr>
        <w:t>10</w:t>
      </w:r>
      <w:r w:rsidRPr="00395941">
        <w:rPr>
          <w:rFonts w:ascii="Arial" w:hAnsi="Arial" w:cs="Arial"/>
          <w:color w:val="000000" w:themeColor="text1"/>
          <w:sz w:val="21"/>
          <w:szCs w:val="21"/>
          <w:shd w:val="clear" w:color="auto" w:fill="FDFDFD"/>
        </w:rPr>
        <w:t>·</w:t>
      </w:r>
      <w:r w:rsidRPr="00395941">
        <w:rPr>
          <w:bCs/>
          <w:color w:val="000000" w:themeColor="text1"/>
          <w:sz w:val="22"/>
          <w:szCs w:val="22"/>
        </w:rPr>
        <w:t>log10(amp/max), where "amp" denotes the amplitude of the IPs, "max" denotes the maximum of the amplitude of the IPs</w:t>
      </w:r>
      <w:r w:rsidRPr="00395941">
        <w:rPr>
          <w:color w:val="000000" w:themeColor="text1"/>
          <w:kern w:val="0"/>
          <w:sz w:val="22"/>
          <w:szCs w:val="22"/>
        </w:rPr>
        <w:t>.</w:t>
      </w:r>
      <w:bookmarkEnd w:id="0"/>
      <w:bookmarkEnd w:id="1"/>
    </w:p>
    <w:p w14:paraId="04C707DA" w14:textId="417D2AA4" w:rsidR="004C7E2F" w:rsidRDefault="004C7E2F" w:rsidP="00A71CE7">
      <w:pPr>
        <w:ind w:firstLineChars="150" w:firstLine="360"/>
        <w:jc w:val="center"/>
        <w:rPr>
          <w:color w:val="000000" w:themeColor="text1"/>
          <w:kern w:val="0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628AE12" wp14:editId="4BC3FC5C">
            <wp:extent cx="4261043" cy="20303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043" cy="2030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99AE2" w14:textId="5D59973A" w:rsidR="004C7E2F" w:rsidRDefault="00635AAA" w:rsidP="00A71CE7">
      <w:pPr>
        <w:adjustRightInd w:val="0"/>
        <w:snapToGrid w:val="0"/>
        <w:ind w:right="-5"/>
        <w:rPr>
          <w:color w:val="000000" w:themeColor="text1"/>
          <w:kern w:val="0"/>
          <w:sz w:val="22"/>
          <w:szCs w:val="22"/>
        </w:rPr>
      </w:pPr>
      <w:r w:rsidRPr="00395941">
        <w:rPr>
          <w:rFonts w:hint="eastAsia"/>
          <w:bCs/>
          <w:color w:val="000000" w:themeColor="text1"/>
          <w:sz w:val="22"/>
          <w:szCs w:val="22"/>
        </w:rPr>
        <w:t>F</w:t>
      </w:r>
      <w:r w:rsidRPr="00395941">
        <w:rPr>
          <w:bCs/>
          <w:color w:val="000000" w:themeColor="text1"/>
          <w:sz w:val="22"/>
          <w:szCs w:val="22"/>
        </w:rPr>
        <w:t xml:space="preserve">ig. </w:t>
      </w:r>
      <w:r>
        <w:rPr>
          <w:bCs/>
          <w:color w:val="000000" w:themeColor="text1"/>
          <w:sz w:val="22"/>
          <w:szCs w:val="22"/>
        </w:rPr>
        <w:t>5</w:t>
      </w:r>
      <w:r w:rsidRPr="00395941">
        <w:rPr>
          <w:bCs/>
          <w:color w:val="000000" w:themeColor="text1"/>
          <w:sz w:val="22"/>
          <w:szCs w:val="22"/>
        </w:rPr>
        <w:t xml:space="preserve"> </w:t>
      </w:r>
      <w:r w:rsidRPr="00395941">
        <w:rPr>
          <w:color w:val="000000" w:themeColor="text1"/>
          <w:kern w:val="0"/>
          <w:sz w:val="22"/>
          <w:szCs w:val="22"/>
        </w:rPr>
        <w:t xml:space="preserve">The comparison of the TE mode impedance result calculated by the different lengths of </w:t>
      </w:r>
      <w:r>
        <w:rPr>
          <w:color w:val="000000" w:themeColor="text1"/>
          <w:kern w:val="0"/>
          <w:sz w:val="22"/>
          <w:szCs w:val="22"/>
        </w:rPr>
        <w:t>time-series</w:t>
      </w:r>
      <w:r w:rsidRPr="00395941">
        <w:rPr>
          <w:color w:val="000000" w:themeColor="text1"/>
          <w:kern w:val="0"/>
          <w:sz w:val="22"/>
          <w:szCs w:val="22"/>
        </w:rPr>
        <w:t xml:space="preserve"> at the period of 874-second.</w:t>
      </w:r>
      <w:r w:rsidRPr="00395941">
        <w:rPr>
          <w:rFonts w:hint="eastAsia"/>
          <w:color w:val="000000" w:themeColor="text1"/>
          <w:kern w:val="0"/>
          <w:sz w:val="22"/>
          <w:szCs w:val="22"/>
        </w:rPr>
        <w:t xml:space="preserve"> </w:t>
      </w:r>
      <w:r w:rsidRPr="00395941">
        <w:rPr>
          <w:color w:val="000000" w:themeColor="text1"/>
          <w:kern w:val="0"/>
          <w:sz w:val="22"/>
          <w:szCs w:val="22"/>
        </w:rPr>
        <w:t xml:space="preserve">The red dot line denotes the true model curves, which were calculated by the forward modeling. The horizontal axis </w:t>
      </w:r>
      <w:r>
        <w:rPr>
          <w:color w:val="000000" w:themeColor="text1"/>
          <w:kern w:val="0"/>
          <w:sz w:val="22"/>
          <w:szCs w:val="22"/>
        </w:rPr>
        <w:t>indica</w:t>
      </w:r>
      <w:r w:rsidRPr="00395941">
        <w:rPr>
          <w:color w:val="000000" w:themeColor="text1"/>
          <w:kern w:val="0"/>
          <w:sz w:val="22"/>
          <w:szCs w:val="22"/>
        </w:rPr>
        <w:t xml:space="preserve">tes the length of the </w:t>
      </w:r>
      <w:r>
        <w:rPr>
          <w:color w:val="000000" w:themeColor="text1"/>
          <w:kern w:val="0"/>
          <w:sz w:val="22"/>
          <w:szCs w:val="22"/>
        </w:rPr>
        <w:t>time-series</w:t>
      </w:r>
      <w:r w:rsidRPr="00395941">
        <w:rPr>
          <w:color w:val="000000" w:themeColor="text1"/>
          <w:kern w:val="0"/>
          <w:sz w:val="22"/>
          <w:szCs w:val="22"/>
        </w:rPr>
        <w:t>.</w:t>
      </w:r>
      <w:r w:rsidRPr="00395941">
        <w:rPr>
          <w:rFonts w:hint="eastAsia"/>
          <w:color w:val="000000" w:themeColor="text1"/>
          <w:kern w:val="0"/>
          <w:sz w:val="22"/>
          <w:szCs w:val="22"/>
        </w:rPr>
        <w:t xml:space="preserve"> </w:t>
      </w:r>
    </w:p>
    <w:p w14:paraId="5264447E" w14:textId="2AFB6ADC" w:rsidR="00635AAA" w:rsidRDefault="00E8519E" w:rsidP="00E80E77">
      <w:pPr>
        <w:ind w:firstLineChars="150" w:firstLine="360"/>
        <w:jc w:val="center"/>
        <w:rPr>
          <w:color w:val="000000" w:themeColor="text1"/>
          <w:kern w:val="0"/>
          <w:sz w:val="22"/>
          <w:szCs w:val="22"/>
        </w:rPr>
      </w:pPr>
      <w:r>
        <w:rPr>
          <w:noProof/>
        </w:rPr>
        <w:drawing>
          <wp:inline distT="0" distB="0" distL="0" distR="0" wp14:anchorId="4450BFD8" wp14:editId="30DED734">
            <wp:extent cx="4508125" cy="19987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125" cy="199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CD94A" w14:textId="317A7E9F" w:rsidR="00635AAA" w:rsidRPr="00E8519E" w:rsidRDefault="00E8519E" w:rsidP="00A71CE7">
      <w:pPr>
        <w:adjustRightInd w:val="0"/>
        <w:snapToGrid w:val="0"/>
        <w:rPr>
          <w:color w:val="000000" w:themeColor="text1"/>
          <w:kern w:val="0"/>
          <w:sz w:val="22"/>
          <w:szCs w:val="22"/>
        </w:rPr>
      </w:pPr>
      <w:r w:rsidRPr="00395941">
        <w:rPr>
          <w:color w:val="000000" w:themeColor="text1"/>
          <w:kern w:val="0"/>
          <w:sz w:val="22"/>
          <w:szCs w:val="22"/>
        </w:rPr>
        <w:t xml:space="preserve">Fig. </w:t>
      </w:r>
      <w:r>
        <w:rPr>
          <w:color w:val="000000" w:themeColor="text1"/>
          <w:kern w:val="0"/>
          <w:sz w:val="22"/>
          <w:szCs w:val="22"/>
        </w:rPr>
        <w:t>10</w:t>
      </w:r>
      <w:r w:rsidRPr="00395941">
        <w:rPr>
          <w:color w:val="000000" w:themeColor="text1"/>
          <w:kern w:val="0"/>
          <w:sz w:val="22"/>
          <w:szCs w:val="22"/>
        </w:rPr>
        <w:t xml:space="preserve"> The polarization direction for a period of 6</w:t>
      </w:r>
      <w:r>
        <w:rPr>
          <w:color w:val="000000" w:themeColor="text1"/>
          <w:kern w:val="0"/>
          <w:sz w:val="22"/>
          <w:szCs w:val="22"/>
        </w:rPr>
        <w:t>-</w:t>
      </w:r>
      <w:r w:rsidRPr="00395941">
        <w:rPr>
          <w:color w:val="000000" w:themeColor="text1"/>
          <w:kern w:val="0"/>
          <w:sz w:val="22"/>
          <w:szCs w:val="22"/>
        </w:rPr>
        <w:t xml:space="preserve">second at site L7158 from 3:00:00 to 22:00:00 in UCT time. The upper figure shows the </w:t>
      </w:r>
      <w:r>
        <w:rPr>
          <w:color w:val="000000" w:themeColor="text1"/>
          <w:kern w:val="0"/>
          <w:sz w:val="22"/>
          <w:szCs w:val="22"/>
        </w:rPr>
        <w:t>electric field's polarization directions</w:t>
      </w:r>
      <w:r w:rsidRPr="00395941">
        <w:rPr>
          <w:color w:val="000000" w:themeColor="text1"/>
          <w:kern w:val="0"/>
          <w:sz w:val="22"/>
          <w:szCs w:val="22"/>
        </w:rPr>
        <w:t>, and the lower is the polarization direction of the magnetic field.</w:t>
      </w:r>
    </w:p>
    <w:p w14:paraId="70FC52B2" w14:textId="5ED1E60F" w:rsidR="004C7E2F" w:rsidRDefault="00D53DAE" w:rsidP="00A71CE7">
      <w:pPr>
        <w:ind w:firstLineChars="150" w:firstLine="360"/>
        <w:jc w:val="center"/>
        <w:rPr>
          <w:color w:val="000000" w:themeColor="text1"/>
          <w:kern w:val="0"/>
          <w:sz w:val="22"/>
          <w:szCs w:val="22"/>
        </w:rPr>
      </w:pPr>
      <w:r>
        <w:rPr>
          <w:noProof/>
        </w:rPr>
        <w:drawing>
          <wp:inline distT="0" distB="0" distL="0" distR="0" wp14:anchorId="304B1035" wp14:editId="1A0B2D34">
            <wp:extent cx="4456073" cy="212331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073" cy="212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E89F4" w14:textId="43586750" w:rsidR="00CB5D85" w:rsidRPr="00A71CE7" w:rsidRDefault="00D53DAE" w:rsidP="00A71CE7">
      <w:pPr>
        <w:adjustRightInd w:val="0"/>
        <w:snapToGrid w:val="0"/>
        <w:ind w:right="-5"/>
        <w:rPr>
          <w:color w:val="000000" w:themeColor="text1"/>
          <w:kern w:val="0"/>
          <w:sz w:val="22"/>
          <w:szCs w:val="22"/>
        </w:rPr>
      </w:pPr>
      <w:r w:rsidRPr="00395941">
        <w:rPr>
          <w:color w:val="000000" w:themeColor="text1"/>
          <w:sz w:val="22"/>
          <w:szCs w:val="22"/>
        </w:rPr>
        <w:t>Fig. 1</w:t>
      </w:r>
      <w:r>
        <w:rPr>
          <w:color w:val="000000" w:themeColor="text1"/>
          <w:sz w:val="22"/>
          <w:szCs w:val="22"/>
        </w:rPr>
        <w:t>3</w:t>
      </w:r>
      <w:r w:rsidRPr="00395941">
        <w:rPr>
          <w:color w:val="000000" w:themeColor="text1"/>
          <w:sz w:val="22"/>
          <w:szCs w:val="22"/>
        </w:rPr>
        <w:t xml:space="preserve"> The magnetotelluric sounding curves</w:t>
      </w:r>
      <w:r w:rsidRPr="00395941">
        <w:rPr>
          <w:color w:val="000000" w:themeColor="text1"/>
          <w:kern w:val="0"/>
          <w:sz w:val="22"/>
          <w:szCs w:val="22"/>
        </w:rPr>
        <w:t xml:space="preserve"> calculated using the data at site Y0626. SSMT-2000 was used to calculate the blue curves using one-day data, RMHHT was used to calculate the black curves using the</w:t>
      </w:r>
      <w:r>
        <w:rPr>
          <w:color w:val="000000" w:themeColor="text1"/>
          <w:kern w:val="0"/>
          <w:sz w:val="22"/>
          <w:szCs w:val="22"/>
        </w:rPr>
        <w:t xml:space="preserve"> </w:t>
      </w:r>
      <w:r w:rsidRPr="00395941">
        <w:rPr>
          <w:color w:val="000000" w:themeColor="text1"/>
          <w:kern w:val="0"/>
          <w:sz w:val="22"/>
          <w:szCs w:val="22"/>
        </w:rPr>
        <w:t>night</w:t>
      </w:r>
      <w:r>
        <w:rPr>
          <w:color w:val="000000" w:themeColor="text1"/>
          <w:kern w:val="0"/>
          <w:sz w:val="22"/>
          <w:szCs w:val="22"/>
        </w:rPr>
        <w:t>time</w:t>
      </w:r>
      <w:r w:rsidRPr="00395941">
        <w:rPr>
          <w:color w:val="000000" w:themeColor="text1"/>
          <w:kern w:val="0"/>
          <w:sz w:val="22"/>
          <w:szCs w:val="22"/>
        </w:rPr>
        <w:t xml:space="preserve"> data from 16:00:00 to 20:00:00 in UTC on June 26 </w:t>
      </w:r>
      <w:r>
        <w:rPr>
          <w:color w:val="000000" w:themeColor="text1"/>
          <w:kern w:val="0"/>
          <w:sz w:val="22"/>
          <w:szCs w:val="22"/>
        </w:rPr>
        <w:t>and</w:t>
      </w:r>
      <w:r w:rsidRPr="00395941">
        <w:rPr>
          <w:color w:val="000000" w:themeColor="text1"/>
          <w:kern w:val="0"/>
          <w:sz w:val="22"/>
          <w:szCs w:val="22"/>
        </w:rPr>
        <w:t xml:space="preserve"> </w:t>
      </w:r>
      <w:r w:rsidRPr="001D27B7">
        <w:rPr>
          <w:color w:val="0070C0"/>
          <w:kern w:val="0"/>
          <w:sz w:val="22"/>
          <w:szCs w:val="22"/>
        </w:rPr>
        <w:t>the data of</w:t>
      </w:r>
      <w:r>
        <w:rPr>
          <w:color w:val="000000" w:themeColor="text1"/>
          <w:kern w:val="0"/>
          <w:sz w:val="22"/>
          <w:szCs w:val="22"/>
        </w:rPr>
        <w:t xml:space="preserve"> the </w:t>
      </w:r>
      <w:r w:rsidRPr="00395941">
        <w:rPr>
          <w:color w:val="000000" w:themeColor="text1"/>
          <w:kern w:val="0"/>
          <w:sz w:val="22"/>
          <w:szCs w:val="22"/>
        </w:rPr>
        <w:t>remote site</w:t>
      </w:r>
      <w:r>
        <w:rPr>
          <w:color w:val="000000" w:themeColor="text1"/>
          <w:kern w:val="0"/>
          <w:sz w:val="22"/>
          <w:szCs w:val="22"/>
        </w:rPr>
        <w:t xml:space="preserve"> </w:t>
      </w:r>
      <w:r w:rsidRPr="00395941">
        <w:rPr>
          <w:color w:val="000000" w:themeColor="text1"/>
          <w:kern w:val="0"/>
          <w:sz w:val="22"/>
          <w:szCs w:val="22"/>
        </w:rPr>
        <w:t xml:space="preserve">L7158. BIRRP was used to calculate the red curves using the </w:t>
      </w:r>
      <w:r>
        <w:rPr>
          <w:color w:val="000000" w:themeColor="text1"/>
          <w:kern w:val="0"/>
          <w:sz w:val="22"/>
          <w:szCs w:val="22"/>
        </w:rPr>
        <w:t>nighttime</w:t>
      </w:r>
      <w:r w:rsidRPr="00395941">
        <w:rPr>
          <w:color w:val="000000" w:themeColor="text1"/>
          <w:kern w:val="0"/>
          <w:sz w:val="22"/>
          <w:szCs w:val="22"/>
        </w:rPr>
        <w:t xml:space="preserve"> data from 16:00:00 to 20:00:00 in UTC on June 26.</w:t>
      </w:r>
    </w:p>
    <w:sectPr w:rsidR="00CB5D85" w:rsidRPr="00A71C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zNDA0MDY0MbawMDJU0lEKTi0uzszPAykwqQUAvdzwCywAAAA="/>
  </w:docVars>
  <w:rsids>
    <w:rsidRoot w:val="00530ACF"/>
    <w:rsid w:val="000C6FCA"/>
    <w:rsid w:val="001C3630"/>
    <w:rsid w:val="004C7E2F"/>
    <w:rsid w:val="00530ACF"/>
    <w:rsid w:val="0058675F"/>
    <w:rsid w:val="00635AAA"/>
    <w:rsid w:val="00770834"/>
    <w:rsid w:val="007B0A62"/>
    <w:rsid w:val="009B5FB9"/>
    <w:rsid w:val="00A71CE7"/>
    <w:rsid w:val="00C5764D"/>
    <w:rsid w:val="00CB5D85"/>
    <w:rsid w:val="00D53DAE"/>
    <w:rsid w:val="00E80E77"/>
    <w:rsid w:val="00E8519E"/>
    <w:rsid w:val="00FE07B9"/>
    <w:rsid w:val="00FE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6E9CB9"/>
  <w14:defaultImageDpi w14:val="32767"/>
  <w15:chartTrackingRefBased/>
  <w15:docId w15:val="{0857C369-33D6-452A-9FBD-DC6798436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D85"/>
    <w:pPr>
      <w:widowControl w:val="0"/>
      <w:jc w:val="both"/>
    </w:pPr>
    <w:rPr>
      <w:rFonts w:ascii="Times New Roman" w:eastAsia="MS Mincho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HAO</dc:creator>
  <cp:keywords/>
  <dc:description/>
  <cp:lastModifiedBy>CHEN HAO</cp:lastModifiedBy>
  <cp:revision>15</cp:revision>
  <dcterms:created xsi:type="dcterms:W3CDTF">2020-11-24T11:15:00Z</dcterms:created>
  <dcterms:modified xsi:type="dcterms:W3CDTF">2021-02-08T01:51:00Z</dcterms:modified>
</cp:coreProperties>
</file>