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Supplementary Information for Permittivity Boosting by Induced Strain from Local Doping in Titanates from First Principles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Alex Kutana, Yuho Shimano, Ryoji Asahi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The parent compound for substituted perovskites is a paraelectric calcium titanate CaTiO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(mineral perovskite) that crystallizes into an orthorhombic </w:t>
      </w:r>
      <w:r w:rsidDel="00000000" w:rsidR="00000000" w:rsidRPr="00000000">
        <w:rPr>
          <w:i w:val="1"/>
          <w:rtl w:val="0"/>
        </w:rPr>
        <w:t xml:space="preserve">Pnma</w:t>
      </w:r>
      <w:r w:rsidDel="00000000" w:rsidR="00000000" w:rsidRPr="00000000">
        <w:rPr>
          <w:rtl w:val="0"/>
        </w:rPr>
        <w:t xml:space="preserve"> (62) phase at low temperatures;</w:t>
      </w:r>
      <w:hyperlink r:id="rId6">
        <w:r w:rsidDel="00000000" w:rsidR="00000000" w:rsidRPr="00000000">
          <w:rPr>
            <w:vertAlign w:val="superscript"/>
            <w:rtl w:val="0"/>
          </w:rPr>
          <w:t xml:space="preserve">1</w:t>
        </w:r>
      </w:hyperlink>
      <w:r w:rsidDel="00000000" w:rsidR="00000000" w:rsidRPr="00000000">
        <w:rPr>
          <w:rtl w:val="0"/>
        </w:rPr>
        <w:t xml:space="preserve"> the observed high temperature phases include tetragonal </w:t>
      </w:r>
      <w:r w:rsidDel="00000000" w:rsidR="00000000" w:rsidRPr="00000000">
        <w:rPr>
          <w:i w:val="1"/>
          <w:rtl w:val="0"/>
        </w:rPr>
        <w:t xml:space="preserve">I</w:t>
      </w:r>
      <w:r w:rsidDel="00000000" w:rsidR="00000000" w:rsidRPr="00000000">
        <w:rPr>
          <w:rtl w:val="0"/>
        </w:rPr>
        <w:t xml:space="preserve">4/</w:t>
      </w:r>
      <w:r w:rsidDel="00000000" w:rsidR="00000000" w:rsidRPr="00000000">
        <w:rPr>
          <w:i w:val="1"/>
          <w:rtl w:val="0"/>
        </w:rPr>
        <w:t xml:space="preserve">mcm</w:t>
      </w:r>
      <w:r w:rsidDel="00000000" w:rsidR="00000000" w:rsidRPr="00000000">
        <w:rPr>
          <w:rtl w:val="0"/>
        </w:rPr>
        <w:t xml:space="preserve"> (140), and a cubic </w:t>
      </w:r>
      <w:r w:rsidDel="00000000" w:rsidR="00000000" w:rsidRPr="00000000">
        <w:rPr>
          <w:i w:val="1"/>
          <w:rtl w:val="0"/>
        </w:rPr>
        <w:t xml:space="preserve">Pm</w:t>
      </w:r>
      <m:oMath>
        <m:bar>
          <m:barPr>
            <m:pos/>
            <m:ctrlPr>
              <w:rPr/>
            </m:ctrlPr>
          </m:barPr>
          <m:e>
            <m:r>
              <w:rPr/>
              <m:t xml:space="preserve">3</m:t>
            </m:r>
          </m:e>
        </m:bar>
      </m:oMath>
      <w:r w:rsidDel="00000000" w:rsidR="00000000" w:rsidRPr="00000000">
        <w:rPr>
          <w:i w:val="1"/>
          <w:rtl w:val="0"/>
        </w:rPr>
        <w:t xml:space="preserve">m</w:t>
      </w:r>
      <w:r w:rsidDel="00000000" w:rsidR="00000000" w:rsidRPr="00000000">
        <w:rPr>
          <w:rtl w:val="0"/>
        </w:rPr>
        <w:t xml:space="preserve"> (221) phase for T&gt;1580 K.</w:t>
      </w:r>
      <w:hyperlink r:id="rId7">
        <w:r w:rsidDel="00000000" w:rsidR="00000000" w:rsidRPr="00000000">
          <w:rPr>
            <w:vertAlign w:val="superscript"/>
            <w:rtl w:val="0"/>
          </w:rPr>
          <w:t xml:space="preserve">2,3</w:t>
        </w:r>
      </w:hyperlink>
      <w:r w:rsidDel="00000000" w:rsidR="00000000" w:rsidRPr="00000000">
        <w:rPr>
          <w:rtl w:val="0"/>
        </w:rPr>
        <w:t xml:space="preserve"> The breaking of the ideal cubic </w:t>
      </w:r>
      <w:r w:rsidDel="00000000" w:rsidR="00000000" w:rsidRPr="00000000">
        <w:rPr>
          <w:i w:val="1"/>
          <w:rtl w:val="0"/>
        </w:rPr>
        <w:t xml:space="preserve">Pm</w:t>
      </w:r>
      <m:oMath>
        <m:bar>
          <m:barPr>
            <m:pos/>
            <m:ctrlPr>
              <w:rPr/>
            </m:ctrlPr>
          </m:barPr>
          <m:e>
            <m:r>
              <w:rPr/>
              <m:t xml:space="preserve">3</m:t>
            </m:r>
          </m:e>
        </m:bar>
      </m:oMath>
      <w:r w:rsidDel="00000000" w:rsidR="00000000" w:rsidRPr="00000000">
        <w:rPr>
          <w:i w:val="1"/>
          <w:rtl w:val="0"/>
        </w:rPr>
        <w:t xml:space="preserve">m</w:t>
      </w:r>
      <w:r w:rsidDel="00000000" w:rsidR="00000000" w:rsidRPr="00000000">
        <w:rPr>
          <w:rtl w:val="0"/>
        </w:rPr>
        <w:t xml:space="preserve"> symmetry occurs by a</w:t>
      </w:r>
      <w:r w:rsidDel="00000000" w:rsidR="00000000" w:rsidRPr="00000000">
        <w:rPr>
          <w:rFonts w:ascii="Arial Unicode MS" w:cs="Arial Unicode MS" w:eastAsia="Arial Unicode MS" w:hAnsi="Arial Unicode MS"/>
          <w:vertAlign w:val="superscript"/>
          <w:rtl w:val="0"/>
        </w:rPr>
        <w:t xml:space="preserve">−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Arial Unicode MS" w:cs="Arial Unicode MS" w:eastAsia="Arial Unicode MS" w:hAnsi="Arial Unicode MS"/>
          <w:vertAlign w:val="superscript"/>
          <w:rtl w:val="0"/>
        </w:rPr>
        <w:t xml:space="preserve">−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vertAlign w:val="superscript"/>
          <w:rtl w:val="0"/>
        </w:rPr>
        <w:t xml:space="preserve">+</w:t>
      </w:r>
      <w:r w:rsidDel="00000000" w:rsidR="00000000" w:rsidRPr="00000000">
        <w:rPr>
          <w:rtl w:val="0"/>
        </w:rPr>
        <w:t xml:space="preserve"> tilting of the TiO</w:t>
      </w:r>
      <w:r w:rsidDel="00000000" w:rsidR="00000000" w:rsidRPr="00000000">
        <w:rPr>
          <w:vertAlign w:val="subscript"/>
          <w:rtl w:val="0"/>
        </w:rPr>
        <w:t xml:space="preserve">6</w:t>
      </w:r>
      <w:r w:rsidDel="00000000" w:rsidR="00000000" w:rsidRPr="00000000">
        <w:rPr>
          <w:rtl w:val="0"/>
        </w:rPr>
        <w:t xml:space="preserve"> octahedra. Our calculated average ionic dielectric constant for this material at PBEsol lattice constant is 124, in the range of previously reported theoretical values</w:t>
      </w:r>
      <w:hyperlink r:id="rId8">
        <w:r w:rsidDel="00000000" w:rsidR="00000000" w:rsidRPr="00000000">
          <w:rPr>
            <w:vertAlign w:val="superscript"/>
            <w:rtl w:val="0"/>
          </w:rPr>
          <w:t xml:space="preserve">4</w:t>
        </w:r>
      </w:hyperlink>
      <w:r w:rsidDel="00000000" w:rsidR="00000000" w:rsidRPr="00000000">
        <w:rPr>
          <w:rtl w:val="0"/>
        </w:rPr>
        <w:t xml:space="preserve"> ~93-268, which varied depending on whether a theoretical (LDA) or experimental value of the lattice constant was used. The Ruddlesden-Popper phases</w:t>
      </w:r>
      <w:hyperlink r:id="rId9">
        <w:r w:rsidDel="00000000" w:rsidR="00000000" w:rsidRPr="00000000">
          <w:rPr>
            <w:vertAlign w:val="superscript"/>
            <w:rtl w:val="0"/>
          </w:rPr>
          <w:t xml:space="preserve">5,6</w:t>
        </w:r>
      </w:hyperlink>
      <w:r w:rsidDel="00000000" w:rsidR="00000000" w:rsidRPr="00000000">
        <w:rPr>
          <w:rtl w:val="0"/>
        </w:rPr>
        <w:t xml:space="preserve"> Sr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TiO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 and Sr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Ti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7</w:t>
      </w:r>
      <w:r w:rsidDel="00000000" w:rsidR="00000000" w:rsidRPr="00000000">
        <w:rPr>
          <w:rtl w:val="0"/>
        </w:rPr>
        <w:t xml:space="preserve"> have the I4/mmm (139) symmetry, and TiO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rutile has the P4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/mnm (136) symmetry.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3100388" cy="2897083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428" l="0" r="0" t="428"/>
                    <a:stretch>
                      <a:fillRect/>
                    </a:stretch>
                  </pic:blipFill>
                  <pic:spPr>
                    <a:xfrm>
                      <a:off x="0" y="0"/>
                      <a:ext cx="3100388" cy="28970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Figure S1. Ionic part of the dielectric constant, </w:t>
      </w:r>
      <w:r w:rsidDel="00000000" w:rsidR="00000000" w:rsidRPr="00000000">
        <w:rPr>
          <w:i w:val="1"/>
          <w:rtl w:val="0"/>
        </w:rPr>
        <w:t xml:space="preserve">ε</w:t>
      </w:r>
      <w:r w:rsidDel="00000000" w:rsidR="00000000" w:rsidRPr="00000000">
        <w:rPr>
          <w:vertAlign w:val="subscript"/>
          <w:rtl w:val="0"/>
        </w:rPr>
        <w:t xml:space="preserve">ion</w:t>
      </w:r>
      <w:r w:rsidDel="00000000" w:rsidR="00000000" w:rsidRPr="00000000">
        <w:rPr>
          <w:rtl w:val="0"/>
        </w:rPr>
        <w:t xml:space="preserve">, as a function of max(d</w:t>
      </w:r>
      <w:r w:rsidDel="00000000" w:rsidR="00000000" w:rsidRPr="00000000">
        <w:rPr>
          <w:vertAlign w:val="subscript"/>
          <w:rtl w:val="0"/>
        </w:rPr>
        <w:t xml:space="preserve">Ti-O</w:t>
      </w:r>
      <w:r w:rsidDel="00000000" w:rsidR="00000000" w:rsidRPr="00000000">
        <w:rPr>
          <w:rtl w:val="0"/>
        </w:rPr>
        <w:t xml:space="preserve">), the maximum length of the Ti-O bond in co-doped TiO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rutile. The vertical line at max(</w:t>
      </w:r>
      <w:r w:rsidDel="00000000" w:rsidR="00000000" w:rsidRPr="00000000">
        <w:rPr>
          <w:i w:val="1"/>
          <w:rtl w:val="0"/>
        </w:rPr>
        <w:t xml:space="preserve">d</w:t>
      </w:r>
      <w:r w:rsidDel="00000000" w:rsidR="00000000" w:rsidRPr="00000000">
        <w:rPr>
          <w:vertAlign w:val="subscript"/>
          <w:rtl w:val="0"/>
        </w:rPr>
        <w:t xml:space="preserve">Ti–O</w:t>
      </w:r>
      <w:r w:rsidDel="00000000" w:rsidR="00000000" w:rsidRPr="00000000">
        <w:rPr>
          <w:rtl w:val="0"/>
        </w:rPr>
        <w:t xml:space="preserve">)=2.036 Å is drawn to guide the eye.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3633788" cy="3633788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3788" cy="3633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Figure S2. ε</w:t>
      </w:r>
      <w:r w:rsidDel="00000000" w:rsidR="00000000" w:rsidRPr="00000000">
        <w:rPr>
          <w:vertAlign w:val="subscript"/>
          <w:rtl w:val="0"/>
        </w:rPr>
        <w:t xml:space="preserve">ion</w:t>
      </w:r>
      <w:r w:rsidDel="00000000" w:rsidR="00000000" w:rsidRPr="00000000">
        <w:rPr>
          <w:rtl w:val="0"/>
        </w:rPr>
        <w:t xml:space="preserve"> of TiO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rutile as a function of uniaxial and uniform strain.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3662363" cy="367997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62363" cy="36799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Figure S3. ε</w:t>
      </w:r>
      <w:r w:rsidDel="00000000" w:rsidR="00000000" w:rsidRPr="00000000">
        <w:rPr>
          <w:vertAlign w:val="subscript"/>
          <w:rtl w:val="0"/>
        </w:rPr>
        <w:t xml:space="preserve">ion</w:t>
      </w:r>
      <w:r w:rsidDel="00000000" w:rsidR="00000000" w:rsidRPr="00000000">
        <w:rPr>
          <w:rtl w:val="0"/>
        </w:rPr>
        <w:t xml:space="preserve"> of SiO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SnO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rutile structures as a function of uniaxial and uniform strain.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Table S1. Phonon modes of Pnma CaTiO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contributing to dielectric constant.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</w:p>
    <w:tbl>
      <w:tblPr>
        <w:tblStyle w:val="Table1"/>
        <w:tblW w:w="59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485"/>
        <w:gridCol w:w="1485"/>
        <w:gridCol w:w="1485"/>
        <w:gridCol w:w="1485"/>
        <w:tblGridChange w:id="0">
          <w:tblGrid>
            <w:gridCol w:w="1485"/>
            <w:gridCol w:w="1485"/>
            <w:gridCol w:w="1485"/>
            <w:gridCol w:w="1485"/>
          </w:tblGrid>
        </w:tblGridChange>
      </w:tblGrid>
      <w:tr>
        <w:trPr>
          <w:cantSplit w:val="0"/>
          <w:trHeight w:val="485.9252929687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ν (THz)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  <w:t xml:space="preserve">ε</w:t>
            </w:r>
            <w:r w:rsidDel="00000000" w:rsidR="00000000" w:rsidRPr="00000000">
              <w:rPr>
                <w:vertAlign w:val="subscript"/>
                <w:rtl w:val="0"/>
              </w:rPr>
              <w:t xml:space="preserve">partial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mode #</w:t>
            </w:r>
          </w:p>
        </w:tc>
      </w:tr>
      <w:tr>
        <w:trPr>
          <w:cantSplit w:val="0"/>
          <w:trHeight w:val="240.92529296875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εxx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.9252929687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3.828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109.1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5.026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19.9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6.379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εyy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4.021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96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5.222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24.1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9.172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31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15.56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53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εzz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3.599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22.4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4.432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55.0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5.668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26.3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15.90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55</w:t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Table S2. Ionic part of the dielectric tensor in substituted and co-doped titanates shown in Fig. 2.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</w:p>
    <w:tbl>
      <w:tblPr>
        <w:tblStyle w:val="Table2"/>
        <w:tblW w:w="68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05"/>
        <w:gridCol w:w="1500"/>
        <w:gridCol w:w="1620"/>
        <w:gridCol w:w="1515"/>
        <w:tblGridChange w:id="0">
          <w:tblGrid>
            <w:gridCol w:w="2205"/>
            <w:gridCol w:w="1500"/>
            <w:gridCol w:w="1620"/>
            <w:gridCol w:w="1515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compound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ε</w:t>
            </w:r>
            <w:r w:rsidDel="00000000" w:rsidR="00000000" w:rsidRPr="00000000">
              <w:rPr>
                <w:i w:val="1"/>
                <w:vertAlign w:val="subscript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ε</w:t>
            </w:r>
            <w:r w:rsidDel="00000000" w:rsidR="00000000" w:rsidRPr="00000000">
              <w:rPr>
                <w:i w:val="1"/>
                <w:vertAlign w:val="subscript"/>
                <w:rtl w:val="0"/>
              </w:rPr>
              <w:t xml:space="preserve">yy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ε</w:t>
            </w:r>
            <w:r w:rsidDel="00000000" w:rsidR="00000000" w:rsidRPr="00000000">
              <w:rPr>
                <w:vertAlign w:val="subscript"/>
                <w:rtl w:val="0"/>
              </w:rPr>
              <w:t xml:space="preserve">zz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CaTiO</w:t>
            </w:r>
            <w:r w:rsidDel="00000000" w:rsidR="00000000" w:rsidRPr="00000000">
              <w:rPr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136.0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126.9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108.2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Sr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Ti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697.0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407.2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9015.2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Ca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Ti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  <w:t xml:space="preserve"> (α)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92.8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53.4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1228.7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Ca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Ti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  <w:t xml:space="preserve"> (β)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105.1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432.5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564.2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BaCa</w:t>
            </w:r>
            <w:r w:rsidDel="00000000" w:rsidR="00000000" w:rsidRPr="00000000">
              <w:rPr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Ti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175.4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186.3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252.4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Ti</w:t>
            </w:r>
            <w:r w:rsidDel="00000000" w:rsidR="00000000" w:rsidRPr="00000000">
              <w:rPr>
                <w:vertAlign w:val="subscript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InNbO</w:t>
            </w:r>
            <w:r w:rsidDel="00000000" w:rsidR="00000000" w:rsidRPr="00000000">
              <w:rPr>
                <w:vertAlign w:val="subscript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213.4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106.6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2767.9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Ti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125.8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125.8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169.0</w:t>
            </w:r>
          </w:p>
        </w:tc>
      </w:tr>
    </w:tbl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Table S3. Born effective charges </w:t>
      </w:r>
      <w:r w:rsidDel="00000000" w:rsidR="00000000" w:rsidRPr="00000000">
        <w:rPr>
          <w:i w:val="1"/>
          <w:rtl w:val="0"/>
        </w:rPr>
        <w:t xml:space="preserve">Z</w:t>
      </w: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i w:val="1"/>
          <w:vertAlign w:val="subscript"/>
          <w:rtl w:val="0"/>
        </w:rPr>
        <w:t xml:space="preserve">κ</w:t>
      </w:r>
      <w:r w:rsidDel="00000000" w:rsidR="00000000" w:rsidRPr="00000000">
        <w:rPr>
          <w:vertAlign w:val="subscript"/>
          <w:rtl w:val="0"/>
        </w:rPr>
        <w:t xml:space="preserve">,</w:t>
      </w:r>
      <w:r w:rsidDel="00000000" w:rsidR="00000000" w:rsidRPr="00000000">
        <w:rPr>
          <w:i w:val="1"/>
          <w:vertAlign w:val="subscript"/>
          <w:rtl w:val="0"/>
        </w:rPr>
        <w:t xml:space="preserve">zz</w:t>
      </w:r>
      <w:r w:rsidDel="00000000" w:rsidR="00000000" w:rsidRPr="00000000">
        <w:rPr>
          <w:rtl w:val="0"/>
        </w:rPr>
        <w:t xml:space="preserve"> in Ba</w:t>
      </w:r>
      <w:r w:rsidDel="00000000" w:rsidR="00000000" w:rsidRPr="00000000">
        <w:rPr>
          <w:i w:val="1"/>
          <w:vertAlign w:val="subscript"/>
          <w:rtl w:val="0"/>
        </w:rPr>
        <w:t xml:space="preserve">x</w:t>
      </w:r>
      <w:r w:rsidDel="00000000" w:rsidR="00000000" w:rsidRPr="00000000">
        <w:rPr>
          <w:rtl w:val="0"/>
        </w:rPr>
        <w:t xml:space="preserve">Sr</w:t>
      </w:r>
      <w:r w:rsidDel="00000000" w:rsidR="00000000" w:rsidRPr="00000000">
        <w:rPr>
          <w:i w:val="1"/>
          <w:vertAlign w:val="subscript"/>
          <w:rtl w:val="0"/>
        </w:rPr>
        <w:t xml:space="preserve">y</w:t>
      </w:r>
      <w:r w:rsidDel="00000000" w:rsidR="00000000" w:rsidRPr="00000000">
        <w:rPr>
          <w:rtl w:val="0"/>
        </w:rPr>
        <w:t xml:space="preserve">Ca</w:t>
      </w:r>
      <w:r w:rsidDel="00000000" w:rsidR="00000000" w:rsidRPr="00000000">
        <w:rPr>
          <w:rFonts w:ascii="Arial Unicode MS" w:cs="Arial Unicode MS" w:eastAsia="Arial Unicode MS" w:hAnsi="Arial Unicode MS"/>
          <w:vertAlign w:val="subscript"/>
          <w:rtl w:val="0"/>
        </w:rPr>
        <w:t xml:space="preserve">1−</w:t>
      </w:r>
      <w:r w:rsidDel="00000000" w:rsidR="00000000" w:rsidRPr="00000000">
        <w:rPr>
          <w:i w:val="1"/>
          <w:vertAlign w:val="subscript"/>
          <w:rtl w:val="0"/>
        </w:rPr>
        <w:t xml:space="preserve">x</w:t>
      </w:r>
      <w:r w:rsidDel="00000000" w:rsidR="00000000" w:rsidRPr="00000000">
        <w:rPr>
          <w:rFonts w:ascii="Arial Unicode MS" w:cs="Arial Unicode MS" w:eastAsia="Arial Unicode MS" w:hAnsi="Arial Unicode MS"/>
          <w:vertAlign w:val="subscript"/>
          <w:rtl w:val="0"/>
        </w:rPr>
        <w:t xml:space="preserve">−</w:t>
      </w:r>
      <w:r w:rsidDel="00000000" w:rsidR="00000000" w:rsidRPr="00000000">
        <w:rPr>
          <w:i w:val="1"/>
          <w:vertAlign w:val="subscript"/>
          <w:rtl w:val="0"/>
        </w:rPr>
        <w:t xml:space="preserve">y</w:t>
      </w:r>
      <w:r w:rsidDel="00000000" w:rsidR="00000000" w:rsidRPr="00000000">
        <w:rPr>
          <w:rtl w:val="0"/>
        </w:rPr>
        <w:t xml:space="preserve">TiO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. O</w:t>
      </w:r>
      <w:r w:rsidDel="00000000" w:rsidR="00000000" w:rsidRPr="00000000">
        <w:rPr>
          <w:vertAlign w:val="sub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atoms are part of Ti-O chains aligned with the </w:t>
      </w:r>
      <w:r w:rsidDel="00000000" w:rsidR="00000000" w:rsidRPr="00000000">
        <w:rPr>
          <w:i w:val="1"/>
          <w:rtl w:val="0"/>
        </w:rPr>
        <w:t xml:space="preserve">z</w:t>
      </w:r>
      <w:r w:rsidDel="00000000" w:rsidR="00000000" w:rsidRPr="00000000">
        <w:rPr>
          <w:rtl w:val="0"/>
        </w:rPr>
        <w:t xml:space="preserve"> axis, 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atoms are part of other Ti-O chains. For symmetry </w:t>
      </w:r>
      <w:r w:rsidDel="00000000" w:rsidR="00000000" w:rsidRPr="00000000">
        <w:rPr>
          <w:rtl w:val="0"/>
        </w:rPr>
        <w:t xml:space="preserve">inequivalent</w:t>
      </w:r>
      <w:r w:rsidDel="00000000" w:rsidR="00000000" w:rsidRPr="00000000">
        <w:rPr>
          <w:rtl w:val="0"/>
        </w:rPr>
        <w:t xml:space="preserve"> atoms in substituted structures, maximum value is taken.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</w:r>
    </w:p>
    <w:tbl>
      <w:tblPr>
        <w:tblStyle w:val="Table3"/>
        <w:tblW w:w="9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00"/>
        <w:gridCol w:w="965.0000000000001"/>
        <w:gridCol w:w="965.0000000000001"/>
        <w:gridCol w:w="965.0000000000001"/>
        <w:gridCol w:w="1400"/>
        <w:gridCol w:w="1400"/>
        <w:gridCol w:w="1400"/>
        <w:tblGridChange w:id="0">
          <w:tblGrid>
            <w:gridCol w:w="2200"/>
            <w:gridCol w:w="965.0000000000001"/>
            <w:gridCol w:w="965.0000000000001"/>
            <w:gridCol w:w="965.0000000000001"/>
            <w:gridCol w:w="1400"/>
            <w:gridCol w:w="1400"/>
            <w:gridCol w:w="14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  <w:t xml:space="preserve">CaTiO</w:t>
            </w:r>
            <w:r w:rsidDel="00000000" w:rsidR="00000000" w:rsidRPr="00000000">
              <w:rPr>
                <w:vertAlign w:val="subscript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7.32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-5.76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-1.97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Sr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Ti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7.69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-6.35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-2.09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Ca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Ti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  <w:t xml:space="preserve"> (α)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2.51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2.62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7.30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-6.12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-2.06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Ca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Ti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  <w:t xml:space="preserve"> (β)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2.51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7.57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-6.16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-2.11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  <w:t xml:space="preserve">BaCa</w:t>
            </w:r>
            <w:r w:rsidDel="00000000" w:rsidR="00000000" w:rsidRPr="00000000">
              <w:rPr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Ti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2.46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2.66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7.41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-6.14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-2.07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rPr>
                <w:vertAlign w:val="subscript"/>
              </w:rPr>
            </w:pPr>
            <w:r w:rsidDel="00000000" w:rsidR="00000000" w:rsidRPr="00000000">
              <w:rPr>
                <w:rtl w:val="0"/>
              </w:rPr>
              <w:t xml:space="preserve">BaTiO</w:t>
            </w:r>
            <w:r w:rsidDel="00000000" w:rsidR="00000000" w:rsidRPr="00000000">
              <w:rPr>
                <w:vertAlign w:val="subscript"/>
                <w:rtl w:val="0"/>
              </w:rPr>
              <w:t xml:space="preserve">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–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2.72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7.74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-6.16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-2.15</w:t>
            </w:r>
          </w:p>
        </w:tc>
      </w:tr>
    </w:tbl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Table S4. U values used for Hubbard correction applied to </w:t>
      </w:r>
      <w:r w:rsidDel="00000000" w:rsidR="00000000" w:rsidRPr="00000000">
        <w:rPr>
          <w:i w:val="1"/>
          <w:rtl w:val="0"/>
        </w:rPr>
        <w:t xml:space="preserve">d</w:t>
      </w:r>
      <w:r w:rsidDel="00000000" w:rsidR="00000000" w:rsidRPr="00000000">
        <w:rPr>
          <w:rtl w:val="0"/>
        </w:rPr>
        <w:t xml:space="preserve"> electrons.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9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5"/>
        <w:gridCol w:w="405"/>
        <w:gridCol w:w="525"/>
        <w:gridCol w:w="450"/>
        <w:gridCol w:w="510"/>
        <w:gridCol w:w="540"/>
        <w:gridCol w:w="450"/>
        <w:gridCol w:w="435"/>
        <w:gridCol w:w="510"/>
        <w:gridCol w:w="510"/>
        <w:gridCol w:w="465"/>
        <w:gridCol w:w="480"/>
        <w:gridCol w:w="510"/>
        <w:gridCol w:w="570"/>
        <w:gridCol w:w="585"/>
        <w:gridCol w:w="585"/>
        <w:gridCol w:w="585"/>
        <w:tblGridChange w:id="0">
          <w:tblGrid>
            <w:gridCol w:w="855"/>
            <w:gridCol w:w="405"/>
            <w:gridCol w:w="525"/>
            <w:gridCol w:w="450"/>
            <w:gridCol w:w="510"/>
            <w:gridCol w:w="540"/>
            <w:gridCol w:w="450"/>
            <w:gridCol w:w="435"/>
            <w:gridCol w:w="510"/>
            <w:gridCol w:w="510"/>
            <w:gridCol w:w="465"/>
            <w:gridCol w:w="480"/>
            <w:gridCol w:w="510"/>
            <w:gridCol w:w="570"/>
            <w:gridCol w:w="585"/>
            <w:gridCol w:w="585"/>
            <w:gridCol w:w="5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 (eV)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3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5"/>
        <w:gridCol w:w="585"/>
        <w:gridCol w:w="540"/>
        <w:gridCol w:w="510"/>
        <w:gridCol w:w="540"/>
        <w:gridCol w:w="630"/>
        <w:tblGridChange w:id="0">
          <w:tblGrid>
            <w:gridCol w:w="855"/>
            <w:gridCol w:w="585"/>
            <w:gridCol w:w="540"/>
            <w:gridCol w:w="510"/>
            <w:gridCol w:w="540"/>
            <w:gridCol w:w="6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Pb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 (eV)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The atomic structures and calculated properties are provided in json format.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References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4.00000000000006" w:right="0" w:hanging="384.00000000000006"/>
        <w:jc w:val="left"/>
        <w:rPr/>
      </w:pPr>
      <w:hyperlink r:id="rId13">
        <w:r w:rsidDel="00000000" w:rsidR="00000000" w:rsidRPr="00000000">
          <w:rPr>
            <w:vertAlign w:val="baseline"/>
            <w:rtl w:val="0"/>
          </w:rPr>
          <w:t xml:space="preserve">(1)</w:t>
          <w:tab/>
          <w:t xml:space="preserve">Kay, H. F.; Bailey, P. C. Structure and Properties of CaTiO3. </w:t>
        </w:r>
      </w:hyperlink>
      <w:hyperlink r:id="rId14">
        <w:r w:rsidDel="00000000" w:rsidR="00000000" w:rsidRPr="00000000">
          <w:rPr>
            <w:i w:val="1"/>
            <w:vertAlign w:val="baseline"/>
            <w:rtl w:val="0"/>
          </w:rPr>
          <w:t xml:space="preserve">Acta Crystallogr. </w:t>
        </w:r>
      </w:hyperlink>
      <w:hyperlink r:id="rId15">
        <w:r w:rsidDel="00000000" w:rsidR="00000000" w:rsidRPr="00000000">
          <w:rPr>
            <w:b w:val="1"/>
            <w:vertAlign w:val="baseline"/>
            <w:rtl w:val="0"/>
          </w:rPr>
          <w:t xml:space="preserve">1957</w:t>
        </w:r>
      </w:hyperlink>
      <w:hyperlink r:id="rId16">
        <w:r w:rsidDel="00000000" w:rsidR="00000000" w:rsidRPr="00000000">
          <w:rPr>
            <w:vertAlign w:val="baseline"/>
            <w:rtl w:val="0"/>
          </w:rPr>
          <w:t xml:space="preserve">, </w:t>
        </w:r>
      </w:hyperlink>
      <w:hyperlink r:id="rId17">
        <w:r w:rsidDel="00000000" w:rsidR="00000000" w:rsidRPr="00000000">
          <w:rPr>
            <w:i w:val="1"/>
            <w:vertAlign w:val="baseline"/>
            <w:rtl w:val="0"/>
          </w:rPr>
          <w:t xml:space="preserve">10</w:t>
        </w:r>
      </w:hyperlink>
      <w:hyperlink r:id="rId18">
        <w:r w:rsidDel="00000000" w:rsidR="00000000" w:rsidRPr="00000000">
          <w:rPr>
            <w:vertAlign w:val="baseline"/>
            <w:rtl w:val="0"/>
          </w:rPr>
          <w:t xml:space="preserve"> (3), 219–226. https://doi.org/10.1107/S0365110X57000675.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4.00000000000006" w:right="0" w:hanging="384.00000000000006"/>
        <w:jc w:val="left"/>
        <w:rPr/>
      </w:pPr>
      <w:hyperlink r:id="rId19">
        <w:r w:rsidDel="00000000" w:rsidR="00000000" w:rsidRPr="00000000">
          <w:rPr>
            <w:vertAlign w:val="baseline"/>
            <w:rtl w:val="0"/>
          </w:rPr>
          <w:t xml:space="preserve">(2)</w:t>
          <w:tab/>
          <w:t xml:space="preserve">Kennedy, B. J.; Howard, C. J.; Chakoumakos, B. C. Phase Transitions in Perovskite at Elevated Temperatures - a Powder Neutron Diffraction Study. </w:t>
        </w:r>
      </w:hyperlink>
      <w:hyperlink r:id="rId20">
        <w:r w:rsidDel="00000000" w:rsidR="00000000" w:rsidRPr="00000000">
          <w:rPr>
            <w:i w:val="1"/>
            <w:vertAlign w:val="baseline"/>
            <w:rtl w:val="0"/>
          </w:rPr>
          <w:t xml:space="preserve">J. Phys. Condens. Matter </w:t>
        </w:r>
      </w:hyperlink>
      <w:hyperlink r:id="rId21">
        <w:r w:rsidDel="00000000" w:rsidR="00000000" w:rsidRPr="00000000">
          <w:rPr>
            <w:b w:val="1"/>
            <w:vertAlign w:val="baseline"/>
            <w:rtl w:val="0"/>
          </w:rPr>
          <w:t xml:space="preserve">1999</w:t>
        </w:r>
      </w:hyperlink>
      <w:hyperlink r:id="rId22">
        <w:r w:rsidDel="00000000" w:rsidR="00000000" w:rsidRPr="00000000">
          <w:rPr>
            <w:vertAlign w:val="baseline"/>
            <w:rtl w:val="0"/>
          </w:rPr>
          <w:t xml:space="preserve">, </w:t>
        </w:r>
      </w:hyperlink>
      <w:hyperlink r:id="rId23">
        <w:r w:rsidDel="00000000" w:rsidR="00000000" w:rsidRPr="00000000">
          <w:rPr>
            <w:i w:val="1"/>
            <w:vertAlign w:val="baseline"/>
            <w:rtl w:val="0"/>
          </w:rPr>
          <w:t xml:space="preserve">11</w:t>
        </w:r>
      </w:hyperlink>
      <w:hyperlink r:id="rId24">
        <w:r w:rsidDel="00000000" w:rsidR="00000000" w:rsidRPr="00000000">
          <w:rPr>
            <w:vertAlign w:val="baseline"/>
            <w:rtl w:val="0"/>
          </w:rPr>
          <w:t xml:space="preserve"> (6), 1479–1488. https://doi.org/10.1088/0953-8984/11/6/012.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4.00000000000006" w:right="0" w:hanging="384.00000000000006"/>
        <w:jc w:val="left"/>
        <w:rPr/>
      </w:pPr>
      <w:hyperlink r:id="rId25">
        <w:r w:rsidDel="00000000" w:rsidR="00000000" w:rsidRPr="00000000">
          <w:rPr>
            <w:vertAlign w:val="baseline"/>
            <w:rtl w:val="0"/>
          </w:rPr>
          <w:t xml:space="preserve">(3)</w:t>
          <w:tab/>
          <w:t xml:space="preserve">Yashima, M.; Ali, R. Structural Phase Transition and Octahedral Tilting in the Calcium Titanate Perovskite CaTiO3. </w:t>
        </w:r>
      </w:hyperlink>
      <w:hyperlink r:id="rId26">
        <w:r w:rsidDel="00000000" w:rsidR="00000000" w:rsidRPr="00000000">
          <w:rPr>
            <w:i w:val="1"/>
            <w:vertAlign w:val="baseline"/>
            <w:rtl w:val="0"/>
          </w:rPr>
          <w:t xml:space="preserve">Solid State Ion. </w:t>
        </w:r>
      </w:hyperlink>
      <w:hyperlink r:id="rId27">
        <w:r w:rsidDel="00000000" w:rsidR="00000000" w:rsidRPr="00000000">
          <w:rPr>
            <w:b w:val="1"/>
            <w:vertAlign w:val="baseline"/>
            <w:rtl w:val="0"/>
          </w:rPr>
          <w:t xml:space="preserve">2009</w:t>
        </w:r>
      </w:hyperlink>
      <w:hyperlink r:id="rId28">
        <w:r w:rsidDel="00000000" w:rsidR="00000000" w:rsidRPr="00000000">
          <w:rPr>
            <w:vertAlign w:val="baseline"/>
            <w:rtl w:val="0"/>
          </w:rPr>
          <w:t xml:space="preserve">, </w:t>
        </w:r>
      </w:hyperlink>
      <w:hyperlink r:id="rId29">
        <w:r w:rsidDel="00000000" w:rsidR="00000000" w:rsidRPr="00000000">
          <w:rPr>
            <w:i w:val="1"/>
            <w:vertAlign w:val="baseline"/>
            <w:rtl w:val="0"/>
          </w:rPr>
          <w:t xml:space="preserve">180</w:t>
        </w:r>
      </w:hyperlink>
      <w:hyperlink r:id="rId30">
        <w:r w:rsidDel="00000000" w:rsidR="00000000" w:rsidRPr="00000000">
          <w:rPr>
            <w:vertAlign w:val="baseline"/>
            <w:rtl w:val="0"/>
          </w:rPr>
          <w:t xml:space="preserve"> (2), 120–126. https://doi.org/10.1016/j.ssi.2008.11.019.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4.00000000000006" w:right="0" w:hanging="384.00000000000006"/>
        <w:jc w:val="left"/>
        <w:rPr/>
      </w:pPr>
      <w:hyperlink r:id="rId31">
        <w:r w:rsidDel="00000000" w:rsidR="00000000" w:rsidRPr="00000000">
          <w:rPr>
            <w:vertAlign w:val="baseline"/>
            <w:rtl w:val="0"/>
          </w:rPr>
          <w:t xml:space="preserve">(4)</w:t>
          <w:tab/>
          <w:t xml:space="preserve">Cockayne, E.; Burton, B. P. Phonons and Static Dielectric Constant in CaTiO3 from First Principles. </w:t>
        </w:r>
      </w:hyperlink>
      <w:hyperlink r:id="rId32">
        <w:r w:rsidDel="00000000" w:rsidR="00000000" w:rsidRPr="00000000">
          <w:rPr>
            <w:i w:val="1"/>
            <w:vertAlign w:val="baseline"/>
            <w:rtl w:val="0"/>
          </w:rPr>
          <w:t xml:space="preserve">Phys Rev B </w:t>
        </w:r>
      </w:hyperlink>
      <w:hyperlink r:id="rId33">
        <w:r w:rsidDel="00000000" w:rsidR="00000000" w:rsidRPr="00000000">
          <w:rPr>
            <w:b w:val="1"/>
            <w:vertAlign w:val="baseline"/>
            <w:rtl w:val="0"/>
          </w:rPr>
          <w:t xml:space="preserve">2000</w:t>
        </w:r>
      </w:hyperlink>
      <w:hyperlink r:id="rId34">
        <w:r w:rsidDel="00000000" w:rsidR="00000000" w:rsidRPr="00000000">
          <w:rPr>
            <w:vertAlign w:val="baseline"/>
            <w:rtl w:val="0"/>
          </w:rPr>
          <w:t xml:space="preserve">, </w:t>
        </w:r>
      </w:hyperlink>
      <w:hyperlink r:id="rId35">
        <w:r w:rsidDel="00000000" w:rsidR="00000000" w:rsidRPr="00000000">
          <w:rPr>
            <w:i w:val="1"/>
            <w:vertAlign w:val="baseline"/>
            <w:rtl w:val="0"/>
          </w:rPr>
          <w:t xml:space="preserve">62</w:t>
        </w:r>
      </w:hyperlink>
      <w:hyperlink r:id="rId36">
        <w:r w:rsidDel="00000000" w:rsidR="00000000" w:rsidRPr="00000000">
          <w:rPr>
            <w:vertAlign w:val="baseline"/>
            <w:rtl w:val="0"/>
          </w:rPr>
          <w:t xml:space="preserve"> (6), 3735–3743. https://doi.org/10.1103/PhysRevB.62.3735.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4.00000000000006" w:right="0" w:hanging="384.00000000000006"/>
        <w:jc w:val="left"/>
        <w:rPr/>
      </w:pPr>
      <w:hyperlink r:id="rId37">
        <w:r w:rsidDel="00000000" w:rsidR="00000000" w:rsidRPr="00000000">
          <w:rPr>
            <w:vertAlign w:val="baseline"/>
            <w:rtl w:val="0"/>
          </w:rPr>
          <w:t xml:space="preserve">(5)</w:t>
          <w:tab/>
          <w:t xml:space="preserve">Ruddlesden, S. N.; Popper, P. New Compounds of the K$\sb 2$NIF$\sb 4$ Type. </w:t>
        </w:r>
      </w:hyperlink>
      <w:hyperlink r:id="rId38">
        <w:r w:rsidDel="00000000" w:rsidR="00000000" w:rsidRPr="00000000">
          <w:rPr>
            <w:i w:val="1"/>
            <w:vertAlign w:val="baseline"/>
            <w:rtl w:val="0"/>
          </w:rPr>
          <w:t xml:space="preserve">Acta Crystallogr. </w:t>
        </w:r>
      </w:hyperlink>
      <w:hyperlink r:id="rId39">
        <w:r w:rsidDel="00000000" w:rsidR="00000000" w:rsidRPr="00000000">
          <w:rPr>
            <w:b w:val="1"/>
            <w:vertAlign w:val="baseline"/>
            <w:rtl w:val="0"/>
          </w:rPr>
          <w:t xml:space="preserve">1957</w:t>
        </w:r>
      </w:hyperlink>
      <w:hyperlink r:id="rId40">
        <w:r w:rsidDel="00000000" w:rsidR="00000000" w:rsidRPr="00000000">
          <w:rPr>
            <w:vertAlign w:val="baseline"/>
            <w:rtl w:val="0"/>
          </w:rPr>
          <w:t xml:space="preserve">, </w:t>
        </w:r>
      </w:hyperlink>
      <w:hyperlink r:id="rId41">
        <w:r w:rsidDel="00000000" w:rsidR="00000000" w:rsidRPr="00000000">
          <w:rPr>
            <w:i w:val="1"/>
            <w:vertAlign w:val="baseline"/>
            <w:rtl w:val="0"/>
          </w:rPr>
          <w:t xml:space="preserve">10</w:t>
        </w:r>
      </w:hyperlink>
      <w:hyperlink r:id="rId42">
        <w:r w:rsidDel="00000000" w:rsidR="00000000" w:rsidRPr="00000000">
          <w:rPr>
            <w:vertAlign w:val="baseline"/>
            <w:rtl w:val="0"/>
          </w:rPr>
          <w:t xml:space="preserve"> (8), 538–539. https://doi.org/10.1107/S0365110X57001929.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4.00000000000006" w:right="0" w:hanging="384.00000000000006"/>
        <w:jc w:val="left"/>
        <w:rPr/>
      </w:pPr>
      <w:hyperlink r:id="rId43">
        <w:r w:rsidDel="00000000" w:rsidR="00000000" w:rsidRPr="00000000">
          <w:rPr>
            <w:vertAlign w:val="baseline"/>
            <w:rtl w:val="0"/>
          </w:rPr>
          <w:t xml:space="preserve">(6)</w:t>
          <w:tab/>
          <w:t xml:space="preserve">Ruddlesden, S. N.; Popper, P. The Compound Sr$\sb 3$Ti$\sb 2$O$\sb 7$ and Its Structure. </w:t>
        </w:r>
      </w:hyperlink>
      <w:hyperlink r:id="rId44">
        <w:r w:rsidDel="00000000" w:rsidR="00000000" w:rsidRPr="00000000">
          <w:rPr>
            <w:i w:val="1"/>
            <w:vertAlign w:val="baseline"/>
            <w:rtl w:val="0"/>
          </w:rPr>
          <w:t xml:space="preserve">Acta Crystallogr. </w:t>
        </w:r>
      </w:hyperlink>
      <w:hyperlink r:id="rId45">
        <w:r w:rsidDel="00000000" w:rsidR="00000000" w:rsidRPr="00000000">
          <w:rPr>
            <w:b w:val="1"/>
            <w:vertAlign w:val="baseline"/>
            <w:rtl w:val="0"/>
          </w:rPr>
          <w:t xml:space="preserve">1958</w:t>
        </w:r>
      </w:hyperlink>
      <w:hyperlink r:id="rId46">
        <w:r w:rsidDel="00000000" w:rsidR="00000000" w:rsidRPr="00000000">
          <w:rPr>
            <w:vertAlign w:val="baseline"/>
            <w:rtl w:val="0"/>
          </w:rPr>
          <w:t xml:space="preserve">, </w:t>
        </w:r>
      </w:hyperlink>
      <w:hyperlink r:id="rId47">
        <w:r w:rsidDel="00000000" w:rsidR="00000000" w:rsidRPr="00000000">
          <w:rPr>
            <w:i w:val="1"/>
            <w:vertAlign w:val="baseline"/>
            <w:rtl w:val="0"/>
          </w:rPr>
          <w:t xml:space="preserve">11</w:t>
        </w:r>
      </w:hyperlink>
      <w:hyperlink r:id="rId48">
        <w:r w:rsidDel="00000000" w:rsidR="00000000" w:rsidRPr="00000000">
          <w:rPr>
            <w:vertAlign w:val="baseline"/>
            <w:rtl w:val="0"/>
          </w:rPr>
          <w:t xml:space="preserve"> (1), 54–55. https://doi.org/10.1107/S0365110X58000128.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zotero.org/google-docs/?Q2FIul" TargetMode="External"/><Relationship Id="rId20" Type="http://schemas.openxmlformats.org/officeDocument/2006/relationships/hyperlink" Target="https://www.zotero.org/google-docs/?Q2FIul" TargetMode="External"/><Relationship Id="rId42" Type="http://schemas.openxmlformats.org/officeDocument/2006/relationships/hyperlink" Target="https://www.zotero.org/google-docs/?Q2FIul" TargetMode="External"/><Relationship Id="rId41" Type="http://schemas.openxmlformats.org/officeDocument/2006/relationships/hyperlink" Target="https://www.zotero.org/google-docs/?Q2FIul" TargetMode="External"/><Relationship Id="rId22" Type="http://schemas.openxmlformats.org/officeDocument/2006/relationships/hyperlink" Target="https://www.zotero.org/google-docs/?Q2FIul" TargetMode="External"/><Relationship Id="rId44" Type="http://schemas.openxmlformats.org/officeDocument/2006/relationships/hyperlink" Target="https://www.zotero.org/google-docs/?Q2FIul" TargetMode="External"/><Relationship Id="rId21" Type="http://schemas.openxmlformats.org/officeDocument/2006/relationships/hyperlink" Target="https://www.zotero.org/google-docs/?Q2FIul" TargetMode="External"/><Relationship Id="rId43" Type="http://schemas.openxmlformats.org/officeDocument/2006/relationships/hyperlink" Target="https://www.zotero.org/google-docs/?Q2FIul" TargetMode="External"/><Relationship Id="rId24" Type="http://schemas.openxmlformats.org/officeDocument/2006/relationships/hyperlink" Target="https://www.zotero.org/google-docs/?Q2FIul" TargetMode="External"/><Relationship Id="rId46" Type="http://schemas.openxmlformats.org/officeDocument/2006/relationships/hyperlink" Target="https://www.zotero.org/google-docs/?Q2FIul" TargetMode="External"/><Relationship Id="rId23" Type="http://schemas.openxmlformats.org/officeDocument/2006/relationships/hyperlink" Target="https://www.zotero.org/google-docs/?Q2FIul" TargetMode="External"/><Relationship Id="rId45" Type="http://schemas.openxmlformats.org/officeDocument/2006/relationships/hyperlink" Target="https://www.zotero.org/google-docs/?Q2FIu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zotero.org/google-docs/?3VBrX8" TargetMode="External"/><Relationship Id="rId26" Type="http://schemas.openxmlformats.org/officeDocument/2006/relationships/hyperlink" Target="https://www.zotero.org/google-docs/?Q2FIul" TargetMode="External"/><Relationship Id="rId48" Type="http://schemas.openxmlformats.org/officeDocument/2006/relationships/hyperlink" Target="https://www.zotero.org/google-docs/?Q2FIul" TargetMode="External"/><Relationship Id="rId25" Type="http://schemas.openxmlformats.org/officeDocument/2006/relationships/hyperlink" Target="https://www.zotero.org/google-docs/?Q2FIul" TargetMode="External"/><Relationship Id="rId47" Type="http://schemas.openxmlformats.org/officeDocument/2006/relationships/hyperlink" Target="https://www.zotero.org/google-docs/?Q2FIul" TargetMode="External"/><Relationship Id="rId28" Type="http://schemas.openxmlformats.org/officeDocument/2006/relationships/hyperlink" Target="https://www.zotero.org/google-docs/?Q2FIul" TargetMode="External"/><Relationship Id="rId27" Type="http://schemas.openxmlformats.org/officeDocument/2006/relationships/hyperlink" Target="https://www.zotero.org/google-docs/?Q2FIul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zotero.org/google-docs/?OyoC87" TargetMode="External"/><Relationship Id="rId29" Type="http://schemas.openxmlformats.org/officeDocument/2006/relationships/hyperlink" Target="https://www.zotero.org/google-docs/?Q2FIul" TargetMode="External"/><Relationship Id="rId7" Type="http://schemas.openxmlformats.org/officeDocument/2006/relationships/hyperlink" Target="https://www.zotero.org/google-docs/?AJvA9C" TargetMode="External"/><Relationship Id="rId8" Type="http://schemas.openxmlformats.org/officeDocument/2006/relationships/hyperlink" Target="https://www.zotero.org/google-docs/?DLbXkK" TargetMode="External"/><Relationship Id="rId31" Type="http://schemas.openxmlformats.org/officeDocument/2006/relationships/hyperlink" Target="https://www.zotero.org/google-docs/?Q2FIul" TargetMode="External"/><Relationship Id="rId30" Type="http://schemas.openxmlformats.org/officeDocument/2006/relationships/hyperlink" Target="https://www.zotero.org/google-docs/?Q2FIul" TargetMode="External"/><Relationship Id="rId11" Type="http://schemas.openxmlformats.org/officeDocument/2006/relationships/image" Target="media/image3.png"/><Relationship Id="rId33" Type="http://schemas.openxmlformats.org/officeDocument/2006/relationships/hyperlink" Target="https://www.zotero.org/google-docs/?Q2FIul" TargetMode="External"/><Relationship Id="rId10" Type="http://schemas.openxmlformats.org/officeDocument/2006/relationships/image" Target="media/image1.png"/><Relationship Id="rId32" Type="http://schemas.openxmlformats.org/officeDocument/2006/relationships/hyperlink" Target="https://www.zotero.org/google-docs/?Q2FIul" TargetMode="External"/><Relationship Id="rId13" Type="http://schemas.openxmlformats.org/officeDocument/2006/relationships/hyperlink" Target="https://www.zotero.org/google-docs/?Q2FIul" TargetMode="External"/><Relationship Id="rId35" Type="http://schemas.openxmlformats.org/officeDocument/2006/relationships/hyperlink" Target="https://www.zotero.org/google-docs/?Q2FIul" TargetMode="External"/><Relationship Id="rId12" Type="http://schemas.openxmlformats.org/officeDocument/2006/relationships/image" Target="media/image2.png"/><Relationship Id="rId34" Type="http://schemas.openxmlformats.org/officeDocument/2006/relationships/hyperlink" Target="https://www.zotero.org/google-docs/?Q2FIul" TargetMode="External"/><Relationship Id="rId15" Type="http://schemas.openxmlformats.org/officeDocument/2006/relationships/hyperlink" Target="https://www.zotero.org/google-docs/?Q2FIul" TargetMode="External"/><Relationship Id="rId37" Type="http://schemas.openxmlformats.org/officeDocument/2006/relationships/hyperlink" Target="https://www.zotero.org/google-docs/?Q2FIul" TargetMode="External"/><Relationship Id="rId14" Type="http://schemas.openxmlformats.org/officeDocument/2006/relationships/hyperlink" Target="https://www.zotero.org/google-docs/?Q2FIul" TargetMode="External"/><Relationship Id="rId36" Type="http://schemas.openxmlformats.org/officeDocument/2006/relationships/hyperlink" Target="https://www.zotero.org/google-docs/?Q2FIul" TargetMode="External"/><Relationship Id="rId17" Type="http://schemas.openxmlformats.org/officeDocument/2006/relationships/hyperlink" Target="https://www.zotero.org/google-docs/?Q2FIul" TargetMode="External"/><Relationship Id="rId39" Type="http://schemas.openxmlformats.org/officeDocument/2006/relationships/hyperlink" Target="https://www.zotero.org/google-docs/?Q2FIul" TargetMode="External"/><Relationship Id="rId16" Type="http://schemas.openxmlformats.org/officeDocument/2006/relationships/hyperlink" Target="https://www.zotero.org/google-docs/?Q2FIul" TargetMode="External"/><Relationship Id="rId38" Type="http://schemas.openxmlformats.org/officeDocument/2006/relationships/hyperlink" Target="https://www.zotero.org/google-docs/?Q2FIul" TargetMode="External"/><Relationship Id="rId19" Type="http://schemas.openxmlformats.org/officeDocument/2006/relationships/hyperlink" Target="https://www.zotero.org/google-docs/?Q2FIul" TargetMode="External"/><Relationship Id="rId18" Type="http://schemas.openxmlformats.org/officeDocument/2006/relationships/hyperlink" Target="https://www.zotero.org/google-docs/?Q2FI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