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DC02047" w14:textId="25DA6772" w:rsidR="00B63ABA" w:rsidRPr="00B11285" w:rsidRDefault="00B63ABA" w:rsidP="00B11285">
      <w:pPr>
        <w:jc w:val="center"/>
        <w:rPr>
          <w:rFonts w:ascii="Arial" w:hAnsi="Arial" w:cs="Arial"/>
          <w:b/>
        </w:rPr>
      </w:pPr>
      <w:r w:rsidRPr="00B11285">
        <w:rPr>
          <w:rFonts w:ascii="Arial" w:hAnsi="Arial" w:cs="Arial"/>
          <w:b/>
        </w:rPr>
        <w:t>Supplemental Material for</w:t>
      </w:r>
    </w:p>
    <w:p w14:paraId="57212EA5" w14:textId="77777777" w:rsidR="00B63ABA" w:rsidRDefault="00B63ABA" w:rsidP="00B11285">
      <w:pPr>
        <w:jc w:val="center"/>
        <w:rPr>
          <w:rFonts w:ascii="Arial" w:eastAsia="Arial" w:hAnsi="Arial" w:cs="Arial"/>
          <w:b/>
        </w:rPr>
      </w:pPr>
    </w:p>
    <w:p w14:paraId="4181F926" w14:textId="7EA33B26" w:rsidR="00B63ABA" w:rsidRPr="00B63ABA" w:rsidRDefault="00B63ABA" w:rsidP="00B11285">
      <w:pPr>
        <w:jc w:val="center"/>
        <w:rPr>
          <w:rFonts w:ascii="Arial" w:eastAsia="Arial" w:hAnsi="Arial" w:cs="Arial"/>
          <w:b/>
        </w:rPr>
      </w:pPr>
      <w:r w:rsidRPr="00B63ABA">
        <w:rPr>
          <w:rFonts w:ascii="Arial" w:eastAsia="Arial" w:hAnsi="Arial" w:cs="Arial"/>
          <w:b/>
        </w:rPr>
        <w:t>Sexual Dimorphism during Integrative Endocrine and Immune Responses to Ionizing Radiation in Mice</w:t>
      </w:r>
    </w:p>
    <w:p w14:paraId="607C54EE" w14:textId="7FD86AB6" w:rsidR="00B63ABA" w:rsidRPr="00B63ABA" w:rsidRDefault="00B63ABA" w:rsidP="00B11285">
      <w:pPr>
        <w:jc w:val="center"/>
        <w:rPr>
          <w:rFonts w:ascii="Arial" w:eastAsia="Arial" w:hAnsi="Arial" w:cs="Arial"/>
          <w:vertAlign w:val="superscript"/>
        </w:rPr>
      </w:pPr>
      <w:r>
        <w:rPr>
          <w:rFonts w:ascii="Arial" w:eastAsia="Arial" w:hAnsi="Arial" w:cs="Arial"/>
        </w:rPr>
        <w:t>Burke et al., 202</w:t>
      </w:r>
      <w:r w:rsidR="005D23DA">
        <w:rPr>
          <w:rFonts w:ascii="Arial" w:eastAsia="Arial" w:hAnsi="Arial" w:cs="Arial"/>
        </w:rPr>
        <w:t>3</w:t>
      </w:r>
      <w:bookmarkStart w:id="0" w:name="_GoBack"/>
      <w:bookmarkEnd w:id="0"/>
    </w:p>
    <w:p w14:paraId="77571EBB" w14:textId="0445EAA1" w:rsidR="00B63ABA" w:rsidRPr="00B63ABA" w:rsidRDefault="00B63ABA" w:rsidP="00B11285">
      <w:pPr>
        <w:jc w:val="center"/>
        <w:rPr>
          <w:rFonts w:ascii="Arial" w:hAnsi="Arial" w:cs="Arial"/>
        </w:rPr>
      </w:pPr>
      <w:r w:rsidRPr="00B63ABA">
        <w:rPr>
          <w:rFonts w:ascii="Arial" w:hAnsi="Arial" w:cs="Arial"/>
        </w:rPr>
        <w:t xml:space="preserve">Correspondence to: </w:t>
      </w:r>
      <w:hyperlink r:id="rId6" w:history="1">
        <w:r w:rsidRPr="00B63ABA">
          <w:rPr>
            <w:rStyle w:val="Hyperlink"/>
            <w:rFonts w:ascii="Arial" w:hAnsi="Arial" w:cs="Arial"/>
          </w:rPr>
          <w:t>amber.paul@erau.edu</w:t>
        </w:r>
      </w:hyperlink>
    </w:p>
    <w:p w14:paraId="5507D405" w14:textId="7551C3CF" w:rsidR="00B63ABA" w:rsidRPr="00B63ABA" w:rsidRDefault="00B63ABA">
      <w:pPr>
        <w:rPr>
          <w:rFonts w:ascii="Arial" w:hAnsi="Arial" w:cs="Arial"/>
        </w:rPr>
      </w:pPr>
    </w:p>
    <w:p w14:paraId="5CD1DF06" w14:textId="58221CC6" w:rsidR="00B63ABA" w:rsidRPr="00B11285" w:rsidRDefault="00B63ABA">
      <w:pPr>
        <w:rPr>
          <w:rFonts w:ascii="Arial" w:hAnsi="Arial" w:cs="Arial"/>
          <w:b/>
        </w:rPr>
      </w:pPr>
      <w:r w:rsidRPr="00B11285">
        <w:rPr>
          <w:rFonts w:ascii="Arial" w:hAnsi="Arial" w:cs="Arial"/>
          <w:b/>
        </w:rPr>
        <w:t>Supplementary Methods</w:t>
      </w:r>
    </w:p>
    <w:p w14:paraId="53169EE4" w14:textId="77777777" w:rsidR="00B11285" w:rsidRDefault="00B11285" w:rsidP="00B63ABA">
      <w:pPr>
        <w:jc w:val="both"/>
        <w:rPr>
          <w:rFonts w:ascii="Arial" w:eastAsia="Arial" w:hAnsi="Arial" w:cs="Arial"/>
          <w:b/>
        </w:rPr>
      </w:pPr>
    </w:p>
    <w:p w14:paraId="1815464A" w14:textId="08B2EC0F" w:rsidR="00B63ABA" w:rsidRPr="001E6BE3" w:rsidRDefault="00B63ABA" w:rsidP="00B63ABA">
      <w:pPr>
        <w:jc w:val="both"/>
        <w:rPr>
          <w:rFonts w:ascii="Arial" w:eastAsia="Arial" w:hAnsi="Arial" w:cs="Arial"/>
        </w:rPr>
      </w:pPr>
      <w:r w:rsidRPr="001E6BE3">
        <w:rPr>
          <w:rFonts w:ascii="Arial" w:eastAsia="Arial" w:hAnsi="Arial" w:cs="Arial"/>
          <w:b/>
        </w:rPr>
        <w:t>Blood collections</w:t>
      </w:r>
    </w:p>
    <w:p w14:paraId="033637C3" w14:textId="77777777" w:rsidR="00B63ABA" w:rsidRPr="001E6BE3" w:rsidRDefault="00B63ABA" w:rsidP="00B63ABA">
      <w:pPr>
        <w:jc w:val="both"/>
        <w:rPr>
          <w:rFonts w:ascii="Arial" w:eastAsia="Arial" w:hAnsi="Arial" w:cs="Arial"/>
        </w:rPr>
      </w:pPr>
      <w:r w:rsidRPr="001E6BE3">
        <w:rPr>
          <w:rFonts w:ascii="Arial" w:eastAsia="Arial" w:hAnsi="Arial" w:cs="Arial"/>
        </w:rPr>
        <w:t xml:space="preserve">Blood was collected in 0.5 M EDTA coated tubes and centrifuged at 2000 x g for 15 minutes in a 4ºC refrigerated centrifuge. Plasma was separated and blood sample aliquots (50 </w:t>
      </w:r>
      <w:proofErr w:type="spellStart"/>
      <w:r w:rsidRPr="001E6BE3">
        <w:rPr>
          <w:rFonts w:ascii="Arial" w:eastAsia="Arial Unicode MS" w:hAnsi="Arial" w:cs="Arial"/>
        </w:rPr>
        <w:t>μ</w:t>
      </w:r>
      <w:r w:rsidRPr="001E6BE3">
        <w:rPr>
          <w:rFonts w:ascii="Arial" w:eastAsia="Arial" w:hAnsi="Arial" w:cs="Arial"/>
        </w:rPr>
        <w:t>l</w:t>
      </w:r>
      <w:proofErr w:type="spellEnd"/>
      <w:r w:rsidRPr="001E6BE3">
        <w:rPr>
          <w:rFonts w:ascii="Arial" w:eastAsia="Arial" w:hAnsi="Arial" w:cs="Arial"/>
        </w:rPr>
        <w:t>) were stored at -80ºC.  Remaining blood cells were lysed with 1x red blood cell (RBC) lysis buffer (</w:t>
      </w:r>
      <w:proofErr w:type="spellStart"/>
      <w:r w:rsidRPr="001E6BE3">
        <w:rPr>
          <w:rFonts w:ascii="Arial" w:eastAsia="Arial" w:hAnsi="Arial" w:cs="Arial"/>
        </w:rPr>
        <w:t>Thermo</w:t>
      </w:r>
      <w:proofErr w:type="spellEnd"/>
      <w:r w:rsidRPr="001E6BE3">
        <w:rPr>
          <w:rFonts w:ascii="Arial" w:eastAsia="Arial" w:hAnsi="Arial" w:cs="Arial"/>
        </w:rPr>
        <w:t xml:space="preserve"> Fisher Scientific) and resuspended in complete media (RPMI + 10% FBS and 1% P/S). Samples were stored on ice for further processing. </w:t>
      </w:r>
    </w:p>
    <w:p w14:paraId="09F72A83" w14:textId="77777777" w:rsidR="00FA29F8" w:rsidRDefault="00FA29F8" w:rsidP="00FA29F8">
      <w:pPr>
        <w:jc w:val="both"/>
        <w:rPr>
          <w:rFonts w:ascii="Arial" w:eastAsia="Arial" w:hAnsi="Arial" w:cs="Arial"/>
          <w:b/>
        </w:rPr>
      </w:pPr>
    </w:p>
    <w:p w14:paraId="481C1BF7" w14:textId="66FCC3FA" w:rsidR="00FA29F8" w:rsidRPr="00FA29F8" w:rsidRDefault="00FA29F8" w:rsidP="00FA29F8">
      <w:pPr>
        <w:jc w:val="both"/>
        <w:rPr>
          <w:rFonts w:ascii="Arial" w:eastAsia="Arial" w:hAnsi="Arial" w:cs="Arial"/>
          <w:b/>
        </w:rPr>
      </w:pPr>
      <w:r w:rsidRPr="00FA29F8">
        <w:rPr>
          <w:rFonts w:ascii="Arial" w:eastAsia="Arial" w:hAnsi="Arial" w:cs="Arial"/>
          <w:b/>
        </w:rPr>
        <w:t>Reactive Species assay</w:t>
      </w:r>
    </w:p>
    <w:p w14:paraId="7969B2C9" w14:textId="77777777" w:rsidR="00FA29F8" w:rsidRPr="00694482" w:rsidRDefault="00FA29F8" w:rsidP="00FA29F8">
      <w:pPr>
        <w:jc w:val="both"/>
        <w:rPr>
          <w:rFonts w:ascii="Arial" w:eastAsia="Arial" w:hAnsi="Arial" w:cs="Arial"/>
        </w:rPr>
      </w:pPr>
      <w:r w:rsidRPr="00694482">
        <w:rPr>
          <w:rFonts w:ascii="Arial" w:eastAsia="Arial" w:hAnsi="Arial" w:cs="Arial"/>
        </w:rPr>
        <w:t xml:space="preserve">Reactive species were analyzed by staining live cells with </w:t>
      </w:r>
      <w:proofErr w:type="spellStart"/>
      <w:r w:rsidRPr="00694482">
        <w:rPr>
          <w:rFonts w:ascii="Arial" w:eastAsia="Arial" w:hAnsi="Arial" w:cs="Arial"/>
          <w:highlight w:val="white"/>
        </w:rPr>
        <w:t>CellROX</w:t>
      </w:r>
      <w:proofErr w:type="spellEnd"/>
      <w:r w:rsidRPr="00694482">
        <w:rPr>
          <w:rFonts w:ascii="Arial" w:eastAsia="Arial" w:hAnsi="Arial" w:cs="Arial"/>
          <w:highlight w:val="white"/>
        </w:rPr>
        <w:t>™ and SYTOX™ live/dead stains for 1-hour following manufacturers recommendations. Briefly,</w:t>
      </w:r>
      <w:r w:rsidRPr="00694482">
        <w:rPr>
          <w:rFonts w:ascii="Arial" w:eastAsia="Arial" w:hAnsi="Arial" w:cs="Arial"/>
        </w:rPr>
        <w:t xml:space="preserve"> positive TBHP (50 </w:t>
      </w:r>
      <w:proofErr w:type="spellStart"/>
      <w:r w:rsidRPr="00694482">
        <w:rPr>
          <w:rFonts w:ascii="Arial" w:eastAsia="Arial Unicode MS" w:hAnsi="Arial" w:cs="Arial"/>
        </w:rPr>
        <w:t>μ</w:t>
      </w:r>
      <w:r w:rsidRPr="00694482">
        <w:rPr>
          <w:rFonts w:ascii="Arial" w:eastAsia="Arial" w:hAnsi="Arial" w:cs="Arial"/>
        </w:rPr>
        <w:t>M</w:t>
      </w:r>
      <w:proofErr w:type="spellEnd"/>
      <w:r w:rsidRPr="00694482">
        <w:rPr>
          <w:rFonts w:ascii="Arial" w:eastAsia="Arial" w:hAnsi="Arial" w:cs="Arial"/>
        </w:rPr>
        <w:t xml:space="preserve">) and unstained controls were prepared concurrently with all samples. </w:t>
      </w:r>
      <w:proofErr w:type="spellStart"/>
      <w:r w:rsidRPr="00694482">
        <w:rPr>
          <w:rFonts w:ascii="Arial" w:eastAsia="Arial" w:hAnsi="Arial" w:cs="Arial"/>
          <w:highlight w:val="white"/>
        </w:rPr>
        <w:t>CellROX</w:t>
      </w:r>
      <w:proofErr w:type="spellEnd"/>
      <w:r w:rsidRPr="00694482">
        <w:rPr>
          <w:rFonts w:ascii="Arial" w:eastAsia="Arial" w:hAnsi="Arial" w:cs="Arial"/>
          <w:highlight w:val="white"/>
        </w:rPr>
        <w:t>™</w:t>
      </w:r>
      <w:r w:rsidRPr="00694482">
        <w:rPr>
          <w:rFonts w:ascii="Arial" w:eastAsia="Arial" w:hAnsi="Arial" w:cs="Arial"/>
        </w:rPr>
        <w:t xml:space="preserve"> (1 </w:t>
      </w:r>
      <w:proofErr w:type="spellStart"/>
      <w:r w:rsidRPr="00694482">
        <w:rPr>
          <w:rFonts w:ascii="Arial" w:eastAsia="Arial Unicode MS" w:hAnsi="Arial" w:cs="Arial"/>
        </w:rPr>
        <w:t>μ</w:t>
      </w:r>
      <w:r w:rsidRPr="00694482">
        <w:rPr>
          <w:rFonts w:ascii="Arial" w:eastAsia="Arial" w:hAnsi="Arial" w:cs="Arial"/>
        </w:rPr>
        <w:t>M</w:t>
      </w:r>
      <w:proofErr w:type="spellEnd"/>
      <w:r w:rsidRPr="00694482">
        <w:rPr>
          <w:rFonts w:ascii="Arial" w:eastAsia="Arial" w:hAnsi="Arial" w:cs="Arial"/>
        </w:rPr>
        <w:t xml:space="preserve">) was added to the positive control and all samples were incubated at 37ºC for 1 hour with caps open to allow airflow to cells. Prior to flow cytometry, </w:t>
      </w:r>
      <w:r w:rsidRPr="00694482">
        <w:rPr>
          <w:rFonts w:ascii="Arial" w:eastAsia="Arial" w:hAnsi="Arial" w:cs="Arial"/>
          <w:highlight w:val="white"/>
        </w:rPr>
        <w:t xml:space="preserve">SYTOX™ live/dead </w:t>
      </w:r>
      <w:r w:rsidRPr="00694482">
        <w:rPr>
          <w:rFonts w:ascii="Arial" w:eastAsia="Arial" w:hAnsi="Arial" w:cs="Arial"/>
        </w:rPr>
        <w:t>(</w:t>
      </w:r>
      <w:sdt>
        <w:sdtPr>
          <w:rPr>
            <w:rFonts w:ascii="Arial" w:hAnsi="Arial" w:cs="Arial"/>
          </w:rPr>
          <w:tag w:val="goog_rdk_22"/>
          <w:id w:val="288949852"/>
        </w:sdtPr>
        <w:sdtEndPr/>
        <w:sdtContent/>
      </w:sdt>
      <w:r w:rsidRPr="00694482">
        <w:rPr>
          <w:rFonts w:ascii="Arial" w:eastAsia="Arial" w:hAnsi="Arial" w:cs="Arial"/>
        </w:rPr>
        <w:t xml:space="preserve">0.5 </w:t>
      </w:r>
      <w:proofErr w:type="spellStart"/>
      <w:r w:rsidRPr="00694482">
        <w:rPr>
          <w:rFonts w:ascii="Arial" w:eastAsia="Arial Unicode MS" w:hAnsi="Arial" w:cs="Arial"/>
        </w:rPr>
        <w:t>μ</w:t>
      </w:r>
      <w:r w:rsidRPr="00694482">
        <w:rPr>
          <w:rFonts w:ascii="Arial" w:eastAsia="Arial" w:hAnsi="Arial" w:cs="Arial"/>
        </w:rPr>
        <w:t>M</w:t>
      </w:r>
      <w:proofErr w:type="spellEnd"/>
      <w:r w:rsidRPr="00694482">
        <w:rPr>
          <w:rFonts w:ascii="Arial" w:eastAsia="Arial" w:hAnsi="Arial" w:cs="Arial"/>
        </w:rPr>
        <w:t xml:space="preserve">) was added and cells were analyzed. </w:t>
      </w:r>
    </w:p>
    <w:p w14:paraId="5205F421" w14:textId="77777777" w:rsidR="00B63ABA" w:rsidRPr="001E6BE3" w:rsidRDefault="00B63ABA" w:rsidP="00B63ABA">
      <w:pPr>
        <w:jc w:val="both"/>
        <w:rPr>
          <w:rFonts w:ascii="Arial" w:eastAsia="Arial" w:hAnsi="Arial" w:cs="Arial"/>
          <w:b/>
        </w:rPr>
      </w:pPr>
    </w:p>
    <w:p w14:paraId="0A00AE41" w14:textId="77777777" w:rsidR="00B63ABA" w:rsidRPr="001E6BE3" w:rsidRDefault="00B63ABA" w:rsidP="00B63ABA">
      <w:pPr>
        <w:jc w:val="both"/>
        <w:rPr>
          <w:rFonts w:ascii="Arial" w:eastAsia="Arial" w:hAnsi="Arial" w:cs="Arial"/>
          <w:b/>
        </w:rPr>
      </w:pPr>
      <w:r w:rsidRPr="001E6BE3">
        <w:rPr>
          <w:rFonts w:ascii="Arial" w:eastAsia="Arial" w:hAnsi="Arial" w:cs="Arial"/>
          <w:b/>
        </w:rPr>
        <w:t>Flow cytometry</w:t>
      </w:r>
    </w:p>
    <w:p w14:paraId="5729AE48" w14:textId="77777777" w:rsidR="00B63ABA" w:rsidRPr="001E6BE3" w:rsidRDefault="00B63ABA" w:rsidP="00B63ABA">
      <w:pPr>
        <w:jc w:val="both"/>
        <w:rPr>
          <w:rFonts w:ascii="Arial" w:hAnsi="Arial" w:cs="Arial"/>
        </w:rPr>
      </w:pPr>
      <w:r w:rsidRPr="001E6BE3">
        <w:rPr>
          <w:rFonts w:ascii="Arial" w:eastAsia="Arial" w:hAnsi="Arial" w:cs="Arial"/>
        </w:rPr>
        <w:t xml:space="preserve">Leukocytes were fixed with 2% paraformaldehyde (PFA), washed with 1x PBS, and Fc blocked with anti-CD16 (1:20), and probed with </w:t>
      </w:r>
      <w:proofErr w:type="spellStart"/>
      <w:r w:rsidRPr="001E6BE3">
        <w:rPr>
          <w:rFonts w:ascii="Arial" w:eastAsia="Arial" w:hAnsi="Arial" w:cs="Arial"/>
          <w:highlight w:val="white"/>
        </w:rPr>
        <w:t>CellROX</w:t>
      </w:r>
      <w:proofErr w:type="spellEnd"/>
      <w:r w:rsidRPr="001E6BE3">
        <w:rPr>
          <w:rFonts w:ascii="Arial" w:eastAsia="Arial" w:hAnsi="Arial" w:cs="Arial"/>
          <w:highlight w:val="white"/>
        </w:rPr>
        <w:t xml:space="preserve">™, SYTOX™ live/dead stain, </w:t>
      </w:r>
      <w:r w:rsidRPr="001E6BE3">
        <w:rPr>
          <w:rFonts w:ascii="Arial" w:eastAsia="Arial" w:hAnsi="Arial" w:cs="Arial"/>
        </w:rPr>
        <w:t xml:space="preserve">anti-CD45, anti-CD11b and anti-Ly6G, anti-CD3, anti-CD4, anti-CD8, anti-IFN, and anti-IL-4. Single-stain and unstained controls were also prepared and all cells incubated for 1-hour at room temperature in the dark. After incubation, cells were washed and resuspended in 1x PBS and 30,000 events / sample were acquired using a SONYH800 or a </w:t>
      </w:r>
      <w:r w:rsidRPr="001E6BE3">
        <w:rPr>
          <w:rFonts w:ascii="Arial" w:hAnsi="Arial" w:cs="Arial"/>
          <w:color w:val="242424"/>
          <w:shd w:val="clear" w:color="auto" w:fill="FFFFFF"/>
        </w:rPr>
        <w:t xml:space="preserve">Becton Dickinson FACS </w:t>
      </w:r>
      <w:proofErr w:type="spellStart"/>
      <w:r w:rsidRPr="001E6BE3">
        <w:rPr>
          <w:rFonts w:ascii="Arial" w:hAnsi="Arial" w:cs="Arial"/>
          <w:color w:val="242424"/>
          <w:shd w:val="clear" w:color="auto" w:fill="FFFFFF"/>
        </w:rPr>
        <w:t>Calibur</w:t>
      </w:r>
      <w:proofErr w:type="spellEnd"/>
      <w:r w:rsidRPr="001E6BE3">
        <w:rPr>
          <w:rFonts w:ascii="Arial" w:hAnsi="Arial" w:cs="Arial"/>
          <w:color w:val="242424"/>
          <w:shd w:val="clear" w:color="auto" w:fill="FFFFFF"/>
        </w:rPr>
        <w:t xml:space="preserve"> </w:t>
      </w:r>
      <w:r w:rsidRPr="001E6BE3">
        <w:rPr>
          <w:rFonts w:ascii="Arial" w:eastAsia="Arial" w:hAnsi="Arial" w:cs="Arial"/>
        </w:rPr>
        <w:t>flow cytometers.</w:t>
      </w:r>
      <w:r w:rsidRPr="001E6BE3">
        <w:rPr>
          <w:rFonts w:ascii="Arial" w:hAnsi="Arial" w:cs="Arial"/>
          <w:color w:val="242424"/>
          <w:shd w:val="clear" w:color="auto" w:fill="FFFFFF"/>
        </w:rPr>
        <w:t xml:space="preserve"> </w:t>
      </w:r>
      <w:proofErr w:type="spellStart"/>
      <w:r w:rsidRPr="001E6BE3">
        <w:rPr>
          <w:rFonts w:ascii="Arial" w:eastAsia="Arial" w:hAnsi="Arial" w:cs="Arial"/>
          <w:highlight w:val="white"/>
        </w:rPr>
        <w:t>FlowJo</w:t>
      </w:r>
      <w:proofErr w:type="spellEnd"/>
      <w:r w:rsidRPr="001E6BE3">
        <w:rPr>
          <w:rFonts w:ascii="Arial" w:eastAsia="Arial" w:hAnsi="Arial" w:cs="Arial"/>
          <w:highlight w:val="white"/>
        </w:rPr>
        <w:t xml:space="preserve"> (version 10.5.3) was used for data analysis. All antibodies and dyes were purchased from </w:t>
      </w:r>
      <w:proofErr w:type="spellStart"/>
      <w:r w:rsidRPr="001E6BE3">
        <w:rPr>
          <w:rFonts w:ascii="Arial" w:eastAsia="Arial" w:hAnsi="Arial" w:cs="Arial"/>
          <w:highlight w:val="white"/>
        </w:rPr>
        <w:t>Thermo</w:t>
      </w:r>
      <w:proofErr w:type="spellEnd"/>
      <w:r w:rsidRPr="001E6BE3">
        <w:rPr>
          <w:rFonts w:ascii="Arial" w:eastAsia="Arial" w:hAnsi="Arial" w:cs="Arial"/>
          <w:highlight w:val="white"/>
        </w:rPr>
        <w:t xml:space="preserve"> Fisher Scientific.</w:t>
      </w:r>
    </w:p>
    <w:p w14:paraId="69B31392" w14:textId="77777777" w:rsidR="00FA29F8" w:rsidRDefault="00FA29F8" w:rsidP="00B63ABA">
      <w:pPr>
        <w:jc w:val="both"/>
        <w:rPr>
          <w:rFonts w:ascii="Arial" w:eastAsia="Arial" w:hAnsi="Arial" w:cs="Arial"/>
          <w:b/>
        </w:rPr>
      </w:pPr>
    </w:p>
    <w:p w14:paraId="0EE5064F" w14:textId="77777777" w:rsidR="00080400" w:rsidRPr="00694482" w:rsidRDefault="00080400" w:rsidP="00080400">
      <w:pPr>
        <w:jc w:val="both"/>
        <w:rPr>
          <w:rFonts w:ascii="Arial" w:eastAsia="Arial" w:hAnsi="Arial" w:cs="Arial"/>
          <w:b/>
        </w:rPr>
      </w:pPr>
      <w:r w:rsidRPr="00694482">
        <w:rPr>
          <w:rFonts w:ascii="Arial" w:eastAsia="Arial" w:hAnsi="Arial" w:cs="Arial"/>
          <w:b/>
        </w:rPr>
        <w:t>RNA sequencing</w:t>
      </w:r>
    </w:p>
    <w:p w14:paraId="032FCC2F" w14:textId="77777777" w:rsidR="00080400" w:rsidRPr="00694482" w:rsidRDefault="00080400" w:rsidP="00080400">
      <w:pPr>
        <w:jc w:val="both"/>
        <w:rPr>
          <w:rFonts w:ascii="Arial" w:hAnsi="Arial" w:cs="Arial"/>
        </w:rPr>
      </w:pPr>
      <w:r>
        <w:rPr>
          <w:rFonts w:ascii="Arial" w:eastAsia="Arial" w:hAnsi="Arial" w:cs="Arial"/>
        </w:rPr>
        <w:t xml:space="preserve">Total RNA was extracted with </w:t>
      </w:r>
      <w:proofErr w:type="spellStart"/>
      <w:r>
        <w:rPr>
          <w:rFonts w:ascii="Arial" w:eastAsia="Arial" w:hAnsi="Arial" w:cs="Arial"/>
        </w:rPr>
        <w:t>Trizol</w:t>
      </w:r>
      <w:proofErr w:type="spellEnd"/>
      <w:r>
        <w:rPr>
          <w:rFonts w:ascii="Arial" w:eastAsia="Arial" w:hAnsi="Arial" w:cs="Arial"/>
        </w:rPr>
        <w:t xml:space="preserve"> (</w:t>
      </w:r>
      <w:proofErr w:type="spellStart"/>
      <w:r>
        <w:rPr>
          <w:rFonts w:ascii="Arial" w:eastAsia="Arial" w:hAnsi="Arial" w:cs="Arial"/>
        </w:rPr>
        <w:t>Thermo</w:t>
      </w:r>
      <w:proofErr w:type="spellEnd"/>
      <w:r>
        <w:rPr>
          <w:rFonts w:ascii="Arial" w:eastAsia="Arial" w:hAnsi="Arial" w:cs="Arial"/>
        </w:rPr>
        <w:t xml:space="preserve"> Fisher) and purified using Quick-RNA Miniprep Kit (</w:t>
      </w:r>
      <w:proofErr w:type="spellStart"/>
      <w:r>
        <w:rPr>
          <w:rFonts w:ascii="Arial" w:eastAsia="Arial" w:hAnsi="Arial" w:cs="Arial"/>
        </w:rPr>
        <w:t>Zymo</w:t>
      </w:r>
      <w:proofErr w:type="spellEnd"/>
      <w:r>
        <w:rPr>
          <w:rFonts w:ascii="Arial" w:eastAsia="Arial" w:hAnsi="Arial" w:cs="Arial"/>
        </w:rPr>
        <w:t xml:space="preserve"> Research). </w:t>
      </w:r>
      <w:r w:rsidRPr="00694482">
        <w:rPr>
          <w:rFonts w:ascii="Arial" w:eastAsia="Arial" w:hAnsi="Arial" w:cs="Arial"/>
        </w:rPr>
        <w:t xml:space="preserve">RNA-sequencing libraries were performed using Illumina’s total RNA kit per manufacturer’s instructions. RNA integrity was determined using an Agilent </w:t>
      </w:r>
      <w:proofErr w:type="spellStart"/>
      <w:r w:rsidRPr="00694482">
        <w:rPr>
          <w:rFonts w:ascii="Arial" w:eastAsia="Arial" w:hAnsi="Arial" w:cs="Arial"/>
        </w:rPr>
        <w:t>TapeStation</w:t>
      </w:r>
      <w:proofErr w:type="spellEnd"/>
      <w:r w:rsidRPr="00694482">
        <w:rPr>
          <w:rFonts w:ascii="Arial" w:eastAsia="Arial" w:hAnsi="Arial" w:cs="Arial"/>
        </w:rPr>
        <w:t xml:space="preserve"> with </w:t>
      </w:r>
      <w:proofErr w:type="spellStart"/>
      <w:r w:rsidRPr="00694482">
        <w:rPr>
          <w:rFonts w:ascii="Arial" w:eastAsia="Arial" w:hAnsi="Arial" w:cs="Arial"/>
        </w:rPr>
        <w:t>eRIN</w:t>
      </w:r>
      <w:proofErr w:type="spellEnd"/>
      <w:r w:rsidRPr="00694482">
        <w:rPr>
          <w:rFonts w:ascii="Arial" w:eastAsia="Arial" w:hAnsi="Arial" w:cs="Arial"/>
        </w:rPr>
        <w:t xml:space="preserve"> values &gt; 7. 500 ng of total RNA was used as input.</w:t>
      </w:r>
      <w:r>
        <w:rPr>
          <w:rFonts w:ascii="Arial" w:eastAsia="Arial" w:hAnsi="Arial" w:cs="Arial"/>
        </w:rPr>
        <w:t xml:space="preserve"> rRNA was depleted,</w:t>
      </w:r>
      <w:r w:rsidRPr="00694482">
        <w:rPr>
          <w:rFonts w:ascii="Arial" w:eastAsia="Arial" w:hAnsi="Arial" w:cs="Arial"/>
        </w:rPr>
        <w:t xml:space="preserve"> cDNA (first and second strands) were synthesized, </w:t>
      </w:r>
      <w:r>
        <w:rPr>
          <w:rFonts w:ascii="Arial" w:eastAsia="Arial" w:hAnsi="Arial" w:cs="Arial"/>
        </w:rPr>
        <w:t xml:space="preserve">and </w:t>
      </w:r>
      <w:r w:rsidRPr="00694482">
        <w:rPr>
          <w:rFonts w:ascii="Arial" w:eastAsia="Arial" w:hAnsi="Arial" w:cs="Arial"/>
        </w:rPr>
        <w:t>adaptor index ligation and strand selection</w:t>
      </w:r>
      <w:r>
        <w:rPr>
          <w:rFonts w:ascii="Arial" w:eastAsia="Arial" w:hAnsi="Arial" w:cs="Arial"/>
        </w:rPr>
        <w:t xml:space="preserve"> </w:t>
      </w:r>
      <w:proofErr w:type="gramStart"/>
      <w:r>
        <w:rPr>
          <w:rFonts w:ascii="Arial" w:eastAsia="Arial" w:hAnsi="Arial" w:cs="Arial"/>
        </w:rPr>
        <w:t>was</w:t>
      </w:r>
      <w:proofErr w:type="gramEnd"/>
      <w:r>
        <w:rPr>
          <w:rFonts w:ascii="Arial" w:eastAsia="Arial" w:hAnsi="Arial" w:cs="Arial"/>
        </w:rPr>
        <w:t xml:space="preserve"> performed (Illumina Stranded total RNA Prep with </w:t>
      </w:r>
      <w:proofErr w:type="spellStart"/>
      <w:r>
        <w:rPr>
          <w:rFonts w:ascii="Arial" w:eastAsia="Arial" w:hAnsi="Arial" w:cs="Arial"/>
        </w:rPr>
        <w:t>Ribo</w:t>
      </w:r>
      <w:proofErr w:type="spellEnd"/>
      <w:r>
        <w:rPr>
          <w:rFonts w:ascii="Arial" w:eastAsia="Arial" w:hAnsi="Arial" w:cs="Arial"/>
        </w:rPr>
        <w:t>-Zero Plus)</w:t>
      </w:r>
      <w:r w:rsidRPr="00694482">
        <w:rPr>
          <w:rFonts w:ascii="Arial" w:eastAsia="Arial" w:hAnsi="Arial" w:cs="Arial"/>
        </w:rPr>
        <w:t>. For multiplexing, barcodes with unique indices out of 96, were used per sample</w:t>
      </w:r>
      <w:r>
        <w:rPr>
          <w:rFonts w:ascii="Arial" w:eastAsia="Arial" w:hAnsi="Arial" w:cs="Arial"/>
        </w:rPr>
        <w:t xml:space="preserve"> (IDT for Illumina)</w:t>
      </w:r>
      <w:r w:rsidRPr="00694482">
        <w:rPr>
          <w:rFonts w:ascii="Arial" w:eastAsia="Arial" w:hAnsi="Arial" w:cs="Arial"/>
        </w:rPr>
        <w:t xml:space="preserve">. Libraries were amplified by PCR on a </w:t>
      </w:r>
      <w:proofErr w:type="spellStart"/>
      <w:r w:rsidRPr="00694482">
        <w:rPr>
          <w:rFonts w:ascii="Arial" w:eastAsia="Arial" w:hAnsi="Arial" w:cs="Arial"/>
        </w:rPr>
        <w:t>Mastercycler</w:t>
      </w:r>
      <w:proofErr w:type="spellEnd"/>
      <w:r w:rsidRPr="00694482">
        <w:rPr>
          <w:rFonts w:ascii="Arial" w:eastAsia="Arial" w:hAnsi="Arial" w:cs="Arial"/>
        </w:rPr>
        <w:t xml:space="preserve"> Pro (Eppendorf) and purified with </w:t>
      </w:r>
      <w:proofErr w:type="spellStart"/>
      <w:r w:rsidRPr="00694482">
        <w:rPr>
          <w:rFonts w:ascii="Arial" w:eastAsia="Arial" w:hAnsi="Arial" w:cs="Arial"/>
        </w:rPr>
        <w:t>RNAClean</w:t>
      </w:r>
      <w:proofErr w:type="spellEnd"/>
      <w:r w:rsidRPr="00694482">
        <w:rPr>
          <w:rFonts w:ascii="Arial" w:eastAsia="Arial" w:hAnsi="Arial" w:cs="Arial"/>
        </w:rPr>
        <w:t xml:space="preserve"> XP </w:t>
      </w:r>
      <w:proofErr w:type="spellStart"/>
      <w:r w:rsidRPr="00694482">
        <w:rPr>
          <w:rFonts w:ascii="Arial" w:eastAsia="Arial" w:hAnsi="Arial" w:cs="Arial"/>
        </w:rPr>
        <w:t>Agencourt</w:t>
      </w:r>
      <w:proofErr w:type="spellEnd"/>
      <w:r w:rsidRPr="00694482">
        <w:rPr>
          <w:rFonts w:ascii="Arial" w:eastAsia="Arial" w:hAnsi="Arial" w:cs="Arial"/>
        </w:rPr>
        <w:t xml:space="preserve"> beads (Beckman Coulter). Libraries were sequenced on a NextSeq</w:t>
      </w:r>
      <w:r>
        <w:rPr>
          <w:rFonts w:ascii="Arial" w:eastAsia="Arial" w:hAnsi="Arial" w:cs="Arial"/>
        </w:rPr>
        <w:t>1</w:t>
      </w:r>
      <w:r w:rsidRPr="00694482">
        <w:rPr>
          <w:rFonts w:ascii="Arial" w:eastAsia="Arial" w:hAnsi="Arial" w:cs="Arial"/>
        </w:rPr>
        <w:t>000 (Illumina) to generate 30 M</w:t>
      </w:r>
      <w:r>
        <w:rPr>
          <w:rFonts w:ascii="Arial" w:eastAsia="Arial" w:hAnsi="Arial" w:cs="Arial"/>
        </w:rPr>
        <w:t xml:space="preserve">, </w:t>
      </w:r>
      <w:r w:rsidRPr="00694482">
        <w:rPr>
          <w:rFonts w:ascii="Arial" w:eastAsia="Arial" w:hAnsi="Arial" w:cs="Arial"/>
        </w:rPr>
        <w:t xml:space="preserve">75-bp paired end reads per sample. </w:t>
      </w:r>
    </w:p>
    <w:p w14:paraId="447EFCA9" w14:textId="77777777" w:rsidR="00B63ABA" w:rsidRPr="001E6BE3" w:rsidRDefault="00B63ABA" w:rsidP="00B63ABA">
      <w:pPr>
        <w:jc w:val="both"/>
        <w:rPr>
          <w:rFonts w:ascii="Arial" w:eastAsia="Arial" w:hAnsi="Arial" w:cs="Arial"/>
        </w:rPr>
      </w:pPr>
    </w:p>
    <w:p w14:paraId="49E11FB5" w14:textId="77777777" w:rsidR="00B63ABA" w:rsidRPr="001E6BE3" w:rsidRDefault="00B63ABA" w:rsidP="00B63ABA">
      <w:pPr>
        <w:jc w:val="both"/>
        <w:rPr>
          <w:rFonts w:ascii="Arial" w:eastAsia="Arial" w:hAnsi="Arial" w:cs="Arial"/>
          <w:b/>
        </w:rPr>
      </w:pPr>
      <w:r w:rsidRPr="001E6BE3">
        <w:rPr>
          <w:rFonts w:ascii="Arial" w:eastAsia="Arial" w:hAnsi="Arial" w:cs="Arial"/>
          <w:b/>
        </w:rPr>
        <w:t>Differential expression and pathway enrichment analysis</w:t>
      </w:r>
    </w:p>
    <w:p w14:paraId="5C8A3BD8" w14:textId="77777777" w:rsidR="00B63ABA" w:rsidRPr="001E6BE3" w:rsidRDefault="00B63ABA" w:rsidP="00B63ABA">
      <w:pPr>
        <w:jc w:val="both"/>
        <w:rPr>
          <w:rFonts w:ascii="Arial" w:eastAsia="Arial" w:hAnsi="Arial" w:cs="Arial"/>
        </w:rPr>
      </w:pPr>
      <w:r w:rsidRPr="001E6BE3">
        <w:rPr>
          <w:rFonts w:ascii="Arial" w:eastAsia="Arial" w:hAnsi="Arial" w:cs="Arial"/>
        </w:rPr>
        <w:t xml:space="preserve">Raw reads were assessed for quality and trimmed using </w:t>
      </w:r>
      <w:proofErr w:type="spellStart"/>
      <w:r w:rsidRPr="001E6BE3">
        <w:rPr>
          <w:rFonts w:ascii="Arial" w:eastAsia="Arial" w:hAnsi="Arial" w:cs="Arial"/>
        </w:rPr>
        <w:t>FastQC</w:t>
      </w:r>
      <w:proofErr w:type="spellEnd"/>
      <w:r w:rsidRPr="001E6BE3">
        <w:rPr>
          <w:rFonts w:ascii="Arial" w:eastAsia="Arial" w:hAnsi="Arial" w:cs="Arial"/>
        </w:rPr>
        <w:t xml:space="preserve"> </w:t>
      </w:r>
      <w:r w:rsidRPr="001E6BE3">
        <w:rPr>
          <w:rFonts w:ascii="Arial" w:eastAsia="Arial" w:hAnsi="Arial" w:cs="Arial"/>
        </w:rPr>
        <w:fldChar w:fldCharType="begin"/>
      </w:r>
      <w:r>
        <w:rPr>
          <w:rFonts w:ascii="Arial" w:eastAsia="Arial" w:hAnsi="Arial" w:cs="Arial"/>
        </w:rPr>
        <w:instrText xml:space="preserve"> ADDIN EN.CITE &lt;EndNote&gt;&lt;Cite&gt;&lt;Author&gt;Andrews&lt;/Author&gt;&lt;Year&gt;2010&lt;/Year&gt;&lt;RecNum&gt;0&lt;/RecNum&gt;&lt;IDText&gt;FastQC: a quality control tool for high throughput sequence data&lt;/IDText&gt;&lt;DisplayText&gt;(&lt;style face="italic"&gt;51&lt;/style&gt;)&lt;/DisplayText&gt;&lt;record&gt;&lt;urls&gt;&lt;related-urls&gt;&lt;url&gt;https://www.bioinformatics.babraham.ac.uk/projects/fastqc/&lt;/url&gt;&lt;/related-urls&gt;&lt;/urls&gt;&lt;titles&gt;&lt;title&gt;FastQC: a quality control tool for high throughput sequence data&lt;/title&gt;&lt;/titles&gt;&lt;contributors&gt;&lt;authors&gt;&lt;author&gt;Andrews, S&lt;/author&gt;&lt;/authors&gt;&lt;/contributors&gt;&lt;added-date format="utc"&gt;1669751517&lt;/added-date&gt;&lt;ref-type name="Web Page"&gt;12&lt;/ref-type&gt;&lt;dates&gt;&lt;year&gt;2010&lt;/year&gt;&lt;/dates&gt;&lt;rec-number&gt;2035&lt;/rec-number&gt;&lt;last-updated-date format="utc"&gt;1669751596&lt;/last-updated-date&gt;&lt;/record&gt;&lt;/Cite&gt;&lt;/EndNote&gt;</w:instrText>
      </w:r>
      <w:r w:rsidRPr="001E6BE3">
        <w:rPr>
          <w:rFonts w:ascii="Arial" w:eastAsia="Arial" w:hAnsi="Arial" w:cs="Arial"/>
        </w:rPr>
        <w:fldChar w:fldCharType="separate"/>
      </w:r>
      <w:r>
        <w:rPr>
          <w:rFonts w:ascii="Arial" w:eastAsia="Arial" w:hAnsi="Arial" w:cs="Arial"/>
          <w:noProof/>
        </w:rPr>
        <w:t>(</w:t>
      </w:r>
      <w:r w:rsidRPr="00E54F37">
        <w:rPr>
          <w:rFonts w:ascii="Arial" w:eastAsia="Arial" w:hAnsi="Arial" w:cs="Arial"/>
          <w:i/>
          <w:noProof/>
        </w:rPr>
        <w:t>51</w:t>
      </w:r>
      <w:r>
        <w:rPr>
          <w:rFonts w:ascii="Arial" w:eastAsia="Arial" w:hAnsi="Arial" w:cs="Arial"/>
          <w:noProof/>
        </w:rPr>
        <w:t>)</w:t>
      </w:r>
      <w:r w:rsidRPr="001E6BE3">
        <w:rPr>
          <w:rFonts w:ascii="Arial" w:eastAsia="Arial" w:hAnsi="Arial" w:cs="Arial"/>
        </w:rPr>
        <w:fldChar w:fldCharType="end"/>
      </w:r>
      <w:r w:rsidRPr="001E6BE3">
        <w:rPr>
          <w:rFonts w:ascii="Arial" w:eastAsia="Arial" w:hAnsi="Arial" w:cs="Arial"/>
        </w:rPr>
        <w:t xml:space="preserve">. Passing reads were then quasi-mapped to </w:t>
      </w:r>
      <w:proofErr w:type="spellStart"/>
      <w:r w:rsidRPr="001E6BE3">
        <w:rPr>
          <w:rFonts w:ascii="Arial" w:eastAsia="Arial" w:hAnsi="Arial" w:cs="Arial"/>
        </w:rPr>
        <w:t>Ensembl</w:t>
      </w:r>
      <w:proofErr w:type="spellEnd"/>
      <w:r w:rsidRPr="001E6BE3">
        <w:rPr>
          <w:rFonts w:ascii="Arial" w:eastAsia="Arial" w:hAnsi="Arial" w:cs="Arial"/>
        </w:rPr>
        <w:t xml:space="preserve"> release GRCm39 using Salmon v1.9.0 </w:t>
      </w:r>
      <w:r w:rsidRPr="001E6BE3">
        <w:rPr>
          <w:rFonts w:ascii="Arial" w:eastAsia="Arial" w:hAnsi="Arial" w:cs="Arial"/>
        </w:rPr>
        <w:fldChar w:fldCharType="begin">
          <w:fldData xml:space="preserve">PEVuZE5vdGU+PENpdGU+PEF1dGhvcj5QYXRybzwvQXV0aG9yPjxZZWFyPjIwMTU8L1llYXI+PFJl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</w:fldData>
        </w:fldChar>
      </w:r>
      <w:r>
        <w:rPr>
          <w:rFonts w:ascii="Arial" w:eastAsia="Arial" w:hAnsi="Arial" w:cs="Arial"/>
        </w:rPr>
        <w:instrText xml:space="preserve"> ADDIN EN.CITE </w:instrText>
      </w:r>
      <w:r>
        <w:rPr>
          <w:rFonts w:ascii="Arial" w:eastAsia="Arial" w:hAnsi="Arial" w:cs="Arial"/>
        </w:rPr>
        <w:fldChar w:fldCharType="begin">
          <w:fldData xml:space="preserve">PEVuZE5vdGU+PENpdGU+PEF1dGhvcj5QYXRybzwvQXV0aG9yPjxZZWFyPjIwMTU8L1llYXI+PFJl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</w:fldData>
        </w:fldChar>
      </w:r>
      <w:r>
        <w:rPr>
          <w:rFonts w:ascii="Arial" w:eastAsia="Arial" w:hAnsi="Arial" w:cs="Arial"/>
        </w:rPr>
        <w:instrText xml:space="preserve"> ADDIN EN.CITE.DATA </w:instrText>
      </w:r>
      <w:r>
        <w:rPr>
          <w:rFonts w:ascii="Arial" w:eastAsia="Arial" w:hAnsi="Arial" w:cs="Arial"/>
        </w:rPr>
      </w:r>
      <w:r>
        <w:rPr>
          <w:rFonts w:ascii="Arial" w:eastAsia="Arial" w:hAnsi="Arial" w:cs="Arial"/>
        </w:rPr>
        <w:fldChar w:fldCharType="end"/>
      </w:r>
      <w:r w:rsidRPr="001E6BE3">
        <w:rPr>
          <w:rFonts w:ascii="Arial" w:eastAsia="Arial" w:hAnsi="Arial" w:cs="Arial"/>
        </w:rPr>
      </w:r>
      <w:r w:rsidRPr="001E6BE3">
        <w:rPr>
          <w:rFonts w:ascii="Arial" w:eastAsia="Arial" w:hAnsi="Arial" w:cs="Arial"/>
        </w:rPr>
        <w:fldChar w:fldCharType="separate"/>
      </w:r>
      <w:r>
        <w:rPr>
          <w:rFonts w:ascii="Arial" w:eastAsia="Arial" w:hAnsi="Arial" w:cs="Arial"/>
          <w:noProof/>
        </w:rPr>
        <w:t>(</w:t>
      </w:r>
      <w:r w:rsidRPr="00E54F37">
        <w:rPr>
          <w:rFonts w:ascii="Arial" w:eastAsia="Arial" w:hAnsi="Arial" w:cs="Arial"/>
          <w:i/>
          <w:noProof/>
        </w:rPr>
        <w:t>52, 53</w:t>
      </w:r>
      <w:r>
        <w:rPr>
          <w:rFonts w:ascii="Arial" w:eastAsia="Arial" w:hAnsi="Arial" w:cs="Arial"/>
          <w:noProof/>
        </w:rPr>
        <w:t>)</w:t>
      </w:r>
      <w:r w:rsidRPr="001E6BE3">
        <w:rPr>
          <w:rFonts w:ascii="Arial" w:eastAsia="Arial" w:hAnsi="Arial" w:cs="Arial"/>
        </w:rPr>
        <w:fldChar w:fldCharType="end"/>
      </w:r>
      <w:r w:rsidRPr="001E6BE3">
        <w:rPr>
          <w:rFonts w:ascii="Arial" w:eastAsia="Arial" w:hAnsi="Arial" w:cs="Arial"/>
        </w:rPr>
        <w:t xml:space="preserve"> and imported to R using </w:t>
      </w:r>
      <w:proofErr w:type="spellStart"/>
      <w:r w:rsidRPr="001E6BE3">
        <w:rPr>
          <w:rFonts w:ascii="Arial" w:eastAsia="Arial" w:hAnsi="Arial" w:cs="Arial"/>
        </w:rPr>
        <w:t>tximports</w:t>
      </w:r>
      <w:proofErr w:type="spellEnd"/>
      <w:r w:rsidRPr="001E6BE3">
        <w:rPr>
          <w:rFonts w:ascii="Arial" w:eastAsia="Arial" w:hAnsi="Arial" w:cs="Arial"/>
        </w:rPr>
        <w:t xml:space="preserve"> </w:t>
      </w:r>
      <w:r w:rsidRPr="001E6BE3">
        <w:rPr>
          <w:rFonts w:ascii="Arial" w:eastAsia="Arial" w:hAnsi="Arial" w:cs="Arial"/>
        </w:rPr>
        <w:fldChar w:fldCharType="begin">
          <w:fldData xml:space="preserve">PEVuZE5vdGU+PENpdGU+PEF1dGhvcj5Tb25lc29uPC9BdXRob3I+PFllYXI+MjAxNTwvWWVhcj48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</w:fldData>
        </w:fldChar>
      </w:r>
      <w:r>
        <w:rPr>
          <w:rFonts w:ascii="Arial" w:eastAsia="Arial" w:hAnsi="Arial" w:cs="Arial"/>
        </w:rPr>
        <w:instrText xml:space="preserve"> ADDIN EN.CITE </w:instrText>
      </w:r>
      <w:r>
        <w:rPr>
          <w:rFonts w:ascii="Arial" w:eastAsia="Arial" w:hAnsi="Arial" w:cs="Arial"/>
        </w:rPr>
        <w:fldChar w:fldCharType="begin">
          <w:fldData xml:space="preserve">PEVuZE5vdGU+PENpdGU+PEF1dGhvcj5Tb25lc29uPC9BdXRob3I+PFllYXI+MjAxNTwvWWVhcj48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</w:fldData>
        </w:fldChar>
      </w:r>
      <w:r>
        <w:rPr>
          <w:rFonts w:ascii="Arial" w:eastAsia="Arial" w:hAnsi="Arial" w:cs="Arial"/>
        </w:rPr>
        <w:instrText xml:space="preserve"> ADDIN EN.CITE.DATA </w:instrText>
      </w:r>
      <w:r>
        <w:rPr>
          <w:rFonts w:ascii="Arial" w:eastAsia="Arial" w:hAnsi="Arial" w:cs="Arial"/>
        </w:rPr>
      </w:r>
      <w:r>
        <w:rPr>
          <w:rFonts w:ascii="Arial" w:eastAsia="Arial" w:hAnsi="Arial" w:cs="Arial"/>
        </w:rPr>
        <w:fldChar w:fldCharType="end"/>
      </w:r>
      <w:r w:rsidRPr="001E6BE3">
        <w:rPr>
          <w:rFonts w:ascii="Arial" w:eastAsia="Arial" w:hAnsi="Arial" w:cs="Arial"/>
        </w:rPr>
      </w:r>
      <w:r w:rsidRPr="001E6BE3">
        <w:rPr>
          <w:rFonts w:ascii="Arial" w:eastAsia="Arial" w:hAnsi="Arial" w:cs="Arial"/>
        </w:rPr>
        <w:fldChar w:fldCharType="separate"/>
      </w:r>
      <w:r>
        <w:rPr>
          <w:rFonts w:ascii="Arial" w:eastAsia="Arial" w:hAnsi="Arial" w:cs="Arial"/>
          <w:noProof/>
        </w:rPr>
        <w:t>(</w:t>
      </w:r>
      <w:r w:rsidRPr="00E54F37">
        <w:rPr>
          <w:rFonts w:ascii="Arial" w:eastAsia="Arial" w:hAnsi="Arial" w:cs="Arial"/>
          <w:i/>
          <w:noProof/>
        </w:rPr>
        <w:t>54, 55</w:t>
      </w:r>
      <w:r>
        <w:rPr>
          <w:rFonts w:ascii="Arial" w:eastAsia="Arial" w:hAnsi="Arial" w:cs="Arial"/>
          <w:noProof/>
        </w:rPr>
        <w:t>)</w:t>
      </w:r>
      <w:r w:rsidRPr="001E6BE3">
        <w:rPr>
          <w:rFonts w:ascii="Arial" w:eastAsia="Arial" w:hAnsi="Arial" w:cs="Arial"/>
        </w:rPr>
        <w:fldChar w:fldCharType="end"/>
      </w:r>
      <w:r w:rsidRPr="001E6BE3">
        <w:rPr>
          <w:rFonts w:ascii="Arial" w:eastAsia="Arial" w:hAnsi="Arial" w:cs="Arial"/>
        </w:rPr>
        <w:t xml:space="preserve">. Normalized gene expression analysis of male and female adrenal and/or blood </w:t>
      </w:r>
      <w:r w:rsidRPr="001E6BE3">
        <w:rPr>
          <w:rStyle w:val="contentpasted0"/>
          <w:rFonts w:ascii="Arial" w:hAnsi="Arial" w:cs="Arial"/>
          <w:color w:val="000000"/>
        </w:rPr>
        <w:t>50cGy</w:t>
      </w:r>
      <w:r w:rsidRPr="001E6BE3">
        <w:rPr>
          <w:rFonts w:ascii="Arial" w:eastAsia="Arial" w:hAnsi="Arial" w:cs="Arial"/>
        </w:rPr>
        <w:t xml:space="preserve"> radiation exposure compared to control was conducted using DESeq2 and significance presented for genes identified to have greater than log</w:t>
      </w:r>
      <w:r w:rsidRPr="001E6BE3">
        <w:rPr>
          <w:rFonts w:ascii="Arial" w:eastAsia="Arial" w:hAnsi="Arial" w:cs="Arial"/>
          <w:vertAlign w:val="subscript"/>
        </w:rPr>
        <w:t>2</w:t>
      </w:r>
      <w:r w:rsidRPr="001E6BE3">
        <w:rPr>
          <w:rFonts w:ascii="Arial" w:eastAsia="Arial" w:hAnsi="Arial" w:cs="Arial"/>
        </w:rPr>
        <w:t xml:space="preserve"> fold change (L2FC) of 2 and discovery rate cutoff p-value of less than 0.05 (p values were multiple test corrected using the </w:t>
      </w:r>
      <w:proofErr w:type="spellStart"/>
      <w:r w:rsidRPr="001E6BE3">
        <w:rPr>
          <w:rFonts w:ascii="Arial" w:eastAsia="Arial" w:hAnsi="Arial" w:cs="Arial"/>
        </w:rPr>
        <w:t>Benjamini</w:t>
      </w:r>
      <w:proofErr w:type="spellEnd"/>
      <w:r w:rsidRPr="001E6BE3">
        <w:rPr>
          <w:rFonts w:ascii="Arial" w:eastAsia="Arial" w:hAnsi="Arial" w:cs="Arial"/>
        </w:rPr>
        <w:t xml:space="preserve">–Hochberg method). Visualization of DEG were prepared using the </w:t>
      </w:r>
      <w:proofErr w:type="spellStart"/>
      <w:r w:rsidRPr="001E6BE3">
        <w:rPr>
          <w:rFonts w:ascii="Arial" w:eastAsia="Arial" w:hAnsi="Arial" w:cs="Arial"/>
        </w:rPr>
        <w:t>pheatmap</w:t>
      </w:r>
      <w:proofErr w:type="spellEnd"/>
      <w:r w:rsidRPr="001E6BE3">
        <w:rPr>
          <w:rFonts w:ascii="Arial" w:eastAsia="Arial" w:hAnsi="Arial" w:cs="Arial"/>
        </w:rPr>
        <w:t xml:space="preserve"> function of the </w:t>
      </w:r>
      <w:proofErr w:type="spellStart"/>
      <w:r w:rsidRPr="001E6BE3">
        <w:rPr>
          <w:rFonts w:ascii="Arial" w:eastAsia="Arial" w:hAnsi="Arial" w:cs="Arial"/>
        </w:rPr>
        <w:t>DESeq</w:t>
      </w:r>
      <w:proofErr w:type="spellEnd"/>
      <w:r w:rsidRPr="001E6BE3">
        <w:rPr>
          <w:rFonts w:ascii="Arial" w:eastAsia="Arial" w:hAnsi="Arial" w:cs="Arial"/>
        </w:rPr>
        <w:t xml:space="preserve"> results matrix.</w:t>
      </w:r>
    </w:p>
    <w:p w14:paraId="3E26A62F" w14:textId="77777777" w:rsidR="00B63ABA" w:rsidRPr="001E6BE3" w:rsidRDefault="00B63ABA" w:rsidP="00B63ABA">
      <w:pPr>
        <w:jc w:val="both"/>
        <w:rPr>
          <w:rFonts w:ascii="Arial" w:eastAsia="Arial" w:hAnsi="Arial" w:cs="Arial"/>
        </w:rPr>
      </w:pPr>
      <w:r w:rsidRPr="001E6BE3">
        <w:rPr>
          <w:rFonts w:ascii="Arial" w:eastAsia="Arial" w:hAnsi="Arial" w:cs="Arial"/>
        </w:rPr>
        <w:t xml:space="preserve">Pathways analysis was conducted using several toolkits that utilize DEG lists including Panther and </w:t>
      </w:r>
      <w:proofErr w:type="spellStart"/>
      <w:r w:rsidRPr="001E6BE3">
        <w:rPr>
          <w:rFonts w:ascii="Arial" w:eastAsia="Arial" w:hAnsi="Arial" w:cs="Arial"/>
        </w:rPr>
        <w:t>g:Profiler</w:t>
      </w:r>
      <w:proofErr w:type="spellEnd"/>
      <w:r w:rsidRPr="001E6BE3">
        <w:rPr>
          <w:rFonts w:ascii="Arial" w:eastAsia="Arial" w:hAnsi="Arial" w:cs="Arial"/>
        </w:rPr>
        <w:t xml:space="preserve">, and Gene Ontology (GO) Consensus Pathway Analysis (CPA) toolkit </w:t>
      </w:r>
      <w:r w:rsidRPr="001E6BE3">
        <w:rPr>
          <w:rFonts w:ascii="Arial" w:eastAsia="Arial" w:hAnsi="Arial" w:cs="Arial"/>
        </w:rPr>
        <w:fldChar w:fldCharType="begin"/>
      </w:r>
      <w:r>
        <w:rPr>
          <w:rFonts w:ascii="Arial" w:eastAsia="Arial" w:hAnsi="Arial" w:cs="Arial"/>
        </w:rPr>
        <w:instrText xml:space="preserve"> ADDIN EN.CITE &lt;EndNote&gt;&lt;Cite&gt;&lt;Author&gt;Nguyen&lt;/Author&gt;&lt;Year&gt;2021&lt;/Year&gt;&lt;RecNum&gt;0&lt;/RecNum&gt;&lt;IDText&gt;CPA: a web-based platform for consensus pathway analysis and interactive visualization&lt;/IDText&gt;&lt;DisplayText&gt;(&lt;style face="italic"&gt;56&lt;/style&gt;)&lt;/DisplayText&gt;&lt;record&gt;&lt;dates&gt;&lt;pub-dates&gt;&lt;date&gt;Jul 02&lt;/date&gt;&lt;/pub-dates&gt;&lt;year&gt;2021&lt;/year&gt;&lt;/dates&gt;&lt;keywords&gt;&lt;keyword&gt;Alzheimer Disease&lt;/keyword&gt;&lt;keyword&gt;Datasets as Topic&lt;/keyword&gt;&lt;keyword&gt;Gene Expression&lt;/keyword&gt;&lt;keyword&gt;Gene Ontology&lt;/keyword&gt;&lt;keyword&gt;Humans&lt;/keyword&gt;&lt;keyword&gt;Internet&lt;/keyword&gt;&lt;keyword&gt;Software&lt;/keyword&gt;&lt;/keywords&gt;&lt;urls&gt;&lt;related-urls&gt;&lt;url&gt;https://www.ncbi.nlm.nih.gov/pubmed/34037798&lt;/url&gt;&lt;/related-urls&gt;&lt;/urls&gt;&lt;isbn&gt;1362-4962&lt;/isbn&gt;&lt;custom2&gt;PMC8262702&lt;/custom2&gt;&lt;titles&gt;&lt;title&gt;CPA: a web-based platform for consensus pathway analysis and interactive visualization&lt;/title&gt;&lt;secondary-title&gt;Nucleic Acids Res&lt;/secondary-title&gt;&lt;/titles&gt;&lt;pages&gt;W114-W124&lt;/pages&gt;&lt;number&gt;W1&lt;/number&gt;&lt;contributors&gt;&lt;authors&gt;&lt;author&gt;Nguyen, H.&lt;/author&gt;&lt;author&gt;Tran, D.&lt;/author&gt;&lt;author&gt;Galazka, J. M.&lt;/author&gt;&lt;author&gt;Costes, S. V.&lt;/author&gt;&lt;author&gt;Beheshti, A.&lt;/author&gt;&lt;author&gt;Petereit, J.&lt;/author&gt;&lt;author&gt;Draghici, S.&lt;/author&gt;&lt;author&gt;Nguyen, T.&lt;/author&gt;&lt;/authors&gt;&lt;/contributors&gt;&lt;language&gt;eng&lt;/language&gt;&lt;added-date format="utc"&gt;1669751665&lt;/added-date&gt;&lt;ref-type name="Journal Article"&gt;17&lt;/ref-type&gt;&lt;auth-address&gt;University of Nevada Reno, Department of Computer Science and Engineering, Reno, NV 89557, USA. NASA Ames Research Center, Space Biosciences Division, Moffett Field, CA 94035, USA. KBR, NASA Ames Research Center, Space Biosciences Division, Moffett Field, CA 94035, USA. University of Nevada Reno, Nevada Bioinformatics Center, Reno, NV 89557, USA. Wayne State University, Department of Computer Science, Detroit, MI 48202, USA.&lt;/auth-address&gt;&lt;rec-number&gt;2036&lt;/rec-number&gt;&lt;last-updated-date format="utc"&gt;1669751665&lt;/last-updated-date&gt;&lt;accession-num&gt;34037798&lt;/accession-num&gt;&lt;electronic-resource-num&gt;10.1093/nar/gkab421&lt;/electronic-resource-num&gt;&lt;volume&gt;49&lt;/volume&gt;&lt;/record&gt;&lt;/Cite&gt;&lt;/EndNote&gt;</w:instrText>
      </w:r>
      <w:r w:rsidRPr="001E6BE3">
        <w:rPr>
          <w:rFonts w:ascii="Arial" w:eastAsia="Arial" w:hAnsi="Arial" w:cs="Arial"/>
        </w:rPr>
        <w:fldChar w:fldCharType="separate"/>
      </w:r>
      <w:r>
        <w:rPr>
          <w:rFonts w:ascii="Arial" w:eastAsia="Arial" w:hAnsi="Arial" w:cs="Arial"/>
          <w:noProof/>
        </w:rPr>
        <w:t>(</w:t>
      </w:r>
      <w:r w:rsidRPr="00E54F37">
        <w:rPr>
          <w:rFonts w:ascii="Arial" w:eastAsia="Arial" w:hAnsi="Arial" w:cs="Arial"/>
          <w:i/>
          <w:noProof/>
        </w:rPr>
        <w:t>56</w:t>
      </w:r>
      <w:r>
        <w:rPr>
          <w:rFonts w:ascii="Arial" w:eastAsia="Arial" w:hAnsi="Arial" w:cs="Arial"/>
          <w:noProof/>
        </w:rPr>
        <w:t>)</w:t>
      </w:r>
      <w:r w:rsidRPr="001E6BE3">
        <w:rPr>
          <w:rFonts w:ascii="Arial" w:eastAsia="Arial" w:hAnsi="Arial" w:cs="Arial"/>
        </w:rPr>
        <w:fldChar w:fldCharType="end"/>
      </w:r>
      <w:r w:rsidRPr="001E6BE3">
        <w:rPr>
          <w:rFonts w:ascii="Arial" w:eastAsia="Arial" w:hAnsi="Arial" w:cs="Arial"/>
        </w:rPr>
        <w:t xml:space="preserve"> which considered both gene and Log</w:t>
      </w:r>
      <w:r w:rsidRPr="001E6BE3">
        <w:rPr>
          <w:rFonts w:ascii="Arial" w:eastAsia="Arial" w:hAnsi="Arial" w:cs="Arial"/>
          <w:vertAlign w:val="subscript"/>
        </w:rPr>
        <w:t xml:space="preserve">2 </w:t>
      </w:r>
      <w:r w:rsidRPr="001E6BE3">
        <w:rPr>
          <w:rFonts w:ascii="Arial" w:eastAsia="Arial" w:hAnsi="Arial" w:cs="Arial"/>
        </w:rPr>
        <w:t xml:space="preserve">fold change between </w:t>
      </w:r>
      <w:r w:rsidRPr="001E6BE3">
        <w:rPr>
          <w:rStyle w:val="contentpasted0"/>
          <w:rFonts w:ascii="Arial" w:hAnsi="Arial" w:cs="Arial"/>
          <w:color w:val="000000"/>
        </w:rPr>
        <w:t xml:space="preserve">50 </w:t>
      </w:r>
      <w:proofErr w:type="spellStart"/>
      <w:r w:rsidRPr="001E6BE3">
        <w:rPr>
          <w:rStyle w:val="contentpasted0"/>
          <w:rFonts w:ascii="Arial" w:hAnsi="Arial" w:cs="Arial"/>
          <w:color w:val="000000"/>
        </w:rPr>
        <w:t>cGy</w:t>
      </w:r>
      <w:proofErr w:type="spellEnd"/>
      <w:r w:rsidRPr="001E6BE3">
        <w:rPr>
          <w:rFonts w:ascii="Arial" w:eastAsia="Arial" w:hAnsi="Arial" w:cs="Arial"/>
        </w:rPr>
        <w:t xml:space="preserve"> radiation exposure and control. </w:t>
      </w:r>
    </w:p>
    <w:p w14:paraId="5775267F" w14:textId="77777777" w:rsidR="00B63ABA" w:rsidRPr="001E6BE3" w:rsidRDefault="00B63ABA" w:rsidP="00B63ABA">
      <w:pPr>
        <w:jc w:val="both"/>
        <w:rPr>
          <w:rFonts w:ascii="Arial" w:eastAsia="Arial" w:hAnsi="Arial" w:cs="Arial"/>
          <w:b/>
        </w:rPr>
      </w:pPr>
    </w:p>
    <w:p w14:paraId="4452AFE7" w14:textId="77777777" w:rsidR="00B63ABA" w:rsidRPr="001E6BE3" w:rsidRDefault="00B63ABA" w:rsidP="00B63ABA">
      <w:pPr>
        <w:jc w:val="both"/>
        <w:rPr>
          <w:rFonts w:ascii="Arial" w:eastAsia="Arial" w:hAnsi="Arial" w:cs="Arial"/>
          <w:b/>
        </w:rPr>
      </w:pPr>
      <w:r w:rsidRPr="001E6BE3">
        <w:rPr>
          <w:rFonts w:ascii="Arial" w:eastAsia="Arial" w:hAnsi="Arial" w:cs="Arial"/>
          <w:b/>
        </w:rPr>
        <w:t>Statistical Analysis</w:t>
      </w:r>
    </w:p>
    <w:p w14:paraId="3332FB9F" w14:textId="77777777" w:rsidR="00B63ABA" w:rsidRPr="001E6BE3" w:rsidRDefault="00B63ABA" w:rsidP="00B63ABA">
      <w:pPr>
        <w:jc w:val="both"/>
        <w:rPr>
          <w:rFonts w:ascii="Arial" w:eastAsia="Arial" w:hAnsi="Arial" w:cs="Arial"/>
        </w:rPr>
      </w:pPr>
      <w:r w:rsidRPr="001E6BE3">
        <w:rPr>
          <w:rFonts w:ascii="Arial" w:eastAsia="Arial" w:hAnsi="Arial" w:cs="Arial"/>
        </w:rPr>
        <w:t>Data outliers were identified using a Grubb’s test (alpha = 0.05) and removed. Normality and lognormality test to assess normal Gaussian distribution, with Kolmogorov-Smirnov normality test (p &lt; 0.05) was performed. If data passed normality a parametric analysis was performed using a paired one-way ANOVA with a Tukey post hoc test. If data did not pass normality a nonparametric analysis was performed using a paired analysis and a Dunn’s multiple comparisons post hoc test. All statistical analyses were performed using GraphPad Prism software (version 6.0).</w:t>
      </w:r>
    </w:p>
    <w:p w14:paraId="2FB6C2F7" w14:textId="11625699" w:rsidR="00B63ABA" w:rsidRPr="00B63ABA" w:rsidRDefault="00B63ABA">
      <w:pPr>
        <w:rPr>
          <w:rFonts w:ascii="Arial" w:hAnsi="Arial" w:cs="Arial"/>
        </w:rPr>
      </w:pPr>
    </w:p>
    <w:p w14:paraId="1D45A574" w14:textId="77777777" w:rsidR="00B11285" w:rsidRDefault="00B11285">
      <w:pPr>
        <w:rPr>
          <w:rFonts w:ascii="Arial" w:hAnsi="Arial" w:cs="Arial"/>
          <w:b/>
        </w:rPr>
      </w:pPr>
      <w:r>
        <w:rPr>
          <w:rFonts w:ascii="Arial" w:hAnsi="Arial" w:cs="Arial"/>
          <w:b/>
        </w:rPr>
        <w:br w:type="page"/>
      </w:r>
    </w:p>
    <w:p w14:paraId="47DDAAA1" w14:textId="77EB69C5" w:rsidR="00B63ABA" w:rsidRDefault="00B63ABA">
      <w:pPr>
        <w:rPr>
          <w:rFonts w:ascii="Arial" w:hAnsi="Arial" w:cs="Arial"/>
          <w:b/>
        </w:rPr>
      </w:pPr>
      <w:r w:rsidRPr="00B63ABA">
        <w:rPr>
          <w:rFonts w:ascii="Arial" w:hAnsi="Arial" w:cs="Arial"/>
          <w:b/>
        </w:rPr>
        <w:lastRenderedPageBreak/>
        <w:t>Supplementary Figures</w:t>
      </w:r>
    </w:p>
    <w:p w14:paraId="191ADF69" w14:textId="77777777" w:rsidR="00B11285" w:rsidRDefault="00B11285" w:rsidP="00B11285">
      <w:pPr>
        <w:rPr>
          <w:rFonts w:ascii="Arial" w:hAnsi="Arial" w:cs="Arial"/>
          <w:b/>
        </w:rPr>
      </w:pPr>
    </w:p>
    <w:p w14:paraId="25F5E957" w14:textId="48EFEEB7" w:rsidR="00B11285" w:rsidRDefault="00B11285" w:rsidP="00B11285">
      <w:pPr>
        <w:rPr>
          <w:rFonts w:ascii="Arial" w:hAnsi="Arial" w:cs="Arial"/>
        </w:rPr>
      </w:pPr>
      <w:r w:rsidRPr="00B11285">
        <w:rPr>
          <w:rFonts w:ascii="Arial" w:hAnsi="Arial" w:cs="Arial"/>
          <w:b/>
        </w:rPr>
        <w:t>Supplemental Table 1.</w:t>
      </w:r>
      <w:r>
        <w:rPr>
          <w:rFonts w:ascii="Arial" w:hAnsi="Arial" w:cs="Arial"/>
        </w:rPr>
        <w:t xml:space="preserve"> Differentially expresses gene (DEG) annotated gene lists for male and female blood and adrenals (p &lt; 0.05).</w:t>
      </w:r>
    </w:p>
    <w:p w14:paraId="37A5B0B5" w14:textId="77777777" w:rsidR="00B11285" w:rsidRDefault="00B11285">
      <w:pPr>
        <w:rPr>
          <w:rFonts w:ascii="Arial" w:hAnsi="Arial" w:cs="Arial"/>
        </w:rPr>
      </w:pPr>
      <w:r>
        <w:rPr>
          <w:rFonts w:ascii="Arial" w:hAnsi="Arial" w:cs="Arial"/>
        </w:rPr>
        <w:br w:type="page"/>
      </w:r>
    </w:p>
    <w:p w14:paraId="5FF684C7" w14:textId="66E08497" w:rsidR="00830378" w:rsidRPr="00830378" w:rsidRDefault="00830378" w:rsidP="00830378">
      <w:pPr>
        <w:jc w:val="both"/>
        <w:rPr>
          <w:rFonts w:ascii="Arial" w:hAnsi="Arial" w:cs="Arial"/>
        </w:rPr>
      </w:pPr>
      <w:r w:rsidRPr="00830378">
        <w:rPr>
          <w:rFonts w:ascii="Arial" w:hAnsi="Arial" w:cs="Arial"/>
          <w:noProof/>
        </w:rPr>
        <w:lastRenderedPageBreak/>
        <w:drawing>
          <wp:anchor distT="0" distB="0" distL="114300" distR="114300" simplePos="0" relativeHeight="251658240" behindDoc="0" locked="0" layoutInCell="1" allowOverlap="1" wp14:anchorId="2F5EA0ED" wp14:editId="2F443636">
            <wp:simplePos x="0" y="0"/>
            <wp:positionH relativeFrom="column">
              <wp:posOffset>0</wp:posOffset>
            </wp:positionH>
            <wp:positionV relativeFrom="paragraph">
              <wp:posOffset>0</wp:posOffset>
            </wp:positionV>
            <wp:extent cx="5943600" cy="2893984"/>
            <wp:effectExtent l="0" t="0" r="0" b="1905"/>
            <wp:wrapTopAndBottom/>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cstate="print">
                      <a:extLst>
                        <a:ext uri="{28A0092B-C50C-407E-A947-70E740481C1C}">
                          <a14:useLocalDpi xmlns:a14="http://schemas.microsoft.com/office/drawing/2010/main" val="0"/>
                        </a:ext>
                      </a:extLst>
                    </a:blip>
                    <a:srcRect t="7444"/>
                    <a:stretch/>
                  </pic:blipFill>
                  <pic:spPr bwMode="auto">
                    <a:xfrm>
                      <a:off x="0" y="0"/>
                      <a:ext cx="5943600" cy="289398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30378">
        <w:rPr>
          <w:rFonts w:ascii="Arial" w:hAnsi="Arial" w:cs="Arial"/>
          <w:b/>
        </w:rPr>
        <w:t>Supplemental</w:t>
      </w:r>
      <w:r>
        <w:rPr>
          <w:rFonts w:ascii="Arial" w:hAnsi="Arial" w:cs="Arial"/>
        </w:rPr>
        <w:t xml:space="preserve"> </w:t>
      </w:r>
      <w:r w:rsidRPr="00830378">
        <w:rPr>
          <w:rFonts w:ascii="Arial" w:hAnsi="Arial" w:cs="Arial"/>
          <w:b/>
          <w:bCs/>
        </w:rPr>
        <w:t xml:space="preserve">Figure </w:t>
      </w:r>
      <w:r>
        <w:rPr>
          <w:rFonts w:ascii="Arial" w:hAnsi="Arial" w:cs="Arial"/>
          <w:b/>
          <w:bCs/>
        </w:rPr>
        <w:t>1</w:t>
      </w:r>
      <w:r w:rsidRPr="00830378">
        <w:rPr>
          <w:rFonts w:ascii="Arial" w:hAnsi="Arial" w:cs="Arial"/>
          <w:b/>
          <w:bCs/>
        </w:rPr>
        <w:t xml:space="preserve">. Sex-specific trends in oxidative stress. </w:t>
      </w:r>
      <w:r w:rsidRPr="00830378">
        <w:rPr>
          <w:rFonts w:ascii="Arial" w:hAnsi="Arial" w:cs="Arial"/>
        </w:rPr>
        <w:t xml:space="preserve">24-week-old male and female </w:t>
      </w:r>
      <w:r w:rsidRPr="00830378">
        <w:rPr>
          <w:rFonts w:ascii="Arial" w:hAnsi="Arial" w:cs="Arial"/>
          <w:i/>
          <w:iCs/>
        </w:rPr>
        <w:t xml:space="preserve">C57Bl/6J </w:t>
      </w:r>
      <w:r w:rsidRPr="00830378">
        <w:rPr>
          <w:rFonts w:ascii="Arial" w:hAnsi="Arial" w:cs="Arial"/>
        </w:rPr>
        <w:t xml:space="preserve">mice were exposed to </w:t>
      </w:r>
      <w:proofErr w:type="spellStart"/>
      <w:r w:rsidRPr="00830378">
        <w:rPr>
          <w:rFonts w:ascii="Arial" w:hAnsi="Arial" w:cs="Arial"/>
        </w:rPr>
        <w:t>GCR</w:t>
      </w:r>
      <w:r w:rsidRPr="00830378">
        <w:rPr>
          <w:rFonts w:ascii="Arial" w:hAnsi="Arial" w:cs="Arial"/>
          <w:vertAlign w:val="subscript"/>
        </w:rPr>
        <w:t>sim</w:t>
      </w:r>
      <w:proofErr w:type="spellEnd"/>
      <w:r w:rsidRPr="00830378">
        <w:rPr>
          <w:rFonts w:ascii="Arial" w:hAnsi="Arial" w:cs="Arial"/>
        </w:rPr>
        <w:t xml:space="preserve"> (0, 15, and 50 </w:t>
      </w:r>
      <w:proofErr w:type="spellStart"/>
      <w:r w:rsidRPr="00830378">
        <w:rPr>
          <w:rFonts w:ascii="Arial" w:hAnsi="Arial" w:cs="Arial"/>
        </w:rPr>
        <w:t>cGy</w:t>
      </w:r>
      <w:proofErr w:type="spellEnd"/>
      <w:r w:rsidRPr="00830378">
        <w:rPr>
          <w:rFonts w:ascii="Arial" w:hAnsi="Arial" w:cs="Arial"/>
        </w:rPr>
        <w:t xml:space="preserve">) and 3-days post-irradiation blood was collected. Red blood cells were lysed and leukocytes were stained and analyzed by flow cytometry. Representative histogram </w:t>
      </w:r>
      <w:r w:rsidRPr="00830378">
        <w:rPr>
          <w:rFonts w:ascii="Arial" w:hAnsi="Arial" w:cs="Arial"/>
          <w:b/>
          <w:bCs/>
        </w:rPr>
        <w:t xml:space="preserve">(A) </w:t>
      </w:r>
      <w:r w:rsidRPr="00830378">
        <w:rPr>
          <w:rFonts w:ascii="Arial" w:hAnsi="Arial" w:cs="Arial"/>
        </w:rPr>
        <w:t xml:space="preserve">of reactive species that measured the median fluorescence intensity (MFI) </w:t>
      </w:r>
      <w:proofErr w:type="spellStart"/>
      <w:r w:rsidRPr="00830378">
        <w:rPr>
          <w:rFonts w:ascii="Arial" w:hAnsi="Arial" w:cs="Arial"/>
        </w:rPr>
        <w:t>CellROX</w:t>
      </w:r>
      <w:proofErr w:type="spellEnd"/>
      <w:r w:rsidRPr="00830378">
        <w:rPr>
          <w:rFonts w:ascii="Arial" w:hAnsi="Arial" w:cs="Arial"/>
          <w:vertAlign w:val="superscript"/>
        </w:rPr>
        <w:t xml:space="preserve">+ </w:t>
      </w:r>
      <w:proofErr w:type="spellStart"/>
      <w:r w:rsidRPr="00830378">
        <w:rPr>
          <w:rFonts w:ascii="Arial" w:hAnsi="Arial" w:cs="Arial"/>
        </w:rPr>
        <w:t>Sytox</w:t>
      </w:r>
      <w:proofErr w:type="spellEnd"/>
      <w:r w:rsidRPr="00830378">
        <w:rPr>
          <w:rFonts w:ascii="Arial" w:hAnsi="Arial" w:cs="Arial"/>
          <w:vertAlign w:val="superscript"/>
        </w:rPr>
        <w:t>-</w:t>
      </w:r>
      <w:r w:rsidRPr="00830378">
        <w:rPr>
          <w:rFonts w:ascii="Arial" w:hAnsi="Arial" w:cs="Arial"/>
        </w:rPr>
        <w:t xml:space="preserve"> (live cells) in female (orange) and male (green) samples </w:t>
      </w:r>
      <w:r w:rsidRPr="00830378">
        <w:rPr>
          <w:rFonts w:ascii="Arial" w:hAnsi="Arial" w:cs="Arial"/>
          <w:b/>
          <w:bCs/>
        </w:rPr>
        <w:t>(B)</w:t>
      </w:r>
      <w:r w:rsidRPr="00830378">
        <w:rPr>
          <w:rFonts w:ascii="Arial" w:hAnsi="Arial" w:cs="Arial"/>
        </w:rPr>
        <w:t xml:space="preserve">. Nonparametric analyses were performed on Figure 3B, as described in the methods section. Data represent ±SEM, n = 10-12 per group. </w:t>
      </w:r>
    </w:p>
    <w:p w14:paraId="41779697" w14:textId="4CEC0600" w:rsidR="00830378" w:rsidRDefault="00830378">
      <w:pPr>
        <w:rPr>
          <w:rFonts w:ascii="Arial" w:hAnsi="Arial" w:cs="Arial"/>
        </w:rPr>
      </w:pPr>
    </w:p>
    <w:p w14:paraId="15AF066B" w14:textId="7695F73B" w:rsidR="00830378" w:rsidRDefault="00830378">
      <w:pPr>
        <w:rPr>
          <w:rFonts w:ascii="Arial" w:hAnsi="Arial" w:cs="Arial"/>
        </w:rPr>
      </w:pPr>
    </w:p>
    <w:p w14:paraId="723A93C2" w14:textId="4C436719" w:rsidR="00830378" w:rsidRDefault="00830378">
      <w:pPr>
        <w:rPr>
          <w:rFonts w:ascii="Arial" w:hAnsi="Arial" w:cs="Arial"/>
        </w:rPr>
      </w:pPr>
    </w:p>
    <w:p w14:paraId="50D6FA08" w14:textId="6242D77A" w:rsidR="00830378" w:rsidRDefault="00830378">
      <w:pPr>
        <w:rPr>
          <w:rFonts w:ascii="Arial" w:hAnsi="Arial" w:cs="Arial"/>
        </w:rPr>
      </w:pPr>
    </w:p>
    <w:p w14:paraId="3951439B" w14:textId="7D9B5471" w:rsidR="00830378" w:rsidRDefault="00830378">
      <w:pPr>
        <w:rPr>
          <w:rFonts w:ascii="Arial" w:hAnsi="Arial" w:cs="Arial"/>
        </w:rPr>
      </w:pPr>
    </w:p>
    <w:p w14:paraId="4B0369A9" w14:textId="77777777" w:rsidR="00830378" w:rsidRDefault="00830378">
      <w:pPr>
        <w:rPr>
          <w:rFonts w:ascii="Arial" w:hAnsi="Arial" w:cs="Arial"/>
        </w:rPr>
      </w:pPr>
    </w:p>
    <w:p w14:paraId="554728D2" w14:textId="77777777" w:rsidR="00B11285" w:rsidRDefault="00B11285">
      <w:pPr>
        <w:rPr>
          <w:rFonts w:ascii="Arial" w:hAnsi="Arial" w:cs="Arial"/>
          <w:b/>
        </w:rPr>
      </w:pPr>
    </w:p>
    <w:p w14:paraId="66573FE1" w14:textId="77E2FED0" w:rsidR="00830378" w:rsidRDefault="00830378" w:rsidP="00830378">
      <w:pPr>
        <w:jc w:val="center"/>
        <w:rPr>
          <w:rFonts w:ascii="Arial" w:eastAsia="Arial" w:hAnsi="Arial" w:cs="Arial"/>
          <w:b/>
        </w:rPr>
      </w:pPr>
      <w:r w:rsidRPr="00830378">
        <w:rPr>
          <w:rFonts w:ascii="Arial" w:hAnsi="Arial" w:cs="Arial"/>
          <w:b/>
          <w:noProof/>
        </w:rPr>
        <w:lastRenderedPageBreak/>
        <w:drawing>
          <wp:anchor distT="0" distB="0" distL="114300" distR="114300" simplePos="0" relativeHeight="251659264" behindDoc="0" locked="0" layoutInCell="1" allowOverlap="1" wp14:anchorId="0582780E" wp14:editId="3F7453AD">
            <wp:simplePos x="0" y="0"/>
            <wp:positionH relativeFrom="column">
              <wp:posOffset>0</wp:posOffset>
            </wp:positionH>
            <wp:positionV relativeFrom="paragraph">
              <wp:posOffset>164465</wp:posOffset>
            </wp:positionV>
            <wp:extent cx="5943600" cy="2444115"/>
            <wp:effectExtent l="0" t="0" r="0" b="0"/>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2444115"/>
                    </a:xfrm>
                    <a:prstGeom prst="rect">
                      <a:avLst/>
                    </a:prstGeom>
                  </pic:spPr>
                </pic:pic>
              </a:graphicData>
            </a:graphic>
            <wp14:sizeRelH relativeFrom="page">
              <wp14:pctWidth>0</wp14:pctWidth>
            </wp14:sizeRelH>
            <wp14:sizeRelV relativeFrom="page">
              <wp14:pctHeight>0</wp14:pctHeight>
            </wp14:sizeRelV>
          </wp:anchor>
        </w:drawing>
      </w:r>
    </w:p>
    <w:p w14:paraId="129AF9DA" w14:textId="29ECAE2F" w:rsidR="00B63ABA" w:rsidRPr="00830378" w:rsidRDefault="00B63ABA" w:rsidP="00830378">
      <w:pPr>
        <w:jc w:val="both"/>
        <w:rPr>
          <w:rFonts w:ascii="Arial" w:hAnsi="Arial" w:cs="Arial"/>
          <w:b/>
        </w:rPr>
      </w:pPr>
      <w:r w:rsidRPr="001E6BE3">
        <w:rPr>
          <w:rFonts w:ascii="Arial" w:eastAsia="Arial" w:hAnsi="Arial" w:cs="Arial"/>
          <w:b/>
        </w:rPr>
        <w:t xml:space="preserve">Supplemental Figure </w:t>
      </w:r>
      <w:r w:rsidR="00830378">
        <w:rPr>
          <w:rFonts w:ascii="Arial" w:eastAsia="Arial" w:hAnsi="Arial" w:cs="Arial"/>
          <w:b/>
        </w:rPr>
        <w:t>2</w:t>
      </w:r>
      <w:r w:rsidRPr="001E6BE3">
        <w:rPr>
          <w:rFonts w:ascii="Arial" w:eastAsia="Arial" w:hAnsi="Arial" w:cs="Arial"/>
          <w:b/>
        </w:rPr>
        <w:t xml:space="preserve">. Minimal difference in NLR at 14-days post-irradiation. </w:t>
      </w:r>
      <w:r w:rsidRPr="001E6BE3">
        <w:rPr>
          <w:rFonts w:ascii="Arial" w:eastAsia="Arial" w:hAnsi="Arial" w:cs="Arial"/>
        </w:rPr>
        <w:t xml:space="preserve">24-month-old male and female </w:t>
      </w:r>
      <w:r w:rsidRPr="001E6BE3">
        <w:rPr>
          <w:rFonts w:ascii="Arial" w:eastAsia="Arial" w:hAnsi="Arial" w:cs="Arial"/>
          <w:i/>
        </w:rPr>
        <w:t xml:space="preserve">C57Bl/6J </w:t>
      </w:r>
      <w:r w:rsidRPr="001E6BE3">
        <w:rPr>
          <w:rFonts w:ascii="Arial" w:eastAsia="Arial" w:hAnsi="Arial" w:cs="Arial"/>
        </w:rPr>
        <w:t xml:space="preserve">mice were exposed to </w:t>
      </w:r>
      <w:proofErr w:type="spellStart"/>
      <w:r w:rsidRPr="001E6BE3">
        <w:rPr>
          <w:rFonts w:ascii="Arial" w:eastAsia="Arial" w:hAnsi="Arial" w:cs="Arial"/>
        </w:rPr>
        <w:t>GCR</w:t>
      </w:r>
      <w:r w:rsidRPr="001E6BE3">
        <w:rPr>
          <w:rFonts w:ascii="Arial" w:eastAsia="Arial" w:hAnsi="Arial" w:cs="Arial"/>
          <w:vertAlign w:val="subscript"/>
        </w:rPr>
        <w:t>sim</w:t>
      </w:r>
      <w:proofErr w:type="spellEnd"/>
      <w:r w:rsidRPr="001E6BE3">
        <w:rPr>
          <w:rFonts w:ascii="Arial" w:eastAsia="Arial" w:hAnsi="Arial" w:cs="Arial"/>
        </w:rPr>
        <w:t xml:space="preserve"> (0, 15, and 50 </w:t>
      </w:r>
      <w:proofErr w:type="spellStart"/>
      <w:r w:rsidRPr="001E6BE3">
        <w:rPr>
          <w:rFonts w:ascii="Arial" w:eastAsia="Arial" w:hAnsi="Arial" w:cs="Arial"/>
        </w:rPr>
        <w:t>cGy</w:t>
      </w:r>
      <w:proofErr w:type="spellEnd"/>
      <w:r w:rsidRPr="001E6BE3">
        <w:rPr>
          <w:rFonts w:ascii="Arial" w:eastAsia="Arial" w:hAnsi="Arial" w:cs="Arial"/>
        </w:rPr>
        <w:t>) and 14-days post-IR blood was collected. Cells were lysed and leukocytes were stained and analyzed by flow cytometry. Neutrophil-to-lymphocyte ratio (NLR) was identified. Nonparametric analysis was performed, as described in the methods section. Data represent ±SEM, p* &lt; 0.05, n= 10-12 per group</w:t>
      </w:r>
    </w:p>
    <w:p w14:paraId="5E6FCD3A" w14:textId="2B8CB414" w:rsidR="00B63ABA" w:rsidRDefault="00B63ABA" w:rsidP="00B63ABA">
      <w:pPr>
        <w:jc w:val="both"/>
        <w:rPr>
          <w:rFonts w:ascii="Arial" w:eastAsia="Arial" w:hAnsi="Arial" w:cs="Arial"/>
          <w:b/>
        </w:rPr>
      </w:pPr>
    </w:p>
    <w:p w14:paraId="4FE52FB1" w14:textId="26637DA2" w:rsidR="00B11285" w:rsidRDefault="00B11285" w:rsidP="00B63ABA">
      <w:pPr>
        <w:jc w:val="both"/>
        <w:rPr>
          <w:rFonts w:ascii="Arial" w:eastAsia="Arial" w:hAnsi="Arial" w:cs="Arial"/>
          <w:b/>
        </w:rPr>
      </w:pPr>
    </w:p>
    <w:p w14:paraId="51D76BA5" w14:textId="15AC8B9F" w:rsidR="00B11285" w:rsidRPr="001E6BE3" w:rsidRDefault="00830378" w:rsidP="00B63ABA">
      <w:pPr>
        <w:jc w:val="both"/>
        <w:rPr>
          <w:rFonts w:ascii="Arial" w:eastAsia="Arial" w:hAnsi="Arial" w:cs="Arial"/>
          <w:b/>
        </w:rPr>
      </w:pPr>
      <w:r w:rsidRPr="00830378">
        <w:rPr>
          <w:rFonts w:ascii="Arial" w:eastAsia="Arial" w:hAnsi="Arial" w:cs="Arial"/>
          <w:b/>
          <w:noProof/>
        </w:rPr>
        <w:lastRenderedPageBreak/>
        <w:drawing>
          <wp:anchor distT="0" distB="0" distL="114300" distR="114300" simplePos="0" relativeHeight="251660288" behindDoc="0" locked="0" layoutInCell="1" allowOverlap="1" wp14:anchorId="17751D65" wp14:editId="556C2AA3">
            <wp:simplePos x="0" y="0"/>
            <wp:positionH relativeFrom="column">
              <wp:posOffset>0</wp:posOffset>
            </wp:positionH>
            <wp:positionV relativeFrom="paragraph">
              <wp:posOffset>0</wp:posOffset>
            </wp:positionV>
            <wp:extent cx="5943600" cy="4748530"/>
            <wp:effectExtent l="0" t="0" r="0" b="1270"/>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4748530"/>
                    </a:xfrm>
                    <a:prstGeom prst="rect">
                      <a:avLst/>
                    </a:prstGeom>
                  </pic:spPr>
                </pic:pic>
              </a:graphicData>
            </a:graphic>
            <wp14:sizeRelH relativeFrom="page">
              <wp14:pctWidth>0</wp14:pctWidth>
            </wp14:sizeRelH>
            <wp14:sizeRelV relativeFrom="page">
              <wp14:pctHeight>0</wp14:pctHeight>
            </wp14:sizeRelV>
          </wp:anchor>
        </w:drawing>
      </w:r>
    </w:p>
    <w:p w14:paraId="3989D634" w14:textId="77777777" w:rsidR="00B11285" w:rsidRDefault="00B11285" w:rsidP="00B63ABA">
      <w:pPr>
        <w:jc w:val="both"/>
        <w:rPr>
          <w:rFonts w:ascii="Arial" w:eastAsia="Arial" w:hAnsi="Arial" w:cs="Arial"/>
          <w:b/>
        </w:rPr>
      </w:pPr>
    </w:p>
    <w:p w14:paraId="02210A48" w14:textId="6148974E" w:rsidR="00B63ABA" w:rsidRPr="001E6BE3" w:rsidRDefault="00B63ABA" w:rsidP="00B63ABA">
      <w:pPr>
        <w:jc w:val="both"/>
        <w:rPr>
          <w:rFonts w:ascii="Arial" w:eastAsia="Arial" w:hAnsi="Arial" w:cs="Arial"/>
        </w:rPr>
      </w:pPr>
      <w:r w:rsidRPr="001E6BE3">
        <w:rPr>
          <w:rFonts w:ascii="Arial" w:eastAsia="Arial" w:hAnsi="Arial" w:cs="Arial"/>
          <w:b/>
        </w:rPr>
        <w:t xml:space="preserve">Supplemental Figure </w:t>
      </w:r>
      <w:r w:rsidR="00830378">
        <w:rPr>
          <w:rFonts w:ascii="Arial" w:eastAsia="Arial" w:hAnsi="Arial" w:cs="Arial"/>
          <w:b/>
        </w:rPr>
        <w:t>3</w:t>
      </w:r>
      <w:r w:rsidRPr="001E6BE3">
        <w:rPr>
          <w:rFonts w:ascii="Arial" w:eastAsia="Arial" w:hAnsi="Arial" w:cs="Arial"/>
          <w:b/>
        </w:rPr>
        <w:t xml:space="preserve">. Adrenal and blood enriched gene ontology pathways are distinct and dimorphic. </w:t>
      </w:r>
      <w:r w:rsidRPr="001E6BE3">
        <w:rPr>
          <w:rFonts w:ascii="Arial" w:eastAsia="Arial" w:hAnsi="Arial" w:cs="Arial"/>
        </w:rPr>
        <w:t>Male and female mice</w:t>
      </w:r>
      <w:r w:rsidRPr="001E6BE3">
        <w:rPr>
          <w:rFonts w:ascii="Arial" w:eastAsia="Arial" w:hAnsi="Arial" w:cs="Arial"/>
          <w:i/>
        </w:rPr>
        <w:t xml:space="preserve"> </w:t>
      </w:r>
      <w:r w:rsidRPr="001E6BE3">
        <w:rPr>
          <w:rFonts w:ascii="Arial" w:eastAsia="Arial" w:hAnsi="Arial" w:cs="Arial"/>
        </w:rPr>
        <w:t xml:space="preserve">were exposed to </w:t>
      </w:r>
      <w:proofErr w:type="spellStart"/>
      <w:r w:rsidRPr="001E6BE3">
        <w:rPr>
          <w:rFonts w:ascii="Arial" w:eastAsia="Arial" w:hAnsi="Arial" w:cs="Arial"/>
        </w:rPr>
        <w:t>GCR</w:t>
      </w:r>
      <w:r w:rsidRPr="001E6BE3">
        <w:rPr>
          <w:rFonts w:ascii="Arial" w:eastAsia="Arial" w:hAnsi="Arial" w:cs="Arial"/>
          <w:vertAlign w:val="subscript"/>
        </w:rPr>
        <w:t>sim</w:t>
      </w:r>
      <w:proofErr w:type="spellEnd"/>
      <w:r w:rsidRPr="001E6BE3">
        <w:rPr>
          <w:rFonts w:ascii="Arial" w:eastAsia="Arial" w:hAnsi="Arial" w:cs="Arial"/>
        </w:rPr>
        <w:t xml:space="preserve"> (0 and 50 </w:t>
      </w:r>
      <w:proofErr w:type="spellStart"/>
      <w:r w:rsidRPr="001E6BE3">
        <w:rPr>
          <w:rFonts w:ascii="Arial" w:eastAsia="Arial" w:hAnsi="Arial" w:cs="Arial"/>
        </w:rPr>
        <w:t>cGy</w:t>
      </w:r>
      <w:proofErr w:type="spellEnd"/>
      <w:r w:rsidRPr="001E6BE3">
        <w:rPr>
          <w:rFonts w:ascii="Arial" w:eastAsia="Arial" w:hAnsi="Arial" w:cs="Arial"/>
        </w:rPr>
        <w:t xml:space="preserve">) and at 14-days post-irradiation blood and adrenal glands were isolated and total RNA sequencing was performed. 50 </w:t>
      </w:r>
      <w:proofErr w:type="spellStart"/>
      <w:r w:rsidRPr="001E6BE3">
        <w:rPr>
          <w:rFonts w:ascii="Arial" w:eastAsia="Arial" w:hAnsi="Arial" w:cs="Arial"/>
        </w:rPr>
        <w:t>cGy</w:t>
      </w:r>
      <w:proofErr w:type="spellEnd"/>
      <w:r w:rsidRPr="001E6BE3">
        <w:rPr>
          <w:rFonts w:ascii="Arial" w:eastAsia="Arial" w:hAnsi="Arial" w:cs="Arial"/>
        </w:rPr>
        <w:t xml:space="preserve"> male and females were compared to 0 </w:t>
      </w:r>
      <w:proofErr w:type="spellStart"/>
      <w:r w:rsidRPr="001E6BE3">
        <w:rPr>
          <w:rFonts w:ascii="Arial" w:eastAsia="Arial" w:hAnsi="Arial" w:cs="Arial"/>
        </w:rPr>
        <w:t>cGy</w:t>
      </w:r>
      <w:proofErr w:type="spellEnd"/>
      <w:r w:rsidRPr="001E6BE3">
        <w:rPr>
          <w:rFonts w:ascii="Arial" w:eastAsia="Arial" w:hAnsi="Arial" w:cs="Arial"/>
        </w:rPr>
        <w:t xml:space="preserve"> sham controls and Enriched Gene Ontology PANTHER analysis converted gene to pathway for annotated DEG (</w:t>
      </w:r>
      <w:r w:rsidRPr="001E6BE3">
        <w:rPr>
          <w:rFonts w:ascii="Arial" w:eastAsia="Arial" w:hAnsi="Arial" w:cs="Arial"/>
          <w:i/>
        </w:rPr>
        <w:t>p &lt; 0.01</w:t>
      </w:r>
      <w:r w:rsidRPr="001E6BE3">
        <w:rPr>
          <w:rFonts w:ascii="Arial" w:eastAsia="Arial" w:hAnsi="Arial" w:cs="Arial"/>
        </w:rPr>
        <w:t>) in female blood</w:t>
      </w:r>
      <w:r w:rsidRPr="001E6BE3">
        <w:rPr>
          <w:rFonts w:ascii="Arial" w:eastAsia="Arial" w:hAnsi="Arial" w:cs="Arial"/>
          <w:b/>
        </w:rPr>
        <w:t xml:space="preserve"> (A) </w:t>
      </w:r>
      <w:r w:rsidRPr="001E6BE3">
        <w:rPr>
          <w:rFonts w:ascii="Arial" w:eastAsia="Arial" w:hAnsi="Arial" w:cs="Arial"/>
        </w:rPr>
        <w:t xml:space="preserve">and adrenals </w:t>
      </w:r>
      <w:r w:rsidRPr="001E6BE3">
        <w:rPr>
          <w:rFonts w:ascii="Arial" w:eastAsia="Arial" w:hAnsi="Arial" w:cs="Arial"/>
          <w:b/>
        </w:rPr>
        <w:t>(C)</w:t>
      </w:r>
      <w:r w:rsidRPr="001E6BE3">
        <w:rPr>
          <w:rFonts w:ascii="Arial" w:eastAsia="Arial" w:hAnsi="Arial" w:cs="Arial"/>
        </w:rPr>
        <w:t xml:space="preserve">, and male blood </w:t>
      </w:r>
      <w:r w:rsidRPr="001E6BE3">
        <w:rPr>
          <w:rFonts w:ascii="Arial" w:eastAsia="Arial" w:hAnsi="Arial" w:cs="Arial"/>
          <w:b/>
        </w:rPr>
        <w:t>(B)</w:t>
      </w:r>
      <w:r w:rsidRPr="001E6BE3">
        <w:rPr>
          <w:rFonts w:ascii="Arial" w:eastAsia="Arial" w:hAnsi="Arial" w:cs="Arial"/>
        </w:rPr>
        <w:t xml:space="preserve"> and adrenals </w:t>
      </w:r>
      <w:r w:rsidRPr="001E6BE3">
        <w:rPr>
          <w:rFonts w:ascii="Arial" w:eastAsia="Arial" w:hAnsi="Arial" w:cs="Arial"/>
          <w:b/>
        </w:rPr>
        <w:t>(D)</w:t>
      </w:r>
      <w:r w:rsidRPr="001E6BE3">
        <w:rPr>
          <w:rFonts w:ascii="Arial" w:eastAsia="Arial" w:hAnsi="Arial" w:cs="Arial"/>
        </w:rPr>
        <w:t>. Data represent p* &lt; 0.01, n= 3 per group. PANTHER analysis shaded circles denote unique biological pathways listed below each circle in female and males.</w:t>
      </w:r>
    </w:p>
    <w:p w14:paraId="0D2D0163" w14:textId="050CC50B" w:rsidR="00B63ABA" w:rsidRDefault="00B63ABA">
      <w:pPr>
        <w:rPr>
          <w:rFonts w:ascii="Arial" w:hAnsi="Arial" w:cs="Arial"/>
        </w:rPr>
      </w:pPr>
    </w:p>
    <w:sectPr w:rsidR="00B63ABA" w:rsidSect="00811377">
      <w:footerReference w:type="even" r:id="rId10"/>
      <w:footerReference w:type="default" r:id="rId11"/>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9976938" w14:textId="77777777" w:rsidR="00E63741" w:rsidRDefault="00E63741" w:rsidP="00B11285">
      <w:r>
        <w:separator/>
      </w:r>
    </w:p>
  </w:endnote>
  <w:endnote w:type="continuationSeparator" w:id="0">
    <w:p w14:paraId="38E5AA23" w14:textId="77777777" w:rsidR="00E63741" w:rsidRDefault="00E63741" w:rsidP="00B1128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510150686"/>
      <w:docPartObj>
        <w:docPartGallery w:val="Page Numbers (Bottom of Page)"/>
        <w:docPartUnique/>
      </w:docPartObj>
    </w:sdtPr>
    <w:sdtEndPr>
      <w:rPr>
        <w:rStyle w:val="PageNumber"/>
      </w:rPr>
    </w:sdtEndPr>
    <w:sdtContent>
      <w:p w14:paraId="05E0A6F5" w14:textId="25DB800B" w:rsidR="00B11285" w:rsidRDefault="00B11285" w:rsidP="001B13AE">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0DEADB02" w14:textId="77777777" w:rsidR="00B11285" w:rsidRDefault="00B11285" w:rsidP="00B11285">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852530113"/>
      <w:docPartObj>
        <w:docPartGallery w:val="Page Numbers (Bottom of Page)"/>
        <w:docPartUnique/>
      </w:docPartObj>
    </w:sdtPr>
    <w:sdtEndPr>
      <w:rPr>
        <w:rStyle w:val="PageNumber"/>
      </w:rPr>
    </w:sdtEndPr>
    <w:sdtContent>
      <w:p w14:paraId="01F6194D" w14:textId="036BC5E6" w:rsidR="00B11285" w:rsidRDefault="00B11285" w:rsidP="001B13AE">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71D13549" w14:textId="77777777" w:rsidR="00B11285" w:rsidRDefault="00B11285" w:rsidP="00B11285">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FAC14C5" w14:textId="77777777" w:rsidR="00E63741" w:rsidRDefault="00E63741" w:rsidP="00B11285">
      <w:r>
        <w:separator/>
      </w:r>
    </w:p>
  </w:footnote>
  <w:footnote w:type="continuationSeparator" w:id="0">
    <w:p w14:paraId="6B493E32" w14:textId="77777777" w:rsidR="00E63741" w:rsidRDefault="00E63741" w:rsidP="00B11285">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4"/>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63ABA"/>
    <w:rsid w:val="000046EB"/>
    <w:rsid w:val="00034B17"/>
    <w:rsid w:val="00080400"/>
    <w:rsid w:val="001C7CC6"/>
    <w:rsid w:val="00384494"/>
    <w:rsid w:val="005C5319"/>
    <w:rsid w:val="005D23DA"/>
    <w:rsid w:val="00616E89"/>
    <w:rsid w:val="00676D9F"/>
    <w:rsid w:val="006F1770"/>
    <w:rsid w:val="007514B4"/>
    <w:rsid w:val="007D0AC5"/>
    <w:rsid w:val="007F3C7D"/>
    <w:rsid w:val="00811377"/>
    <w:rsid w:val="00830378"/>
    <w:rsid w:val="009A212E"/>
    <w:rsid w:val="00A47E4D"/>
    <w:rsid w:val="00B11285"/>
    <w:rsid w:val="00B13AEC"/>
    <w:rsid w:val="00B63ABA"/>
    <w:rsid w:val="00D334F8"/>
    <w:rsid w:val="00E33873"/>
    <w:rsid w:val="00E63741"/>
    <w:rsid w:val="00E96266"/>
    <w:rsid w:val="00EA0A9E"/>
    <w:rsid w:val="00F2572C"/>
    <w:rsid w:val="00FA29F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CD5754C"/>
  <w15:chartTrackingRefBased/>
  <w15:docId w15:val="{87EA3B8A-B832-9C43-84B1-747F823519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B63ABA"/>
    <w:rPr>
      <w:rFonts w:ascii="Times New Roman" w:eastAsia="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B63ABA"/>
    <w:rPr>
      <w:color w:val="0563C1" w:themeColor="hyperlink"/>
      <w:u w:val="single"/>
    </w:rPr>
  </w:style>
  <w:style w:type="character" w:styleId="UnresolvedMention">
    <w:name w:val="Unresolved Mention"/>
    <w:basedOn w:val="DefaultParagraphFont"/>
    <w:uiPriority w:val="99"/>
    <w:semiHidden/>
    <w:unhideWhenUsed/>
    <w:rsid w:val="00B63ABA"/>
    <w:rPr>
      <w:color w:val="605E5C"/>
      <w:shd w:val="clear" w:color="auto" w:fill="E1DFDD"/>
    </w:rPr>
  </w:style>
  <w:style w:type="character" w:customStyle="1" w:styleId="contentpasted0">
    <w:name w:val="contentpasted0"/>
    <w:basedOn w:val="DefaultParagraphFont"/>
    <w:rsid w:val="00B63ABA"/>
  </w:style>
  <w:style w:type="paragraph" w:styleId="Footer">
    <w:name w:val="footer"/>
    <w:basedOn w:val="Normal"/>
    <w:link w:val="FooterChar"/>
    <w:uiPriority w:val="99"/>
    <w:unhideWhenUsed/>
    <w:rsid w:val="00B11285"/>
    <w:pPr>
      <w:tabs>
        <w:tab w:val="center" w:pos="4680"/>
        <w:tab w:val="right" w:pos="9360"/>
      </w:tabs>
    </w:pPr>
  </w:style>
  <w:style w:type="character" w:customStyle="1" w:styleId="FooterChar">
    <w:name w:val="Footer Char"/>
    <w:basedOn w:val="DefaultParagraphFont"/>
    <w:link w:val="Footer"/>
    <w:uiPriority w:val="99"/>
    <w:rsid w:val="00B11285"/>
    <w:rPr>
      <w:rFonts w:ascii="Times New Roman" w:eastAsia="Times New Roman" w:hAnsi="Times New Roman" w:cs="Times New Roman"/>
    </w:rPr>
  </w:style>
  <w:style w:type="character" w:styleId="PageNumber">
    <w:name w:val="page number"/>
    <w:basedOn w:val="DefaultParagraphFont"/>
    <w:uiPriority w:val="99"/>
    <w:semiHidden/>
    <w:unhideWhenUsed/>
    <w:rsid w:val="00B11285"/>
  </w:style>
  <w:style w:type="paragraph" w:styleId="NormalWeb">
    <w:name w:val="Normal (Web)"/>
    <w:basedOn w:val="Normal"/>
    <w:uiPriority w:val="99"/>
    <w:semiHidden/>
    <w:unhideWhenUsed/>
    <w:rsid w:val="00830378"/>
  </w:style>
  <w:style w:type="character" w:styleId="FollowedHyperlink">
    <w:name w:val="FollowedHyperlink"/>
    <w:basedOn w:val="DefaultParagraphFont"/>
    <w:uiPriority w:val="99"/>
    <w:semiHidden/>
    <w:unhideWhenUsed/>
    <w:rsid w:val="005D23DA"/>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343946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1.tiff"/><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hyperlink" Target="mailto:amber.paul@erau.edu" TargetMode="External"/><Relationship Id="rId11" Type="http://schemas.openxmlformats.org/officeDocument/2006/relationships/footer" Target="footer2.xml"/><Relationship Id="rId5" Type="http://schemas.openxmlformats.org/officeDocument/2006/relationships/endnotes" Target="endnotes.xml"/><Relationship Id="rId10" Type="http://schemas.openxmlformats.org/officeDocument/2006/relationships/footer" Target="footer1.xml"/><Relationship Id="rId4" Type="http://schemas.openxmlformats.org/officeDocument/2006/relationships/footnotes" Target="footnotes.xml"/><Relationship Id="rId9" Type="http://schemas.openxmlformats.org/officeDocument/2006/relationships/image" Target="media/image3.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TotalTime>
  <Pages>6</Pages>
  <Words>1358</Words>
  <Characters>7746</Characters>
  <Application>Microsoft Office Word</Application>
  <DocSecurity>0</DocSecurity>
  <Lines>64</Lines>
  <Paragraphs>18</Paragraphs>
  <ScaleCrop>false</ScaleCrop>
  <Company/>
  <LinksUpToDate>false</LinksUpToDate>
  <CharactersWithSpaces>9086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Paul, Amber</dc:creator>
  <cp:keywords/>
  <dc:description/>
  <cp:lastModifiedBy>Paul, Amber</cp:lastModifiedBy>
  <cp:revision>6</cp:revision>
  <dcterms:created xsi:type="dcterms:W3CDTF">2023-03-14T02:58:00Z</dcterms:created>
  <dcterms:modified xsi:type="dcterms:W3CDTF">2023-03-17T03:27:00Z</dcterms:modified>
</cp:coreProperties>
</file>