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CAB76" w14:textId="488F7480" w:rsidR="004A0B1C" w:rsidRPr="005F6B64" w:rsidRDefault="00345B17" w:rsidP="004A0B1C">
      <w:pPr>
        <w:spacing w:line="240" w:lineRule="auto"/>
        <w:jc w:val="center"/>
        <w:rPr>
          <w:rFonts w:ascii="Times New Roman" w:eastAsia="Times New Roman" w:hAnsi="Times New Roman" w:cs="Times New Roman"/>
          <w:color w:val="000000" w:themeColor="text1"/>
          <w:sz w:val="20"/>
          <w:szCs w:val="20"/>
          <w:lang w:val="en-US"/>
        </w:rPr>
      </w:pPr>
      <w:r w:rsidRPr="005F6B64">
        <w:rPr>
          <w:rFonts w:ascii="Times New Roman" w:eastAsia="Times New Roman" w:hAnsi="Times New Roman" w:cs="Times New Roman"/>
          <w:color w:val="000000" w:themeColor="text1"/>
          <w:sz w:val="20"/>
          <w:szCs w:val="20"/>
          <w:lang w:val="en-US"/>
        </w:rPr>
        <w:t>Supplementary Information</w:t>
      </w:r>
      <w:r w:rsidR="000C219E" w:rsidRPr="005F6B64">
        <w:rPr>
          <w:rFonts w:ascii="Times New Roman" w:eastAsia="Times New Roman" w:hAnsi="Times New Roman" w:cs="Times New Roman"/>
          <w:color w:val="000000" w:themeColor="text1"/>
          <w:sz w:val="20"/>
          <w:szCs w:val="20"/>
          <w:lang w:val="en-US"/>
        </w:rPr>
        <w:t xml:space="preserve"> 1</w:t>
      </w:r>
    </w:p>
    <w:p w14:paraId="29935384" w14:textId="069BBB81" w:rsidR="006A75F8" w:rsidRPr="005F6B64" w:rsidRDefault="006A75F8" w:rsidP="00676BBE">
      <w:pPr>
        <w:spacing w:line="240" w:lineRule="auto"/>
        <w:rPr>
          <w:rFonts w:ascii="Times New Roman" w:eastAsia="Times New Roman" w:hAnsi="Times New Roman" w:cs="Times New Roman"/>
          <w:color w:val="000000" w:themeColor="text1"/>
          <w:sz w:val="20"/>
          <w:szCs w:val="20"/>
          <w:lang w:val="en-US"/>
        </w:rPr>
      </w:pPr>
    </w:p>
    <w:p w14:paraId="33ADFF7E" w14:textId="10D52FF2" w:rsidR="004A0B1C" w:rsidRPr="005F6B64" w:rsidRDefault="1575D7E1" w:rsidP="00CA3092">
      <w:pPr>
        <w:spacing w:line="240" w:lineRule="auto"/>
        <w:jc w:val="center"/>
        <w:rPr>
          <w:rFonts w:ascii="Times New Roman" w:eastAsia="Times New Roman" w:hAnsi="Times New Roman" w:cs="Times New Roman"/>
          <w:b/>
          <w:bCs/>
          <w:color w:val="000000" w:themeColor="text1"/>
          <w:sz w:val="20"/>
          <w:szCs w:val="20"/>
          <w:lang w:val="en-US"/>
        </w:rPr>
      </w:pPr>
      <w:r w:rsidRPr="005F6B64">
        <w:rPr>
          <w:rFonts w:ascii="Times New Roman" w:eastAsia="Times New Roman" w:hAnsi="Times New Roman" w:cs="Times New Roman"/>
          <w:b/>
          <w:bCs/>
          <w:color w:val="000000" w:themeColor="text1"/>
          <w:sz w:val="20"/>
          <w:szCs w:val="20"/>
          <w:lang w:val="en-US"/>
        </w:rPr>
        <w:t>Childhood effortful control and adherence to physical distancing during COVID-19 pandemic: a 10-Year follow-up study</w:t>
      </w:r>
    </w:p>
    <w:p w14:paraId="53EC0A57" w14:textId="72D7CFC8" w:rsidR="006A75F8" w:rsidRPr="005F6B64" w:rsidRDefault="006A75F8" w:rsidP="00676BBE">
      <w:pPr>
        <w:spacing w:line="240" w:lineRule="auto"/>
        <w:rPr>
          <w:rFonts w:ascii="Times New Roman" w:eastAsia="Times New Roman" w:hAnsi="Times New Roman" w:cs="Times New Roman"/>
          <w:color w:val="000000" w:themeColor="text1"/>
          <w:sz w:val="20"/>
          <w:szCs w:val="20"/>
        </w:rPr>
      </w:pPr>
    </w:p>
    <w:p w14:paraId="48CF7A6A" w14:textId="5658687A" w:rsidR="006A75F8" w:rsidRPr="005F6B64" w:rsidRDefault="00843461" w:rsidP="00676BBE">
      <w:pPr>
        <w:spacing w:line="240" w:lineRule="auto"/>
        <w:rPr>
          <w:rFonts w:ascii="Times New Roman" w:eastAsia="Times New Roman" w:hAnsi="Times New Roman" w:cs="Times New Roman"/>
          <w:b/>
          <w:bCs/>
          <w:color w:val="000000" w:themeColor="text1"/>
          <w:sz w:val="20"/>
          <w:szCs w:val="20"/>
          <w:lang w:val="en-US"/>
        </w:rPr>
      </w:pPr>
      <w:r w:rsidRPr="005F6B64">
        <w:rPr>
          <w:rFonts w:ascii="Times New Roman" w:eastAsia="Times New Roman" w:hAnsi="Times New Roman" w:cs="Times New Roman"/>
          <w:b/>
          <w:bCs/>
          <w:color w:val="000000" w:themeColor="text1"/>
          <w:sz w:val="20"/>
          <w:szCs w:val="20"/>
          <w:lang w:val="en-US"/>
        </w:rPr>
        <w:t>Confirmatory Factor Analysis and Logistic Regression</w:t>
      </w:r>
      <w:r w:rsidR="009674FA" w:rsidRPr="005F6B64">
        <w:rPr>
          <w:rFonts w:ascii="Times New Roman" w:eastAsia="Times New Roman" w:hAnsi="Times New Roman" w:cs="Times New Roman"/>
          <w:b/>
          <w:bCs/>
          <w:color w:val="000000" w:themeColor="text1"/>
          <w:sz w:val="20"/>
          <w:szCs w:val="20"/>
          <w:lang w:val="en-US"/>
        </w:rPr>
        <w:t xml:space="preserve"> </w:t>
      </w:r>
      <w:r w:rsidR="00242447" w:rsidRPr="005F6B64">
        <w:rPr>
          <w:rFonts w:ascii="Times New Roman" w:eastAsia="Times New Roman" w:hAnsi="Times New Roman" w:cs="Times New Roman"/>
          <w:b/>
          <w:bCs/>
          <w:color w:val="000000" w:themeColor="text1"/>
          <w:sz w:val="20"/>
          <w:szCs w:val="20"/>
          <w:lang w:val="en-US"/>
        </w:rPr>
        <w:t>Supporting Information</w:t>
      </w:r>
    </w:p>
    <w:p w14:paraId="4AD8A5F8" w14:textId="76E87AFC" w:rsidR="006A75F8" w:rsidRPr="005F6B64" w:rsidRDefault="28F21EB8" w:rsidP="00676BBE">
      <w:pPr>
        <w:spacing w:line="240" w:lineRule="auto"/>
        <w:ind w:firstLine="708"/>
        <w:jc w:val="both"/>
        <w:rPr>
          <w:rFonts w:ascii="Times New Roman" w:eastAsia="Times New Roman" w:hAnsi="Times New Roman" w:cs="Times New Roman"/>
          <w:color w:val="000000" w:themeColor="text1"/>
          <w:sz w:val="20"/>
          <w:szCs w:val="20"/>
          <w:lang w:val="en-US"/>
        </w:rPr>
      </w:pPr>
      <w:r w:rsidRPr="005F6B64">
        <w:rPr>
          <w:rFonts w:ascii="Times New Roman" w:eastAsia="Times New Roman" w:hAnsi="Times New Roman" w:cs="Times New Roman"/>
          <w:color w:val="222222"/>
          <w:sz w:val="20"/>
          <w:szCs w:val="20"/>
          <w:lang w:val="en-US"/>
        </w:rPr>
        <w:t>EATQ-R model es</w:t>
      </w:r>
      <w:r w:rsidRPr="005F6B64">
        <w:rPr>
          <w:rFonts w:ascii="Times New Roman" w:eastAsia="Times New Roman" w:hAnsi="Times New Roman" w:cs="Times New Roman"/>
          <w:color w:val="000000" w:themeColor="text1"/>
          <w:sz w:val="20"/>
          <w:szCs w:val="20"/>
          <w:lang w:val="en-US"/>
        </w:rPr>
        <w:t>timation was carried out using confirmatory factor analysis (CFA) with delta parameterization and weighted least squares with diagonal weight matrix with standard errors and mean- and variance-adjusted chi-square test statistics (WLSMV). To evaluate global model fit, we used root mean square error of approximation (RMSEA), comparative fit index (CFI), Tucker–Lewis index (TLI). Values of RMSEA lower than 0.060 and CFI or TLI values higher than 0.950 indicate a good-to-excellent model</w:t>
      </w:r>
      <w:r w:rsidR="002E3881" w:rsidRPr="005F6B64">
        <w:rPr>
          <w:rFonts w:ascii="Times New Roman" w:eastAsia="Times New Roman" w:hAnsi="Times New Roman" w:cs="Times New Roman"/>
          <w:color w:val="000000" w:themeColor="text1"/>
          <w:sz w:val="20"/>
          <w:szCs w:val="20"/>
          <w:lang w:val="en-US"/>
        </w:rPr>
        <w:t xml:space="preserve"> </w:t>
      </w:r>
      <w:r w:rsidR="00196581" w:rsidRPr="005F6B64">
        <w:rPr>
          <w:rFonts w:ascii="Times New Roman" w:eastAsia="Times New Roman" w:hAnsi="Times New Roman" w:cs="Times New Roman"/>
          <w:color w:val="000000" w:themeColor="text1"/>
          <w:sz w:val="20"/>
          <w:szCs w:val="20"/>
          <w:lang w:val="en-US"/>
        </w:rPr>
        <w:fldChar w:fldCharType="begin"/>
      </w:r>
      <w:r w:rsidR="002E3881" w:rsidRPr="005F6B64">
        <w:rPr>
          <w:rFonts w:ascii="Times New Roman" w:eastAsia="Times New Roman" w:hAnsi="Times New Roman" w:cs="Times New Roman"/>
          <w:color w:val="000000" w:themeColor="text1"/>
          <w:sz w:val="20"/>
          <w:szCs w:val="20"/>
          <w:lang w:val="en-US"/>
        </w:rPr>
        <w:instrText xml:space="preserve"> ADDIN ZOTERO_ITEM CSL_CITATION {"citationID":"szyKjY9Q","properties":{"formattedCitation":"\\super 1\\nosupersub{}","plainCitation":"1","noteIndex":0},"citationItems":[{"id":703,"uris":["http://zotero.org/users/8189226/items/G7X4QCZ9"],"itemData":{"id":703,"type":"article-journal","container-title":"Structural Equation Modeling: A Multidisciplinary Journal","DOI":"10.1080/10705519909540118","ISSN":"1070-5511, 1532-8007","issue":"1","journalAbbreviation":"Structural Equation Modeling: A Multidisciplinary Journal","language":"en","page":"1-55","source":"DOI.org (Crossref)","title":"Cutoff criteria for fit indexes in covariance structure analysis: Conventional criteria versus new alternatives","title-short":"Cutoff criteria for fit indexes in covariance structure analysis","URL":"http://www.tandfonline.com/doi/abs/10.1080/10705519909540118","volume":"6","author":[{"family":"Hu","given":"Li‐tze"},{"family":"Bentler","given":"Peter M."}],"accessed":{"date-parts":[["2022",9,3]]},"issued":{"date-parts":[["1999",1]]}}}],"schema":"https://github.com/citation-style-language/schema/raw/master/csl-citation.json"} </w:instrText>
      </w:r>
      <w:r w:rsidR="00196581" w:rsidRPr="005F6B64">
        <w:rPr>
          <w:rFonts w:ascii="Times New Roman" w:eastAsia="Times New Roman" w:hAnsi="Times New Roman" w:cs="Times New Roman"/>
          <w:color w:val="000000" w:themeColor="text1"/>
          <w:sz w:val="20"/>
          <w:szCs w:val="20"/>
          <w:lang w:val="en-US"/>
        </w:rPr>
        <w:fldChar w:fldCharType="separate"/>
      </w:r>
      <w:r w:rsidR="002E3881" w:rsidRPr="005F6B64">
        <w:rPr>
          <w:rFonts w:ascii="Times New Roman" w:hAnsi="Times New Roman" w:cs="Times New Roman"/>
          <w:color w:val="000000"/>
          <w:sz w:val="20"/>
          <w:szCs w:val="20"/>
          <w:vertAlign w:val="superscript"/>
          <w:lang w:val="en-US"/>
        </w:rPr>
        <w:t>1</w:t>
      </w:r>
      <w:r w:rsidR="00196581" w:rsidRPr="005F6B64">
        <w:rPr>
          <w:rFonts w:ascii="Times New Roman" w:eastAsia="Times New Roman" w:hAnsi="Times New Roman" w:cs="Times New Roman"/>
          <w:color w:val="000000" w:themeColor="text1"/>
          <w:sz w:val="20"/>
          <w:szCs w:val="20"/>
          <w:lang w:val="en-US"/>
        </w:rPr>
        <w:fldChar w:fldCharType="end"/>
      </w:r>
      <w:r w:rsidR="002F1E20" w:rsidRPr="005F6B64">
        <w:rPr>
          <w:rFonts w:ascii="Times New Roman" w:eastAsia="Times New Roman" w:hAnsi="Times New Roman" w:cs="Times New Roman"/>
          <w:color w:val="000000" w:themeColor="text1"/>
          <w:sz w:val="20"/>
          <w:szCs w:val="20"/>
          <w:lang w:val="en-US"/>
        </w:rPr>
        <w:t xml:space="preserve">. </w:t>
      </w:r>
      <w:r w:rsidRPr="005F6B64">
        <w:rPr>
          <w:rFonts w:ascii="Times New Roman" w:eastAsia="Times New Roman" w:hAnsi="Times New Roman" w:cs="Times New Roman"/>
          <w:color w:val="000000" w:themeColor="text1"/>
          <w:sz w:val="20"/>
          <w:szCs w:val="20"/>
          <w:lang w:val="en-US"/>
        </w:rPr>
        <w:t xml:space="preserve">However, some limitations of these cut-offs are warranted for our study. </w:t>
      </w:r>
      <w:r w:rsidR="005444F0" w:rsidRPr="005F6B64">
        <w:rPr>
          <w:rFonts w:ascii="Times New Roman" w:eastAsia="Times New Roman" w:hAnsi="Times New Roman" w:cs="Times New Roman"/>
          <w:color w:val="000000" w:themeColor="text1"/>
          <w:sz w:val="20"/>
          <w:szCs w:val="20"/>
          <w:lang w:val="en-US"/>
        </w:rPr>
        <w:t xml:space="preserve">First, CFI/TLI tends to be higher (and RMSEA lower) with an increasing number of dimensions and response categories and a lower number of items. Second, the probability of correctly rejecting a </w:t>
      </w:r>
      <w:proofErr w:type="spellStart"/>
      <w:r w:rsidR="005444F0" w:rsidRPr="005F6B64">
        <w:rPr>
          <w:rFonts w:ascii="Times New Roman" w:eastAsia="Times New Roman" w:hAnsi="Times New Roman" w:cs="Times New Roman"/>
          <w:color w:val="000000" w:themeColor="text1"/>
          <w:sz w:val="20"/>
          <w:szCs w:val="20"/>
          <w:lang w:val="en-US"/>
        </w:rPr>
        <w:t>misspecified</w:t>
      </w:r>
      <w:proofErr w:type="spellEnd"/>
      <w:r w:rsidR="005444F0" w:rsidRPr="005F6B64">
        <w:rPr>
          <w:rFonts w:ascii="Times New Roman" w:eastAsia="Times New Roman" w:hAnsi="Times New Roman" w:cs="Times New Roman"/>
          <w:color w:val="000000" w:themeColor="text1"/>
          <w:sz w:val="20"/>
          <w:szCs w:val="20"/>
          <w:lang w:val="en-US"/>
        </w:rPr>
        <w:t xml:space="preserve"> model decreases with increasing sample size</w:t>
      </w:r>
      <w:r w:rsidR="00FC44C7" w:rsidRPr="005F6B64">
        <w:rPr>
          <w:rFonts w:ascii="Times New Roman" w:eastAsia="Times New Roman" w:hAnsi="Times New Roman" w:cs="Times New Roman"/>
          <w:color w:val="000000" w:themeColor="text1"/>
          <w:sz w:val="20"/>
          <w:szCs w:val="20"/>
          <w:lang w:val="en-US"/>
        </w:rPr>
        <w:t xml:space="preserve"> </w:t>
      </w:r>
      <w:r w:rsidR="00FC44C7" w:rsidRPr="005F6B64">
        <w:rPr>
          <w:rFonts w:ascii="Times New Roman" w:eastAsia="Times New Roman" w:hAnsi="Times New Roman" w:cs="Times New Roman"/>
          <w:color w:val="000000" w:themeColor="text1"/>
          <w:sz w:val="20"/>
          <w:szCs w:val="20"/>
          <w:lang w:val="en-US"/>
        </w:rPr>
        <w:fldChar w:fldCharType="begin"/>
      </w:r>
      <w:r w:rsidR="00BE7FA5" w:rsidRPr="005F6B64">
        <w:rPr>
          <w:rFonts w:ascii="Times New Roman" w:eastAsia="Times New Roman" w:hAnsi="Times New Roman" w:cs="Times New Roman"/>
          <w:color w:val="000000" w:themeColor="text1"/>
          <w:sz w:val="20"/>
          <w:szCs w:val="20"/>
          <w:lang w:val="en-US"/>
        </w:rPr>
        <w:instrText xml:space="preserve"> ADDIN ZOTERO_ITEM CSL_CITATION {"citationID":"GIr4QqxI","properties":{"formattedCitation":"\\super 2\\uc0\\u8211{}4\\nosupersub{}","plainCitation":"2–4","noteIndex":0},"citationItems":[{"id":704,"uris":["http://zotero.org/users/8189226/items/VVXXG653"],"itemData":{"id":704,"type":"article-journal","container-title":"Multivariate Behavioral Research","DOI":"10.1080/00273171.2017.1409612","ISSN":"0027-3171, 1532-7906","issue":"2","journalAbbreviation":"Multivariate Behavioral Research","language":"en","page":"172-189","source":"DOI.org (Crossref)","title":"Misspecification in Latent Change Score Models: Consequences for Parameter Estimation, Model Evaluation, and Predicting Change","title-short":"Misspecification in Latent Change Score Models","URL":"https://www.tandfonline.com/doi/full/10.1080/00273171.2017.1409612","volume":"53","author":[{"family":"Clark","given":"D. Angus"},{"family":"Nuttall","given":"Amy K."},{"family":"Bowles","given":"Ryan P."}],"accessed":{"date-parts":[["2022",9,3]]},"issued":{"date-parts":[["2018",3,4]]}}},{"id":705,"uris":["http://zotero.org/users/8189226/items/VDMAADAI"],"itemData":{"id":705,"type":"article-journal","container-title":"Structural Equation Modeling: A Multidisciplinary Journal","DOI":"10.1080/10705511.2014.915373","ISSN":"1070-5511, 1532-8007","issue":"3","journalAbbreviation":"Structural Equation Modeling: A Multidisciplinary Journal","language":"en","page":"425-438","source":"DOI.org (Crossref)","title":"A Comparison of Diagonal Weighted Least Squares Robust Estimation Techniques for Ordinal Data","URL":"http://www.tandfonline.com/doi/abs/10.1080/10705511.2014.915373","volume":"21","author":[{"family":"DiStefano","given":"Christine"},{"family":"Morgan","given":"Grant B."}],"accessed":{"date-parts":[["2022",9,3]]},"issued":{"date-parts":[["2014",7,3]]}}},{"id":706,"uris":["http://zotero.org/users/8189226/items/H7LN6H2G"],"itemData":{"id":706,"type":"article-journal","container-title":"Structural Equation Modeling: A Multidisciplinary Journal","DOI":"10.1207/s15328007sem1103_2","ISSN":"1070-5511, 1532-8007","issue":"3","journalAbbreviation":"Structural Equation Modeling: A Multidisciplinary Journal","language":"en","page":"320-341","source":"DOI.org (Crossref)","title":"In Search of Golden Rules: Comment on Hypothesis-Testing Approaches to Setting Cutoff Values for Fit Indexes and Dangers in Overgeneralizing Hu and Bentler's (1999) Findings","title-short":"In Search of Golden Rules","URL":"http://www.tandfonline.com/doi/abs/10.1207/s15328007sem1103_2","volume":"11","author":[{"family":"Marsh","given":"Herbert W."},{"family":"Hau","given":"Kit-Tai"},{"family":"Wen","given":"Zhonglin"}],"accessed":{"date-parts":[["2022",9,3]]},"issued":{"date-parts":[["2004",7]]}}}],"schema":"https://github.com/citation-style-language/schema/raw/master/csl-citation.json"} </w:instrText>
      </w:r>
      <w:r w:rsidR="00FC44C7" w:rsidRPr="005F6B64">
        <w:rPr>
          <w:rFonts w:ascii="Times New Roman" w:eastAsia="Times New Roman" w:hAnsi="Times New Roman" w:cs="Times New Roman"/>
          <w:color w:val="000000" w:themeColor="text1"/>
          <w:sz w:val="20"/>
          <w:szCs w:val="20"/>
          <w:lang w:val="en-US"/>
        </w:rPr>
        <w:fldChar w:fldCharType="separate"/>
      </w:r>
      <w:r w:rsidR="00BE7FA5" w:rsidRPr="005F6B64">
        <w:rPr>
          <w:rFonts w:ascii="Times New Roman" w:hAnsi="Times New Roman" w:cs="Times New Roman"/>
          <w:color w:val="000000"/>
          <w:sz w:val="20"/>
          <w:szCs w:val="20"/>
          <w:vertAlign w:val="superscript"/>
          <w:lang w:val="en-US"/>
        </w:rPr>
        <w:t>2–4</w:t>
      </w:r>
      <w:r w:rsidR="00FC44C7" w:rsidRPr="005F6B64">
        <w:rPr>
          <w:rFonts w:ascii="Times New Roman" w:eastAsia="Times New Roman" w:hAnsi="Times New Roman" w:cs="Times New Roman"/>
          <w:color w:val="000000" w:themeColor="text1"/>
          <w:sz w:val="20"/>
          <w:szCs w:val="20"/>
          <w:lang w:val="en-US"/>
        </w:rPr>
        <w:fldChar w:fldCharType="end"/>
      </w:r>
      <w:r w:rsidR="002F1E20" w:rsidRPr="005F6B64">
        <w:rPr>
          <w:rFonts w:ascii="Times New Roman" w:eastAsia="Times New Roman" w:hAnsi="Times New Roman" w:cs="Times New Roman"/>
          <w:color w:val="000000" w:themeColor="text1"/>
          <w:sz w:val="20"/>
          <w:szCs w:val="20"/>
          <w:lang w:val="en-US"/>
        </w:rPr>
        <w:t>.</w:t>
      </w:r>
    </w:p>
    <w:p w14:paraId="7CB16E52" w14:textId="58EBC5CD" w:rsidR="006A75F8" w:rsidRPr="005F6B64" w:rsidRDefault="28F21EB8" w:rsidP="00676BBE">
      <w:pPr>
        <w:spacing w:line="240" w:lineRule="auto"/>
        <w:ind w:firstLine="708"/>
        <w:rPr>
          <w:rFonts w:ascii="Times New Roman" w:eastAsia="Times New Roman" w:hAnsi="Times New Roman" w:cs="Times New Roman"/>
          <w:color w:val="000000" w:themeColor="text1"/>
          <w:sz w:val="20"/>
          <w:szCs w:val="20"/>
          <w:lang w:val="en-US"/>
        </w:rPr>
      </w:pPr>
      <w:r w:rsidRPr="005F6B64">
        <w:rPr>
          <w:rFonts w:ascii="Times New Roman" w:eastAsia="Times New Roman" w:hAnsi="Times New Roman" w:cs="Times New Roman"/>
          <w:color w:val="000000" w:themeColor="text1"/>
          <w:sz w:val="20"/>
          <w:szCs w:val="20"/>
          <w:lang w:val="en-US"/>
        </w:rPr>
        <w:t>The EATQ-R bifactor model resulted in acceptable fit indices (RMSEA = 0.049, 90% CI = 0.047 - 0.051; CFI = 0.914; TLI = 0.897).</w:t>
      </w:r>
    </w:p>
    <w:p w14:paraId="42C468A2" w14:textId="0ED7B92F" w:rsidR="006A75F8" w:rsidRPr="005F6B64" w:rsidRDefault="28F21EB8" w:rsidP="00676BBE">
      <w:pPr>
        <w:spacing w:line="240" w:lineRule="auto"/>
        <w:rPr>
          <w:rFonts w:ascii="Times New Roman" w:eastAsia="Times New Roman" w:hAnsi="Times New Roman" w:cs="Times New Roman"/>
          <w:color w:val="000000" w:themeColor="text1"/>
          <w:sz w:val="20"/>
          <w:szCs w:val="20"/>
          <w:lang w:val="en-US"/>
        </w:rPr>
      </w:pPr>
      <w:r w:rsidRPr="005F6B64">
        <w:rPr>
          <w:rFonts w:ascii="Times New Roman" w:eastAsia="Times New Roman" w:hAnsi="Times New Roman" w:cs="Times New Roman"/>
          <w:color w:val="000000" w:themeColor="text1"/>
          <w:sz w:val="20"/>
          <w:szCs w:val="20"/>
          <w:lang w:val="en-US"/>
        </w:rPr>
        <w:t xml:space="preserve">            Because examination of global model fit is not sufficient to fully understand the differences and quality of the factors derived from a bifactor model</w:t>
      </w:r>
      <w:r w:rsidR="00A40D28" w:rsidRPr="005F6B64">
        <w:rPr>
          <w:rFonts w:ascii="Times New Roman" w:eastAsia="Times New Roman" w:hAnsi="Times New Roman" w:cs="Times New Roman"/>
          <w:color w:val="000000" w:themeColor="text1"/>
          <w:sz w:val="20"/>
          <w:szCs w:val="20"/>
          <w:lang w:val="en-US"/>
        </w:rPr>
        <w:t xml:space="preserve"> </w:t>
      </w:r>
      <w:r w:rsidR="00A40D28" w:rsidRPr="005F6B64">
        <w:rPr>
          <w:rFonts w:ascii="Times New Roman" w:eastAsia="Times New Roman" w:hAnsi="Times New Roman" w:cs="Times New Roman"/>
          <w:color w:val="000000" w:themeColor="text1"/>
          <w:sz w:val="20"/>
          <w:szCs w:val="20"/>
          <w:lang w:val="en-US"/>
        </w:rPr>
        <w:fldChar w:fldCharType="begin"/>
      </w:r>
      <w:r w:rsidR="003857A1" w:rsidRPr="005F6B64">
        <w:rPr>
          <w:rFonts w:ascii="Times New Roman" w:eastAsia="Times New Roman" w:hAnsi="Times New Roman" w:cs="Times New Roman"/>
          <w:color w:val="000000" w:themeColor="text1"/>
          <w:sz w:val="20"/>
          <w:szCs w:val="20"/>
          <w:lang w:val="en-US"/>
        </w:rPr>
        <w:instrText xml:space="preserve"> ADDIN ZOTERO_ITEM CSL_CITATION {"citationID":"Qg7EwrZt","properties":{"formattedCitation":"\\super 5,6\\nosupersub{}","plainCitation":"5,6","noteIndex":0},"citationItems":[{"id":707,"uris":["http://zotero.org/users/8189226/items/6BJLHF7I"],"itemData":{"id":707,"type":"article-journal","container-title":"Biological Psychiatry","DOI":"10.1016/j.biopsych.2020.01.013","ISSN":"00063223","issue":"1","journalAbbreviation":"Biological Psychiatry","language":"en","page":"18-27","source":"DOI.org (Crossref)","title":"Appropriate Use of Bifactor Analysis in Psychopathology Research: Appreciating Benefits and Limitations","title-short":"Appropriate Use of Bifactor Analysis in Psychopathology Research","URL":"https://linkinghub.elsevier.com/retrieve/pii/S0006322320300470","volume":"88","author":[{"family":"Bornovalova","given":"Marina A."},{"family":"Choate","given":"Alexandria M."},{"family":"Fatimah","given":"Haya"},{"family":"Petersen","given":"Karl J."},{"family":"Wiernik","given":"Brenton M."}],"accessed":{"date-parts":[["2022",9,3]]},"issued":{"date-parts":[["2020",7]]}}},{"id":709,"uris":["http://zotero.org/users/8189226/items/N6EWC7NE"],"itemData":{"id":709,"type":"article-journal","container-title":"Journal of Abnormal Psychology","DOI":"10.1037/abn0000601","ISSN":"1939-1846, 0021-843X","issue":"7","journalAbbreviation":"Journal of Abnormal Psychology","language":"en","page":"677-688","source":"DOI.org (Crossref)","title":"Criterion validity and relationships between alternative hierarchical dimensional models of general and specific psychopathology.","URL":"http://doi.apa.org/getdoi.cfm?doi=10.1037/abn0000601","volume":"129","author":[{"family":"Moore","given":"Tyler M."},{"family":"Kaczkurkin","given":"Antonia N."},{"family":"Durham","given":"E. Leighton"},{"family":"Jeong","given":"Hee Jung"},{"family":"McDowell","given":"Malerie G."},{"family":"Dupont","given":"Randolph M."},{"family":"Applegate","given":"Brooks"},{"family":"Tackett","given":"Jennifer L."},{"family":"Cardenas-Iniguez","given":"Carlos"},{"family":"Kardan","given":"Omid"},{"family":"Akcelik","given":"Gaby N."},{"family":"Stier","given":"Andrew J."},{"family":"Rosenberg","given":"Monica D."},{"family":"Hedeker","given":"Donald"},{"family":"Berman","given":"Marc G."},{"family":"Lahey","given":"Benjamin B."}],"accessed":{"date-parts":[["2022",9,3]]},"issued":{"date-parts":[["2020",10]]}}}],"schema":"https://github.com/citation-style-language/schema/raw/master/csl-citation.json"} </w:instrText>
      </w:r>
      <w:r w:rsidR="00A40D28" w:rsidRPr="005F6B64">
        <w:rPr>
          <w:rFonts w:ascii="Times New Roman" w:eastAsia="Times New Roman" w:hAnsi="Times New Roman" w:cs="Times New Roman"/>
          <w:color w:val="000000" w:themeColor="text1"/>
          <w:sz w:val="20"/>
          <w:szCs w:val="20"/>
          <w:lang w:val="en-US"/>
        </w:rPr>
        <w:fldChar w:fldCharType="separate"/>
      </w:r>
      <w:r w:rsidR="003857A1" w:rsidRPr="005F6B64">
        <w:rPr>
          <w:rFonts w:ascii="Times New Roman" w:hAnsi="Times New Roman" w:cs="Times New Roman"/>
          <w:color w:val="000000"/>
          <w:sz w:val="20"/>
          <w:szCs w:val="20"/>
          <w:vertAlign w:val="superscript"/>
          <w:lang w:val="en-US"/>
        </w:rPr>
        <w:t>5,6</w:t>
      </w:r>
      <w:r w:rsidR="00A40D28" w:rsidRPr="005F6B64">
        <w:rPr>
          <w:rFonts w:ascii="Times New Roman" w:eastAsia="Times New Roman" w:hAnsi="Times New Roman" w:cs="Times New Roman"/>
          <w:color w:val="000000" w:themeColor="text1"/>
          <w:sz w:val="20"/>
          <w:szCs w:val="20"/>
          <w:lang w:val="en-US"/>
        </w:rPr>
        <w:fldChar w:fldCharType="end"/>
      </w:r>
      <w:r w:rsidRPr="005F6B64">
        <w:rPr>
          <w:rFonts w:ascii="Times New Roman" w:eastAsia="Times New Roman" w:hAnsi="Times New Roman" w:cs="Times New Roman"/>
          <w:color w:val="000000" w:themeColor="text1"/>
          <w:sz w:val="20"/>
          <w:szCs w:val="20"/>
          <w:lang w:val="en-US"/>
        </w:rPr>
        <w:t xml:space="preserve">, aside </w:t>
      </w:r>
      <w:proofErr w:type="spellStart"/>
      <w:r w:rsidRPr="005F6B64">
        <w:rPr>
          <w:rFonts w:ascii="Times New Roman" w:eastAsia="Segoe UI" w:hAnsi="Times New Roman" w:cs="Times New Roman"/>
          <w:color w:val="000000" w:themeColor="text1"/>
          <w:sz w:val="20"/>
          <w:szCs w:val="20"/>
          <w:lang w:val="en-US"/>
        </w:rPr>
        <w:t>ωH</w:t>
      </w:r>
      <w:proofErr w:type="spellEnd"/>
      <w:r w:rsidRPr="005F6B64">
        <w:rPr>
          <w:rFonts w:ascii="Times New Roman" w:eastAsia="Times New Roman" w:hAnsi="Times New Roman" w:cs="Times New Roman"/>
          <w:color w:val="000000" w:themeColor="text1"/>
          <w:sz w:val="20"/>
          <w:szCs w:val="20"/>
          <w:lang w:val="en-US"/>
        </w:rPr>
        <w:t xml:space="preserve"> as described above, we further estimated nine model-based reliability indices to supplementary evaluate the EATQ-R bifactor model:</w:t>
      </w:r>
    </w:p>
    <w:p w14:paraId="2E29A669" w14:textId="3A8CCDC8" w:rsidR="006A75F8" w:rsidRPr="005F6B64" w:rsidRDefault="28F21EB8" w:rsidP="00676BBE">
      <w:pPr>
        <w:pStyle w:val="ListParagraph"/>
        <w:numPr>
          <w:ilvl w:val="0"/>
          <w:numId w:val="1"/>
        </w:numPr>
        <w:spacing w:line="240" w:lineRule="auto"/>
        <w:rPr>
          <w:rFonts w:ascii="Times New Roman" w:eastAsia="Times New Roman" w:hAnsi="Times New Roman" w:cs="Times New Roman"/>
          <w:color w:val="000000" w:themeColor="text1"/>
          <w:sz w:val="20"/>
          <w:szCs w:val="20"/>
          <w:lang w:val="en-US"/>
        </w:rPr>
      </w:pPr>
      <w:r w:rsidRPr="005F6B64">
        <w:rPr>
          <w:rFonts w:ascii="Times New Roman" w:eastAsia="Times New Roman" w:hAnsi="Times New Roman" w:cs="Times New Roman"/>
          <w:color w:val="000000" w:themeColor="text1"/>
          <w:sz w:val="20"/>
          <w:szCs w:val="20"/>
          <w:lang w:val="en-US"/>
        </w:rPr>
        <w:t>Reliability index omega (ω) is a model-based reliability estimate, analogous to the alpha coefficient</w:t>
      </w:r>
      <w:r w:rsidR="005444F0" w:rsidRPr="005F6B64">
        <w:rPr>
          <w:rFonts w:ascii="Times New Roman" w:eastAsia="Times New Roman" w:hAnsi="Times New Roman" w:cs="Times New Roman"/>
          <w:color w:val="000000" w:themeColor="text1"/>
          <w:sz w:val="20"/>
          <w:szCs w:val="20"/>
          <w:lang w:val="en-US"/>
        </w:rPr>
        <w:t xml:space="preserve"> </w:t>
      </w:r>
      <w:r w:rsidRPr="005F6B64">
        <w:rPr>
          <w:rFonts w:ascii="Times New Roman" w:eastAsia="Times New Roman" w:hAnsi="Times New Roman" w:cs="Times New Roman"/>
          <w:color w:val="000000" w:themeColor="text1"/>
          <w:sz w:val="20"/>
          <w:szCs w:val="20"/>
          <w:lang w:val="en-US"/>
        </w:rPr>
        <w:t>but appropriate for tests that have varying factor loadings;</w:t>
      </w:r>
    </w:p>
    <w:p w14:paraId="50834E3A" w14:textId="19E5BA3D" w:rsidR="006A75F8" w:rsidRPr="005F6B64" w:rsidRDefault="28F21EB8" w:rsidP="00676BBE">
      <w:pPr>
        <w:pStyle w:val="ListParagraph"/>
        <w:numPr>
          <w:ilvl w:val="0"/>
          <w:numId w:val="1"/>
        </w:numPr>
        <w:spacing w:line="240" w:lineRule="auto"/>
        <w:jc w:val="both"/>
        <w:rPr>
          <w:rFonts w:ascii="Times New Roman" w:eastAsia="Times New Roman" w:hAnsi="Times New Roman" w:cs="Times New Roman"/>
          <w:color w:val="000000" w:themeColor="text1"/>
          <w:sz w:val="20"/>
          <w:szCs w:val="20"/>
          <w:lang w:val="en-US"/>
        </w:rPr>
      </w:pPr>
      <w:r w:rsidRPr="005F6B64">
        <w:rPr>
          <w:rFonts w:ascii="Times New Roman" w:eastAsia="Times New Roman" w:hAnsi="Times New Roman" w:cs="Times New Roman"/>
          <w:color w:val="000000" w:themeColor="text1"/>
          <w:sz w:val="20"/>
          <w:szCs w:val="20"/>
          <w:lang w:val="en-US"/>
        </w:rPr>
        <w:t>Hierarchical omega (</w:t>
      </w:r>
      <w:proofErr w:type="spellStart"/>
      <w:r w:rsidRPr="005F6B64">
        <w:rPr>
          <w:rFonts w:ascii="Times New Roman" w:eastAsia="Times New Roman" w:hAnsi="Times New Roman" w:cs="Times New Roman"/>
          <w:color w:val="000000" w:themeColor="text1"/>
          <w:sz w:val="20"/>
          <w:szCs w:val="20"/>
          <w:lang w:val="en-US"/>
        </w:rPr>
        <w:t>ωH</w:t>
      </w:r>
      <w:proofErr w:type="spellEnd"/>
      <w:r w:rsidRPr="005F6B64">
        <w:rPr>
          <w:rFonts w:ascii="Times New Roman" w:eastAsia="Times New Roman" w:hAnsi="Times New Roman" w:cs="Times New Roman"/>
          <w:color w:val="000000" w:themeColor="text1"/>
          <w:sz w:val="20"/>
          <w:szCs w:val="20"/>
          <w:lang w:val="en-US"/>
        </w:rPr>
        <w:t xml:space="preserve">), the proportion of total variance attributed to the general or specific factors (ω and </w:t>
      </w:r>
      <w:proofErr w:type="spellStart"/>
      <w:r w:rsidRPr="005F6B64">
        <w:rPr>
          <w:rFonts w:ascii="Times New Roman" w:eastAsia="Times New Roman" w:hAnsi="Times New Roman" w:cs="Times New Roman"/>
          <w:color w:val="000000" w:themeColor="text1"/>
          <w:sz w:val="20"/>
          <w:szCs w:val="20"/>
          <w:lang w:val="en-US"/>
        </w:rPr>
        <w:t>ωH</w:t>
      </w:r>
      <w:proofErr w:type="spellEnd"/>
      <w:r w:rsidRPr="005F6B64">
        <w:rPr>
          <w:rFonts w:ascii="Times New Roman" w:eastAsia="Times New Roman" w:hAnsi="Times New Roman" w:cs="Times New Roman"/>
          <w:color w:val="000000" w:themeColor="text1"/>
          <w:sz w:val="20"/>
          <w:szCs w:val="20"/>
          <w:lang w:val="en-US"/>
        </w:rPr>
        <w:t xml:space="preserve"> coefficients vary between 0 and 1, where higher scores indicate greater reliability);</w:t>
      </w:r>
    </w:p>
    <w:p w14:paraId="58B0E6E2" w14:textId="71FCDED3" w:rsidR="006A75F8" w:rsidRPr="005F6B64" w:rsidRDefault="28F21EB8" w:rsidP="00676BBE">
      <w:pPr>
        <w:pStyle w:val="ListParagraph"/>
        <w:numPr>
          <w:ilvl w:val="0"/>
          <w:numId w:val="1"/>
        </w:numPr>
        <w:spacing w:line="240" w:lineRule="auto"/>
        <w:jc w:val="both"/>
        <w:rPr>
          <w:rFonts w:ascii="Times New Roman" w:eastAsia="Times New Roman" w:hAnsi="Times New Roman" w:cs="Times New Roman"/>
          <w:color w:val="000000" w:themeColor="text1"/>
          <w:sz w:val="20"/>
          <w:szCs w:val="20"/>
          <w:lang w:val="en-US"/>
        </w:rPr>
      </w:pPr>
      <w:r w:rsidRPr="005F6B64">
        <w:rPr>
          <w:rFonts w:ascii="Times New Roman" w:eastAsia="Times New Roman" w:hAnsi="Times New Roman" w:cs="Times New Roman"/>
          <w:color w:val="000000" w:themeColor="text1"/>
          <w:sz w:val="20"/>
          <w:szCs w:val="20"/>
          <w:lang w:val="en-US"/>
        </w:rPr>
        <w:t xml:space="preserve">Factor determinacy (FD): the correlation between the factor scores and the estimated factor indicates that factor scores should be used if FD </w:t>
      </w:r>
      <w:r w:rsidR="000D7D76" w:rsidRPr="005F6B64">
        <w:rPr>
          <w:rFonts w:ascii="Times New Roman" w:eastAsia="Times New Roman" w:hAnsi="Times New Roman" w:cs="Times New Roman"/>
          <w:color w:val="000000" w:themeColor="text1"/>
          <w:sz w:val="20"/>
          <w:szCs w:val="20"/>
          <w:lang w:val="en-US"/>
        </w:rPr>
        <w:t>is</w:t>
      </w:r>
      <w:r w:rsidRPr="005F6B64">
        <w:rPr>
          <w:rFonts w:ascii="Times New Roman" w:eastAsia="Times New Roman" w:hAnsi="Times New Roman" w:cs="Times New Roman"/>
          <w:color w:val="000000" w:themeColor="text1"/>
          <w:sz w:val="20"/>
          <w:szCs w:val="20"/>
          <w:lang w:val="en-US"/>
        </w:rPr>
        <w:t xml:space="preserve"> at least 0.9; </w:t>
      </w:r>
    </w:p>
    <w:p w14:paraId="710C9400" w14:textId="36B6C292" w:rsidR="006A75F8" w:rsidRPr="005F6B64" w:rsidRDefault="28F21EB8" w:rsidP="00676BBE">
      <w:pPr>
        <w:pStyle w:val="ListParagraph"/>
        <w:numPr>
          <w:ilvl w:val="0"/>
          <w:numId w:val="1"/>
        </w:numPr>
        <w:spacing w:line="240" w:lineRule="auto"/>
        <w:jc w:val="both"/>
        <w:rPr>
          <w:rFonts w:ascii="Times New Roman" w:eastAsia="Times New Roman" w:hAnsi="Times New Roman" w:cs="Times New Roman"/>
          <w:color w:val="000000" w:themeColor="text1"/>
          <w:sz w:val="20"/>
          <w:szCs w:val="20"/>
          <w:lang w:val="en-US"/>
        </w:rPr>
      </w:pPr>
      <w:r w:rsidRPr="005F6B64">
        <w:rPr>
          <w:rFonts w:ascii="Times New Roman" w:eastAsia="Times New Roman" w:hAnsi="Times New Roman" w:cs="Times New Roman"/>
          <w:color w:val="000000" w:themeColor="text1"/>
          <w:sz w:val="20"/>
          <w:szCs w:val="20"/>
          <w:lang w:val="en-US"/>
        </w:rPr>
        <w:t>H: a measure of construct replicability that quantifies how well each latent factor is represented by the items loading on it (H &gt; 0.7 represents a well-defined latent variable</w:t>
      </w:r>
      <w:r w:rsidR="004E3B4A" w:rsidRPr="005F6B64">
        <w:rPr>
          <w:rFonts w:ascii="Times New Roman" w:eastAsia="Times New Roman" w:hAnsi="Times New Roman" w:cs="Times New Roman"/>
          <w:color w:val="000000" w:themeColor="text1"/>
          <w:sz w:val="20"/>
          <w:szCs w:val="20"/>
          <w:lang w:val="en-US"/>
        </w:rPr>
        <w:t xml:space="preserve"> </w:t>
      </w:r>
      <w:r w:rsidR="004E3B4A" w:rsidRPr="005F6B64">
        <w:rPr>
          <w:rFonts w:ascii="Times New Roman" w:eastAsia="Times New Roman" w:hAnsi="Times New Roman" w:cs="Times New Roman"/>
          <w:color w:val="000000" w:themeColor="text1"/>
          <w:sz w:val="20"/>
          <w:szCs w:val="20"/>
          <w:lang w:val="en-US"/>
        </w:rPr>
        <w:fldChar w:fldCharType="begin"/>
      </w:r>
      <w:r w:rsidR="00AC5216" w:rsidRPr="005F6B64">
        <w:rPr>
          <w:rFonts w:ascii="Times New Roman" w:eastAsia="Times New Roman" w:hAnsi="Times New Roman" w:cs="Times New Roman"/>
          <w:color w:val="000000" w:themeColor="text1"/>
          <w:sz w:val="20"/>
          <w:szCs w:val="20"/>
          <w:lang w:val="en-US"/>
        </w:rPr>
        <w:instrText xml:space="preserve"> ADDIN ZOTERO_ITEM CSL_CITATION {"citationID":"nJC5rPXQ","properties":{"formattedCitation":"\\super 7\\nosupersub{}","plainCitation":"7","noteIndex":0},"citationItems":[{"id":712,"uris":["http://zotero.org/users/8189226/items/AA35ZJRX"],"itemData":{"id":712,"type":"article-journal","container-title":"Structural equation modeling: Present and future","journalAbbreviation":"Structural equation modeling: Present and future","note":"publisher: Lincolnwood","page":"216","title":"Rethinking construct reliability within latent variable systems","volume":"195","author":[{"family":"Hancock","given":"Gregory R"},{"family":"Mueller","given":"Ralph O"}],"issued":{"date-parts":[["2001"]]}}}],"schema":"https://github.com/citation-style-language/schema/raw/master/csl-citation.json"} </w:instrText>
      </w:r>
      <w:r w:rsidR="004E3B4A" w:rsidRPr="005F6B64">
        <w:rPr>
          <w:rFonts w:ascii="Times New Roman" w:eastAsia="Times New Roman" w:hAnsi="Times New Roman" w:cs="Times New Roman"/>
          <w:color w:val="000000" w:themeColor="text1"/>
          <w:sz w:val="20"/>
          <w:szCs w:val="20"/>
          <w:lang w:val="en-US"/>
        </w:rPr>
        <w:fldChar w:fldCharType="separate"/>
      </w:r>
      <w:r w:rsidR="00AC5216" w:rsidRPr="005F6B64">
        <w:rPr>
          <w:rFonts w:ascii="Times New Roman" w:hAnsi="Times New Roman" w:cs="Times New Roman"/>
          <w:color w:val="000000"/>
          <w:sz w:val="20"/>
          <w:szCs w:val="20"/>
          <w:vertAlign w:val="superscript"/>
          <w:lang w:val="en-US"/>
        </w:rPr>
        <w:t>7</w:t>
      </w:r>
      <w:r w:rsidR="004E3B4A" w:rsidRPr="005F6B64">
        <w:rPr>
          <w:rFonts w:ascii="Times New Roman" w:eastAsia="Times New Roman" w:hAnsi="Times New Roman" w:cs="Times New Roman"/>
          <w:color w:val="000000" w:themeColor="text1"/>
          <w:sz w:val="20"/>
          <w:szCs w:val="20"/>
          <w:lang w:val="en-US"/>
        </w:rPr>
        <w:fldChar w:fldCharType="end"/>
      </w:r>
      <w:r w:rsidRPr="005F6B64">
        <w:rPr>
          <w:rFonts w:ascii="Times New Roman" w:eastAsia="Times New Roman" w:hAnsi="Times New Roman" w:cs="Times New Roman"/>
          <w:color w:val="000000" w:themeColor="text1"/>
          <w:sz w:val="20"/>
          <w:szCs w:val="20"/>
          <w:lang w:val="en-US"/>
        </w:rPr>
        <w:t xml:space="preserve"> </w:t>
      </w:r>
      <w:r w:rsidRPr="005F6B64">
        <w:rPr>
          <w:rFonts w:ascii="Times New Roman" w:eastAsia="Times New Roman" w:hAnsi="Times New Roman" w:cs="Times New Roman"/>
          <w:sz w:val="20"/>
          <w:szCs w:val="20"/>
          <w:lang w:val="en-US"/>
        </w:rPr>
        <w:t>(Hancock &amp; Mueller, 2001)</w:t>
      </w:r>
      <w:r w:rsidRPr="005F6B64">
        <w:rPr>
          <w:rFonts w:ascii="Times New Roman" w:eastAsia="Times New Roman" w:hAnsi="Times New Roman" w:cs="Times New Roman"/>
          <w:color w:val="000000" w:themeColor="text1"/>
          <w:sz w:val="20"/>
          <w:szCs w:val="20"/>
          <w:lang w:val="en-US"/>
        </w:rPr>
        <w:t xml:space="preserve">; </w:t>
      </w:r>
    </w:p>
    <w:p w14:paraId="414DAC1B" w14:textId="24BCBE87" w:rsidR="006A75F8" w:rsidRPr="005F6B64" w:rsidRDefault="1D631FF6" w:rsidP="00676BBE">
      <w:pPr>
        <w:pStyle w:val="ListParagraph"/>
        <w:numPr>
          <w:ilvl w:val="0"/>
          <w:numId w:val="1"/>
        </w:numPr>
        <w:spacing w:line="240" w:lineRule="auto"/>
        <w:jc w:val="both"/>
        <w:rPr>
          <w:rFonts w:ascii="Times New Roman" w:eastAsia="Times New Roman" w:hAnsi="Times New Roman" w:cs="Times New Roman"/>
          <w:color w:val="000000" w:themeColor="text1"/>
          <w:sz w:val="20"/>
          <w:szCs w:val="20"/>
          <w:lang w:val="en-US"/>
        </w:rPr>
      </w:pPr>
      <w:r w:rsidRPr="005F6B64">
        <w:rPr>
          <w:rFonts w:ascii="Times New Roman" w:eastAsia="Times New Roman" w:hAnsi="Times New Roman" w:cs="Times New Roman"/>
          <w:color w:val="000000" w:themeColor="text1"/>
          <w:sz w:val="20"/>
          <w:szCs w:val="20"/>
          <w:lang w:val="en-US"/>
        </w:rPr>
        <w:t xml:space="preserve">Explained common variance (ECV): the proportion of the total variance in included items that is explained by the general factor rather than the specific factors; </w:t>
      </w:r>
    </w:p>
    <w:p w14:paraId="164DE9E0" w14:textId="65363A1E" w:rsidR="006A75F8" w:rsidRPr="005F6B64" w:rsidRDefault="28F21EB8" w:rsidP="00676BBE">
      <w:pPr>
        <w:pStyle w:val="ListParagraph"/>
        <w:numPr>
          <w:ilvl w:val="0"/>
          <w:numId w:val="1"/>
        </w:numPr>
        <w:spacing w:line="240" w:lineRule="auto"/>
        <w:jc w:val="both"/>
        <w:rPr>
          <w:rFonts w:ascii="Times New Roman" w:eastAsia="Times New Roman" w:hAnsi="Times New Roman" w:cs="Times New Roman"/>
          <w:color w:val="000000" w:themeColor="text1"/>
          <w:sz w:val="20"/>
          <w:szCs w:val="20"/>
          <w:lang w:val="en-US"/>
        </w:rPr>
      </w:pPr>
      <w:r w:rsidRPr="005F6B64">
        <w:rPr>
          <w:rFonts w:ascii="Times New Roman" w:eastAsia="Times New Roman" w:hAnsi="Times New Roman" w:cs="Times New Roman"/>
          <w:color w:val="000000" w:themeColor="text1"/>
          <w:sz w:val="20"/>
          <w:szCs w:val="20"/>
          <w:lang w:val="en-US"/>
        </w:rPr>
        <w:t xml:space="preserve">ECV of a specific factor due to itself (ECV-SS) is the proportion of common variance of the items in each factor which is due to that factor; </w:t>
      </w:r>
    </w:p>
    <w:p w14:paraId="42D44B73" w14:textId="75DC5975" w:rsidR="006A75F8" w:rsidRPr="005F6B64" w:rsidRDefault="28F21EB8" w:rsidP="00676BBE">
      <w:pPr>
        <w:pStyle w:val="ListParagraph"/>
        <w:numPr>
          <w:ilvl w:val="0"/>
          <w:numId w:val="1"/>
        </w:numPr>
        <w:spacing w:line="240" w:lineRule="auto"/>
        <w:jc w:val="both"/>
        <w:rPr>
          <w:rFonts w:ascii="Times New Roman" w:eastAsia="Times New Roman" w:hAnsi="Times New Roman" w:cs="Times New Roman"/>
          <w:color w:val="000000" w:themeColor="text1"/>
          <w:sz w:val="20"/>
          <w:szCs w:val="20"/>
          <w:lang w:val="en-US"/>
        </w:rPr>
      </w:pPr>
      <w:r w:rsidRPr="005F6B64">
        <w:rPr>
          <w:rFonts w:ascii="Times New Roman" w:eastAsia="Times New Roman" w:hAnsi="Times New Roman" w:cs="Times New Roman"/>
          <w:color w:val="000000" w:themeColor="text1"/>
          <w:sz w:val="20"/>
          <w:szCs w:val="20"/>
          <w:lang w:val="en-US"/>
        </w:rPr>
        <w:t xml:space="preserve">ECV of a specific factor </w:t>
      </w:r>
      <w:r w:rsidR="00146438" w:rsidRPr="005F6B64">
        <w:rPr>
          <w:rFonts w:ascii="Times New Roman" w:eastAsia="Times New Roman" w:hAnsi="Times New Roman" w:cs="Times New Roman"/>
          <w:color w:val="000000" w:themeColor="text1"/>
          <w:sz w:val="20"/>
          <w:szCs w:val="20"/>
          <w:lang w:val="en-US"/>
        </w:rPr>
        <w:t>concerning</w:t>
      </w:r>
      <w:r w:rsidRPr="005F6B64">
        <w:rPr>
          <w:rFonts w:ascii="Times New Roman" w:eastAsia="Times New Roman" w:hAnsi="Times New Roman" w:cs="Times New Roman"/>
          <w:color w:val="000000" w:themeColor="text1"/>
          <w:sz w:val="20"/>
          <w:szCs w:val="20"/>
          <w:lang w:val="en-US"/>
        </w:rPr>
        <w:t xml:space="preserve"> the general factor (ECV SG) is the proportion of common variance of the items in each specific factor which is due to the specific factor;</w:t>
      </w:r>
    </w:p>
    <w:p w14:paraId="0242CE39" w14:textId="3C27EA5A" w:rsidR="006A75F8" w:rsidRPr="005F6B64" w:rsidRDefault="130A49CE" w:rsidP="00676BBE">
      <w:pPr>
        <w:pStyle w:val="ListParagraph"/>
        <w:numPr>
          <w:ilvl w:val="0"/>
          <w:numId w:val="1"/>
        </w:numPr>
        <w:spacing w:line="240" w:lineRule="auto"/>
        <w:jc w:val="both"/>
        <w:rPr>
          <w:rFonts w:ascii="Times New Roman" w:eastAsia="Times New Roman" w:hAnsi="Times New Roman" w:cs="Times New Roman"/>
          <w:color w:val="000000" w:themeColor="text1"/>
          <w:sz w:val="20"/>
          <w:szCs w:val="20"/>
          <w:lang w:val="en-US"/>
        </w:rPr>
      </w:pPr>
      <w:r w:rsidRPr="005F6B64">
        <w:rPr>
          <w:rFonts w:ascii="Times New Roman" w:eastAsia="Times New Roman" w:hAnsi="Times New Roman" w:cs="Times New Roman"/>
          <w:color w:val="000000" w:themeColor="text1"/>
          <w:sz w:val="20"/>
          <w:szCs w:val="20"/>
          <w:lang w:val="en-US"/>
        </w:rPr>
        <w:t>ECV of the general factor with respect to a specific factor (ECV GS) is the proportion of common variance of the items in each specific factor which is due to the general factor;</w:t>
      </w:r>
    </w:p>
    <w:p w14:paraId="2F1933A4" w14:textId="37438CE0" w:rsidR="006A75F8" w:rsidRPr="005F6B64" w:rsidRDefault="28F21EB8" w:rsidP="00676BBE">
      <w:pPr>
        <w:pStyle w:val="ListParagraph"/>
        <w:numPr>
          <w:ilvl w:val="0"/>
          <w:numId w:val="1"/>
        </w:numPr>
        <w:spacing w:line="240" w:lineRule="auto"/>
        <w:rPr>
          <w:rFonts w:ascii="Times New Roman" w:eastAsia="Times New Roman" w:hAnsi="Times New Roman" w:cs="Times New Roman"/>
          <w:color w:val="000000" w:themeColor="text1"/>
          <w:sz w:val="20"/>
          <w:szCs w:val="20"/>
          <w:lang w:val="en-US"/>
        </w:rPr>
      </w:pPr>
      <w:r w:rsidRPr="005F6B64">
        <w:rPr>
          <w:rFonts w:ascii="Times New Roman" w:eastAsia="Times New Roman" w:hAnsi="Times New Roman" w:cs="Times New Roman"/>
          <w:color w:val="000000" w:themeColor="text1"/>
          <w:sz w:val="20"/>
          <w:szCs w:val="20"/>
          <w:lang w:val="en-US"/>
        </w:rPr>
        <w:t>Percent uncontaminated correlations (PUC): the percent of all correlations among symptoms attributable purely to the general factor</w:t>
      </w:r>
    </w:p>
    <w:p w14:paraId="5E894A13" w14:textId="13E12D33" w:rsidR="006A75F8" w:rsidRPr="005F6B64" w:rsidRDefault="28F21EB8" w:rsidP="00676BBE">
      <w:pPr>
        <w:spacing w:line="240" w:lineRule="auto"/>
        <w:ind w:firstLine="708"/>
        <w:rPr>
          <w:rFonts w:ascii="Times New Roman" w:eastAsia="Times New Roman" w:hAnsi="Times New Roman" w:cs="Times New Roman"/>
          <w:color w:val="000000" w:themeColor="text1"/>
          <w:sz w:val="20"/>
          <w:szCs w:val="20"/>
          <w:lang w:val="en-US"/>
        </w:rPr>
      </w:pPr>
      <w:r w:rsidRPr="005F6B64">
        <w:rPr>
          <w:rFonts w:ascii="Times New Roman" w:eastAsia="Times New Roman" w:hAnsi="Times New Roman" w:cs="Times New Roman"/>
          <w:color w:val="000000" w:themeColor="text1"/>
          <w:sz w:val="20"/>
          <w:szCs w:val="20"/>
          <w:lang w:val="en-US"/>
        </w:rPr>
        <w:t xml:space="preserve">CFA </w:t>
      </w:r>
      <w:r w:rsidR="009626A2" w:rsidRPr="005F6B64">
        <w:rPr>
          <w:rFonts w:ascii="Times New Roman" w:eastAsia="Times New Roman" w:hAnsi="Times New Roman" w:cs="Times New Roman"/>
          <w:color w:val="000000" w:themeColor="text1"/>
          <w:sz w:val="20"/>
          <w:szCs w:val="20"/>
          <w:lang w:val="en-US"/>
        </w:rPr>
        <w:t>was</w:t>
      </w:r>
      <w:r w:rsidRPr="005F6B64">
        <w:rPr>
          <w:rFonts w:ascii="Times New Roman" w:eastAsia="Times New Roman" w:hAnsi="Times New Roman" w:cs="Times New Roman"/>
          <w:color w:val="000000" w:themeColor="text1"/>
          <w:sz w:val="20"/>
          <w:szCs w:val="20"/>
          <w:lang w:val="en-US"/>
        </w:rPr>
        <w:t xml:space="preserve"> carried out using </w:t>
      </w:r>
      <w:proofErr w:type="spellStart"/>
      <w:r w:rsidRPr="005F6B64">
        <w:rPr>
          <w:rFonts w:ascii="Times New Roman" w:eastAsia="Times New Roman" w:hAnsi="Times New Roman" w:cs="Times New Roman"/>
          <w:color w:val="000000" w:themeColor="text1"/>
          <w:sz w:val="20"/>
          <w:szCs w:val="20"/>
          <w:lang w:val="en-US"/>
        </w:rPr>
        <w:t>Mplus</w:t>
      </w:r>
      <w:proofErr w:type="spellEnd"/>
      <w:r w:rsidRPr="005F6B64">
        <w:rPr>
          <w:rFonts w:ascii="Times New Roman" w:eastAsia="Times New Roman" w:hAnsi="Times New Roman" w:cs="Times New Roman"/>
          <w:color w:val="000000" w:themeColor="text1"/>
          <w:sz w:val="20"/>
          <w:szCs w:val="20"/>
          <w:lang w:val="en-US"/>
        </w:rPr>
        <w:t xml:space="preserve"> version 8.6</w:t>
      </w:r>
      <w:r w:rsidR="0045774A" w:rsidRPr="005F6B64">
        <w:rPr>
          <w:rFonts w:ascii="Times New Roman" w:eastAsia="Times New Roman" w:hAnsi="Times New Roman" w:cs="Times New Roman"/>
          <w:color w:val="000000" w:themeColor="text1"/>
          <w:sz w:val="20"/>
          <w:szCs w:val="20"/>
          <w:lang w:val="en-US"/>
        </w:rPr>
        <w:t xml:space="preserve"> </w:t>
      </w:r>
      <w:r w:rsidR="0045774A" w:rsidRPr="005F6B64">
        <w:rPr>
          <w:rFonts w:ascii="Times New Roman" w:eastAsia="Times New Roman" w:hAnsi="Times New Roman" w:cs="Times New Roman"/>
          <w:color w:val="000000" w:themeColor="text1"/>
          <w:sz w:val="20"/>
          <w:szCs w:val="20"/>
          <w:lang w:val="en-US"/>
        </w:rPr>
        <w:fldChar w:fldCharType="begin"/>
      </w:r>
      <w:r w:rsidR="00C43FBC" w:rsidRPr="005F6B64">
        <w:rPr>
          <w:rFonts w:ascii="Times New Roman" w:eastAsia="Times New Roman" w:hAnsi="Times New Roman" w:cs="Times New Roman"/>
          <w:color w:val="000000" w:themeColor="text1"/>
          <w:sz w:val="20"/>
          <w:szCs w:val="20"/>
          <w:lang w:val="en-US"/>
        </w:rPr>
        <w:instrText xml:space="preserve"> ADDIN ZOTERO_ITEM CSL_CITATION {"citationID":"GIMjDIcB","properties":{"formattedCitation":"\\super 8\\nosupersub{}","plainCitation":"8","noteIndex":0},"citationItems":[{"id":714,"uris":["http://zotero.org/users/8189226/items/RL9J62ED"],"itemData":{"id":714,"type":"book","edition":"Eighth Edition","publisher":"Los Angeles, CA: Muthén &amp; Muthén","title":"Mplus User’s Guide","URL":"https://www.statmodel.com/html_ug.shtml","author":[{"family":"Muthén","given":"Linda K."},{"family":"Muthén","given":"Bengt O."}]}}],"schema":"https://github.com/citation-style-language/schema/raw/master/csl-citation.json"} </w:instrText>
      </w:r>
      <w:r w:rsidR="0045774A" w:rsidRPr="005F6B64">
        <w:rPr>
          <w:rFonts w:ascii="Times New Roman" w:eastAsia="Times New Roman" w:hAnsi="Times New Roman" w:cs="Times New Roman"/>
          <w:color w:val="000000" w:themeColor="text1"/>
          <w:sz w:val="20"/>
          <w:szCs w:val="20"/>
          <w:lang w:val="en-US"/>
        </w:rPr>
        <w:fldChar w:fldCharType="separate"/>
      </w:r>
      <w:r w:rsidR="00C43FBC" w:rsidRPr="005F6B64">
        <w:rPr>
          <w:rFonts w:ascii="Times New Roman" w:hAnsi="Times New Roman" w:cs="Times New Roman"/>
          <w:color w:val="000000"/>
          <w:sz w:val="20"/>
          <w:szCs w:val="20"/>
          <w:vertAlign w:val="superscript"/>
          <w:lang w:val="en-US"/>
        </w:rPr>
        <w:t>8</w:t>
      </w:r>
      <w:r w:rsidR="0045774A" w:rsidRPr="005F6B64">
        <w:rPr>
          <w:rFonts w:ascii="Times New Roman" w:eastAsia="Times New Roman" w:hAnsi="Times New Roman" w:cs="Times New Roman"/>
          <w:color w:val="000000" w:themeColor="text1"/>
          <w:sz w:val="20"/>
          <w:szCs w:val="20"/>
          <w:lang w:val="en-US"/>
        </w:rPr>
        <w:fldChar w:fldCharType="end"/>
      </w:r>
      <w:r w:rsidRPr="005F6B64">
        <w:rPr>
          <w:rFonts w:ascii="Times New Roman" w:eastAsia="Times New Roman" w:hAnsi="Times New Roman" w:cs="Times New Roman"/>
          <w:color w:val="000000" w:themeColor="text1"/>
          <w:sz w:val="20"/>
          <w:szCs w:val="20"/>
          <w:lang w:val="en-US"/>
        </w:rPr>
        <w:t xml:space="preserve"> and implemented in R version 4.0.3 using the </w:t>
      </w:r>
      <w:proofErr w:type="spellStart"/>
      <w:r w:rsidRPr="005F6B64">
        <w:rPr>
          <w:rFonts w:ascii="Times New Roman" w:eastAsia="Times New Roman" w:hAnsi="Times New Roman" w:cs="Times New Roman"/>
          <w:i/>
          <w:iCs/>
          <w:color w:val="000000" w:themeColor="text1"/>
          <w:sz w:val="20"/>
          <w:szCs w:val="20"/>
          <w:lang w:val="en-US"/>
        </w:rPr>
        <w:t>MplusAutomation</w:t>
      </w:r>
      <w:proofErr w:type="spellEnd"/>
      <w:r w:rsidRPr="005F6B64">
        <w:rPr>
          <w:rFonts w:ascii="Times New Roman" w:eastAsia="Times New Roman" w:hAnsi="Times New Roman" w:cs="Times New Roman"/>
          <w:color w:val="000000" w:themeColor="text1"/>
          <w:sz w:val="20"/>
          <w:szCs w:val="20"/>
          <w:lang w:val="en-US"/>
        </w:rPr>
        <w:t xml:space="preserve"> package</w:t>
      </w:r>
      <w:r w:rsidR="00600CFF" w:rsidRPr="005F6B64">
        <w:rPr>
          <w:rFonts w:ascii="Times New Roman" w:eastAsia="Times New Roman" w:hAnsi="Times New Roman" w:cs="Times New Roman"/>
          <w:color w:val="000000" w:themeColor="text1"/>
          <w:sz w:val="20"/>
          <w:szCs w:val="20"/>
          <w:lang w:val="en-US"/>
        </w:rPr>
        <w:t xml:space="preserve"> </w:t>
      </w:r>
      <w:r w:rsidR="00600CFF" w:rsidRPr="005F6B64">
        <w:rPr>
          <w:rFonts w:ascii="Times New Roman" w:eastAsia="Times New Roman" w:hAnsi="Times New Roman" w:cs="Times New Roman"/>
          <w:color w:val="000000" w:themeColor="text1"/>
          <w:sz w:val="20"/>
          <w:szCs w:val="20"/>
          <w:lang w:val="en-US"/>
        </w:rPr>
        <w:fldChar w:fldCharType="begin"/>
      </w:r>
      <w:r w:rsidR="00600CFF" w:rsidRPr="005F6B64">
        <w:rPr>
          <w:rFonts w:ascii="Times New Roman" w:eastAsia="Times New Roman" w:hAnsi="Times New Roman" w:cs="Times New Roman"/>
          <w:color w:val="000000" w:themeColor="text1"/>
          <w:sz w:val="20"/>
          <w:szCs w:val="20"/>
          <w:lang w:val="en-US"/>
        </w:rPr>
        <w:instrText xml:space="preserve"> ADDIN ZOTERO_ITEM CSL_CITATION {"citationID":"6mRBaJRh","properties":{"formattedCitation":"\\super 9\\nosupersub{}","plainCitation":"9","noteIndex":0},"citationItems":[{"id":715,"uris":["http://zotero.org/users/8189226/items/KLTQCKU3"],"itemData":{"id":715,"type":"article-journal","container-title":"Structural Equation Modeling: A Multidisciplinary Journal","DOI":"10.1080/10705511.2017.1402334","ISSN":"1070-5511, 1532-8007","issue":"4","journalAbbreviation":"Structural Equation Modeling: A Multidisciplinary Journal","language":"en","page":"621-638","source":"DOI.org (Crossref)","title":"&lt;i&gt;MplusAutomation&lt;/i&gt; : An R Package for Facilitating Large-Scale Latent Variable Analyses in M &lt;i&gt;plus&lt;/i&gt;","title-short":"&lt;i&gt;MplusAutomation&lt;/i&gt;","URL":"https://www.tandfonline.com/doi/full/10.1080/10705511.2017.1402334","volume":"25","author":[{"family":"Hallquist","given":"Michael N."},{"family":"Wiley","given":"Joshua F."}],"accessed":{"date-parts":[["2022",9,3]]},"issued":{"date-parts":[["2018",7,4]]}}}],"schema":"https://github.com/citation-style-language/schema/raw/master/csl-citation.json"} </w:instrText>
      </w:r>
      <w:r w:rsidR="00600CFF" w:rsidRPr="005F6B64">
        <w:rPr>
          <w:rFonts w:ascii="Times New Roman" w:eastAsia="Times New Roman" w:hAnsi="Times New Roman" w:cs="Times New Roman"/>
          <w:color w:val="000000" w:themeColor="text1"/>
          <w:sz w:val="20"/>
          <w:szCs w:val="20"/>
          <w:lang w:val="en-US"/>
        </w:rPr>
        <w:fldChar w:fldCharType="separate"/>
      </w:r>
      <w:r w:rsidR="00600CFF" w:rsidRPr="005F6B64">
        <w:rPr>
          <w:rFonts w:ascii="Times New Roman" w:hAnsi="Times New Roman" w:cs="Times New Roman"/>
          <w:color w:val="000000"/>
          <w:sz w:val="20"/>
          <w:szCs w:val="20"/>
          <w:vertAlign w:val="superscript"/>
          <w:lang w:val="en-US"/>
        </w:rPr>
        <w:t>9</w:t>
      </w:r>
      <w:r w:rsidR="00600CFF" w:rsidRPr="005F6B64">
        <w:rPr>
          <w:rFonts w:ascii="Times New Roman" w:eastAsia="Times New Roman" w:hAnsi="Times New Roman" w:cs="Times New Roman"/>
          <w:color w:val="000000" w:themeColor="text1"/>
          <w:sz w:val="20"/>
          <w:szCs w:val="20"/>
          <w:lang w:val="en-US"/>
        </w:rPr>
        <w:fldChar w:fldCharType="end"/>
      </w:r>
      <w:r w:rsidR="009626A2" w:rsidRPr="005F6B64">
        <w:rPr>
          <w:rFonts w:ascii="Times New Roman" w:eastAsia="Times New Roman" w:hAnsi="Times New Roman" w:cs="Times New Roman"/>
          <w:color w:val="000000" w:themeColor="text1"/>
          <w:sz w:val="20"/>
          <w:szCs w:val="20"/>
          <w:lang w:val="en-US"/>
        </w:rPr>
        <w:t xml:space="preserve">, </w:t>
      </w:r>
      <w:r w:rsidRPr="005F6B64">
        <w:rPr>
          <w:rFonts w:ascii="Times New Roman" w:eastAsia="Times New Roman" w:hAnsi="Times New Roman" w:cs="Times New Roman"/>
          <w:color w:val="000000" w:themeColor="text1"/>
          <w:sz w:val="20"/>
          <w:szCs w:val="20"/>
          <w:lang w:val="en-US"/>
        </w:rPr>
        <w:t xml:space="preserve">which was also used to extract factor scores generated in </w:t>
      </w:r>
      <w:proofErr w:type="spellStart"/>
      <w:r w:rsidRPr="005F6B64">
        <w:rPr>
          <w:rFonts w:ascii="Times New Roman" w:eastAsia="Times New Roman" w:hAnsi="Times New Roman" w:cs="Times New Roman"/>
          <w:color w:val="000000" w:themeColor="text1"/>
          <w:sz w:val="20"/>
          <w:szCs w:val="20"/>
          <w:lang w:val="en-US"/>
        </w:rPr>
        <w:t>Mplus</w:t>
      </w:r>
      <w:proofErr w:type="spellEnd"/>
      <w:r w:rsidRPr="005F6B64">
        <w:rPr>
          <w:rFonts w:ascii="Times New Roman" w:eastAsia="Times New Roman" w:hAnsi="Times New Roman" w:cs="Times New Roman"/>
          <w:color w:val="000000" w:themeColor="text1"/>
          <w:sz w:val="20"/>
          <w:szCs w:val="20"/>
          <w:lang w:val="en-US"/>
        </w:rPr>
        <w:t xml:space="preserve">. Factor scores were estimated using expected a posteriori estimation. </w:t>
      </w:r>
      <w:r w:rsidR="00BA367D" w:rsidRPr="005F6B64">
        <w:rPr>
          <w:rFonts w:ascii="Times New Roman" w:eastAsia="Times New Roman" w:hAnsi="Times New Roman" w:cs="Times New Roman"/>
          <w:color w:val="000000" w:themeColor="text1"/>
          <w:sz w:val="20"/>
          <w:szCs w:val="20"/>
          <w:lang w:val="en-US"/>
        </w:rPr>
        <w:t xml:space="preserve">In addition, all bifactor reliability indices were calculated using the </w:t>
      </w:r>
      <w:proofErr w:type="spellStart"/>
      <w:r w:rsidR="00BA367D" w:rsidRPr="005F6B64">
        <w:rPr>
          <w:rFonts w:ascii="Times New Roman" w:eastAsia="Times New Roman" w:hAnsi="Times New Roman" w:cs="Times New Roman"/>
          <w:color w:val="000000" w:themeColor="text1"/>
          <w:sz w:val="20"/>
          <w:szCs w:val="20"/>
          <w:lang w:val="en-US"/>
        </w:rPr>
        <w:t>BifactorIndicesCalculator</w:t>
      </w:r>
      <w:proofErr w:type="spellEnd"/>
      <w:r w:rsidR="00BA367D" w:rsidRPr="005F6B64">
        <w:rPr>
          <w:rFonts w:ascii="Times New Roman" w:eastAsia="Times New Roman" w:hAnsi="Times New Roman" w:cs="Times New Roman"/>
          <w:color w:val="000000" w:themeColor="text1"/>
          <w:sz w:val="20"/>
          <w:szCs w:val="20"/>
          <w:lang w:val="en-US"/>
        </w:rPr>
        <w:t xml:space="preserve"> package in </w:t>
      </w:r>
      <w:r w:rsidRPr="005F6B64">
        <w:rPr>
          <w:rFonts w:ascii="Times New Roman" w:eastAsia="Times New Roman" w:hAnsi="Times New Roman" w:cs="Times New Roman"/>
          <w:color w:val="000000" w:themeColor="text1"/>
          <w:sz w:val="20"/>
          <w:szCs w:val="20"/>
          <w:lang w:val="en-US"/>
        </w:rPr>
        <w:t>R</w:t>
      </w:r>
      <w:r w:rsidR="00253D54" w:rsidRPr="005F6B64">
        <w:rPr>
          <w:rFonts w:ascii="Times New Roman" w:eastAsia="Times New Roman" w:hAnsi="Times New Roman" w:cs="Times New Roman"/>
          <w:color w:val="000000" w:themeColor="text1"/>
          <w:sz w:val="20"/>
          <w:szCs w:val="20"/>
          <w:lang w:val="en-US"/>
        </w:rPr>
        <w:fldChar w:fldCharType="begin"/>
      </w:r>
      <w:r w:rsidR="001267E6" w:rsidRPr="005F6B64">
        <w:rPr>
          <w:rFonts w:ascii="Times New Roman" w:eastAsia="Times New Roman" w:hAnsi="Times New Roman" w:cs="Times New Roman"/>
          <w:color w:val="000000" w:themeColor="text1"/>
          <w:sz w:val="20"/>
          <w:szCs w:val="20"/>
          <w:lang w:val="en-US"/>
        </w:rPr>
        <w:instrText xml:space="preserve"> ADDIN ZOTERO_ITEM CSL_CITATION {"citationID":"3ajyOdLA","properties":{"formattedCitation":"\\super 10\\nosupersub{}","plainCitation":"10","noteIndex":0},"citationItems":[{"id":717,"uris":["http://zotero.org/users/8189226/items/S9R44ANV"],"itemData":{"id":717,"type":"software","abstract":"The Bifactor Indices Calculator is a Microsoft Excel-based tool for computing various statistical indices relevant to evaluating bifactor models including ECV, Omega, Omega_H, IECV, PUC, and others.","license":"© 2017 David M. Dueber","note":"dimensions: 473 KB\nmedium: Excel file\npage: 473 KB\nDOI: 10.13023/EDP.TOOL.01","publisher":"University of Kentucky Libraries","source":"DOI.org (Datacite)","title":"Bifactor Indices Calculator","URL":"http://uknowledge.uky.edu/edp_tools/1/","author":[{"family":"Dueber","given":"David M."}],"accessed":{"date-parts":[["2022",9,3]]},"issued":{"date-parts":[["2017"]]}}}],"schema":"https://github.com/citation-style-language/schema/raw/master/csl-citation.json"} </w:instrText>
      </w:r>
      <w:r w:rsidR="00253D54" w:rsidRPr="005F6B64">
        <w:rPr>
          <w:rFonts w:ascii="Times New Roman" w:eastAsia="Times New Roman" w:hAnsi="Times New Roman" w:cs="Times New Roman"/>
          <w:color w:val="000000" w:themeColor="text1"/>
          <w:sz w:val="20"/>
          <w:szCs w:val="20"/>
          <w:lang w:val="en-US"/>
        </w:rPr>
        <w:fldChar w:fldCharType="separate"/>
      </w:r>
      <w:r w:rsidR="001267E6" w:rsidRPr="005F6B64">
        <w:rPr>
          <w:rFonts w:ascii="Times New Roman" w:hAnsi="Times New Roman" w:cs="Times New Roman"/>
          <w:color w:val="000000"/>
          <w:sz w:val="20"/>
          <w:szCs w:val="20"/>
          <w:vertAlign w:val="superscript"/>
          <w:lang w:val="en-US"/>
        </w:rPr>
        <w:t>10</w:t>
      </w:r>
      <w:r w:rsidR="00253D54" w:rsidRPr="005F6B64">
        <w:rPr>
          <w:rFonts w:ascii="Times New Roman" w:eastAsia="Times New Roman" w:hAnsi="Times New Roman" w:cs="Times New Roman"/>
          <w:color w:val="000000" w:themeColor="text1"/>
          <w:sz w:val="20"/>
          <w:szCs w:val="20"/>
          <w:lang w:val="en-US"/>
        </w:rPr>
        <w:fldChar w:fldCharType="end"/>
      </w:r>
      <w:r w:rsidR="002F1E20" w:rsidRPr="005F6B64">
        <w:rPr>
          <w:rFonts w:ascii="Times New Roman" w:eastAsia="Times New Roman" w:hAnsi="Times New Roman" w:cs="Times New Roman"/>
          <w:color w:val="000000" w:themeColor="text1"/>
          <w:sz w:val="20"/>
          <w:szCs w:val="20"/>
          <w:lang w:val="en-US"/>
        </w:rPr>
        <w:t>.</w:t>
      </w:r>
    </w:p>
    <w:p w14:paraId="0930D33F" w14:textId="6B662F27" w:rsidR="006A75F8" w:rsidRPr="005F6B64" w:rsidRDefault="1575D7E1" w:rsidP="00676BBE">
      <w:pPr>
        <w:spacing w:line="240" w:lineRule="auto"/>
        <w:ind w:firstLine="708"/>
        <w:rPr>
          <w:rFonts w:ascii="Times New Roman" w:eastAsia="Times New Roman" w:hAnsi="Times New Roman" w:cs="Times New Roman"/>
          <w:color w:val="000000" w:themeColor="text1"/>
          <w:sz w:val="20"/>
          <w:szCs w:val="20"/>
          <w:lang w:val="en-US"/>
        </w:rPr>
      </w:pPr>
      <w:r w:rsidRPr="005F6B64">
        <w:rPr>
          <w:rFonts w:ascii="Times New Roman" w:eastAsia="Times New Roman" w:hAnsi="Times New Roman" w:cs="Times New Roman"/>
          <w:color w:val="000000" w:themeColor="text1"/>
          <w:sz w:val="20"/>
          <w:szCs w:val="20"/>
          <w:lang w:val="en-US"/>
        </w:rPr>
        <w:t>Logistic regression models were used to analyze odds ratios (OR) of difficulty distancing for each temperament dimension z-score. In the first analysis, univariate models for each temperament factor were used. Then, in the second analysis, we adjusted for age, gender, site, socioeconomic status, IQ score, and presence of any psychiatric disorder at baseline. In the third analysis, we performed a bivariate analysis, including EC and each additional temperament dimension adjusted for age, gender, SES, site, IQ level, and presence of any psychiatric disorder at baseline. Finally, a multiple model included all temperament traits.</w:t>
      </w:r>
      <w:r w:rsidRPr="005F6B64">
        <w:rPr>
          <w:rFonts w:ascii="Times New Roman" w:eastAsia="Times New Roman" w:hAnsi="Times New Roman" w:cs="Times New Roman"/>
          <w:sz w:val="20"/>
          <w:szCs w:val="20"/>
          <w:lang w:val="en-US"/>
        </w:rPr>
        <w:t xml:space="preserve"> </w:t>
      </w:r>
      <w:r w:rsidRPr="005F6B64">
        <w:rPr>
          <w:rFonts w:ascii="Times New Roman" w:eastAsia="Times New Roman" w:hAnsi="Times New Roman" w:cs="Times New Roman"/>
          <w:color w:val="000000" w:themeColor="text1"/>
          <w:sz w:val="20"/>
          <w:szCs w:val="20"/>
          <w:lang w:val="en-US"/>
        </w:rPr>
        <w:t>Statistical significance was set to p &lt; 0.05.</w:t>
      </w:r>
    </w:p>
    <w:p w14:paraId="1E207724" w14:textId="045F0B5B" w:rsidR="006A75F8" w:rsidRPr="005F6B64" w:rsidRDefault="006A75F8" w:rsidP="00676BBE">
      <w:pPr>
        <w:spacing w:line="240" w:lineRule="auto"/>
        <w:rPr>
          <w:rFonts w:ascii="Times New Roman" w:hAnsi="Times New Roman" w:cs="Times New Roman"/>
          <w:sz w:val="20"/>
          <w:szCs w:val="20"/>
          <w:lang w:val="en-US"/>
        </w:rPr>
      </w:pPr>
    </w:p>
    <w:p w14:paraId="2035ACC5" w14:textId="7D21C49B" w:rsidR="00345B17" w:rsidRPr="005F6B64" w:rsidRDefault="00345B17" w:rsidP="00345B17">
      <w:pPr>
        <w:spacing w:line="240" w:lineRule="auto"/>
        <w:rPr>
          <w:rFonts w:ascii="Times New Roman" w:eastAsia="Times New Roman" w:hAnsi="Times New Roman" w:cs="Times New Roman"/>
          <w:b/>
          <w:bCs/>
          <w:color w:val="000000" w:themeColor="text1"/>
          <w:sz w:val="20"/>
          <w:szCs w:val="20"/>
          <w:lang w:val="en-US"/>
        </w:rPr>
      </w:pPr>
      <w:r w:rsidRPr="005F6B64">
        <w:rPr>
          <w:rFonts w:ascii="Times New Roman" w:eastAsia="Times New Roman" w:hAnsi="Times New Roman" w:cs="Times New Roman"/>
          <w:b/>
          <w:bCs/>
          <w:color w:val="000000" w:themeColor="text1"/>
          <w:sz w:val="20"/>
          <w:szCs w:val="20"/>
          <w:lang w:val="en-US"/>
        </w:rPr>
        <w:t>Supplementary Information 1 Reference List:</w:t>
      </w:r>
    </w:p>
    <w:p w14:paraId="4AC74FC4" w14:textId="77777777" w:rsidR="0080417B" w:rsidRPr="005F6B64" w:rsidRDefault="0080417B" w:rsidP="00676BBE">
      <w:pPr>
        <w:pStyle w:val="Bibliography"/>
        <w:rPr>
          <w:rFonts w:ascii="Times New Roman" w:hAnsi="Times New Roman" w:cs="Times New Roman"/>
          <w:sz w:val="20"/>
          <w:szCs w:val="20"/>
          <w:lang w:val="en-US"/>
        </w:rPr>
      </w:pPr>
      <w:r w:rsidRPr="005F6B64">
        <w:rPr>
          <w:rFonts w:ascii="Times New Roman" w:hAnsi="Times New Roman" w:cs="Times New Roman"/>
          <w:sz w:val="20"/>
          <w:szCs w:val="20"/>
          <w:lang w:val="en-US"/>
        </w:rPr>
        <w:lastRenderedPageBreak/>
        <w:fldChar w:fldCharType="begin"/>
      </w:r>
      <w:r w:rsidRPr="005F6B64">
        <w:rPr>
          <w:rFonts w:ascii="Times New Roman" w:hAnsi="Times New Roman" w:cs="Times New Roman"/>
          <w:sz w:val="20"/>
          <w:szCs w:val="20"/>
          <w:lang w:val="en-US"/>
        </w:rPr>
        <w:instrText xml:space="preserve"> ADDIN ZOTERO_BIBL {"uncited":[],"omitted":[],"custom":[]} CSL_BIBLIOGRAPHY </w:instrText>
      </w:r>
      <w:r w:rsidRPr="005F6B64">
        <w:rPr>
          <w:rFonts w:ascii="Times New Roman" w:hAnsi="Times New Roman" w:cs="Times New Roman"/>
          <w:sz w:val="20"/>
          <w:szCs w:val="20"/>
          <w:lang w:val="en-US"/>
        </w:rPr>
        <w:fldChar w:fldCharType="separate"/>
      </w:r>
      <w:r w:rsidRPr="005F6B64">
        <w:rPr>
          <w:rFonts w:ascii="Times New Roman" w:hAnsi="Times New Roman" w:cs="Times New Roman"/>
          <w:sz w:val="20"/>
          <w:szCs w:val="20"/>
          <w:lang w:val="en-US"/>
        </w:rPr>
        <w:t>1.</w:t>
      </w:r>
      <w:r w:rsidRPr="005F6B64">
        <w:rPr>
          <w:rFonts w:ascii="Times New Roman" w:hAnsi="Times New Roman" w:cs="Times New Roman"/>
          <w:sz w:val="20"/>
          <w:szCs w:val="20"/>
          <w:lang w:val="en-US"/>
        </w:rPr>
        <w:tab/>
        <w:t xml:space="preserve">Hu L, Bentler PM. Cutoff criteria for fit indexes in covariance structure analysis: Conventional criteria versus new alternatives. </w:t>
      </w:r>
      <w:r w:rsidRPr="005F6B64">
        <w:rPr>
          <w:rFonts w:ascii="Times New Roman" w:hAnsi="Times New Roman" w:cs="Times New Roman"/>
          <w:i/>
          <w:iCs/>
          <w:sz w:val="20"/>
          <w:szCs w:val="20"/>
          <w:lang w:val="en-US"/>
        </w:rPr>
        <w:t>Structural Equation Modeling: A Multidisciplinary Journal</w:t>
      </w:r>
      <w:r w:rsidRPr="005F6B64">
        <w:rPr>
          <w:rFonts w:ascii="Times New Roman" w:hAnsi="Times New Roman" w:cs="Times New Roman"/>
          <w:sz w:val="20"/>
          <w:szCs w:val="20"/>
          <w:lang w:val="en-US"/>
        </w:rPr>
        <w:t>. 1999;6(1):1-55. doi:10.1080/10705519909540118</w:t>
      </w:r>
    </w:p>
    <w:p w14:paraId="5B4BDC15" w14:textId="77777777" w:rsidR="0080417B" w:rsidRPr="005F6B64" w:rsidRDefault="0080417B" w:rsidP="00676BBE">
      <w:pPr>
        <w:pStyle w:val="Bibliography"/>
        <w:rPr>
          <w:rFonts w:ascii="Times New Roman" w:hAnsi="Times New Roman" w:cs="Times New Roman"/>
          <w:sz w:val="20"/>
          <w:szCs w:val="20"/>
          <w:lang w:val="en-US"/>
        </w:rPr>
      </w:pPr>
      <w:r w:rsidRPr="005F6B64">
        <w:rPr>
          <w:rFonts w:ascii="Times New Roman" w:hAnsi="Times New Roman" w:cs="Times New Roman"/>
          <w:sz w:val="20"/>
          <w:szCs w:val="20"/>
          <w:lang w:val="en-US"/>
        </w:rPr>
        <w:t>2.</w:t>
      </w:r>
      <w:r w:rsidRPr="005F6B64">
        <w:rPr>
          <w:rFonts w:ascii="Times New Roman" w:hAnsi="Times New Roman" w:cs="Times New Roman"/>
          <w:sz w:val="20"/>
          <w:szCs w:val="20"/>
          <w:lang w:val="en-US"/>
        </w:rPr>
        <w:tab/>
        <w:t xml:space="preserve">Clark DA, Nuttall AK, Bowles RP. Misspecification in Latent Change Score Models: Consequences for Parameter Estimation, Model Evaluation, and Predicting Change. </w:t>
      </w:r>
      <w:r w:rsidRPr="005F6B64">
        <w:rPr>
          <w:rFonts w:ascii="Times New Roman" w:hAnsi="Times New Roman" w:cs="Times New Roman"/>
          <w:i/>
          <w:iCs/>
          <w:sz w:val="20"/>
          <w:szCs w:val="20"/>
          <w:lang w:val="en-US"/>
        </w:rPr>
        <w:t>Multivariate Behavioral Research</w:t>
      </w:r>
      <w:r w:rsidRPr="005F6B64">
        <w:rPr>
          <w:rFonts w:ascii="Times New Roman" w:hAnsi="Times New Roman" w:cs="Times New Roman"/>
          <w:sz w:val="20"/>
          <w:szCs w:val="20"/>
          <w:lang w:val="en-US"/>
        </w:rPr>
        <w:t>. 2018;53(2):172-189. doi:10.1080/00273171.2017.1409612</w:t>
      </w:r>
    </w:p>
    <w:p w14:paraId="0846EF38" w14:textId="77777777" w:rsidR="0080417B" w:rsidRPr="005F6B64" w:rsidRDefault="0080417B" w:rsidP="00676BBE">
      <w:pPr>
        <w:pStyle w:val="Bibliography"/>
        <w:rPr>
          <w:rFonts w:ascii="Times New Roman" w:hAnsi="Times New Roman" w:cs="Times New Roman"/>
          <w:sz w:val="20"/>
          <w:szCs w:val="20"/>
          <w:lang w:val="en-US"/>
        </w:rPr>
      </w:pPr>
      <w:r w:rsidRPr="005F6B64">
        <w:rPr>
          <w:rFonts w:ascii="Times New Roman" w:hAnsi="Times New Roman" w:cs="Times New Roman"/>
          <w:sz w:val="20"/>
          <w:szCs w:val="20"/>
          <w:lang w:val="en-US"/>
        </w:rPr>
        <w:t>3.</w:t>
      </w:r>
      <w:r w:rsidRPr="005F6B64">
        <w:rPr>
          <w:rFonts w:ascii="Times New Roman" w:hAnsi="Times New Roman" w:cs="Times New Roman"/>
          <w:sz w:val="20"/>
          <w:szCs w:val="20"/>
          <w:lang w:val="en-US"/>
        </w:rPr>
        <w:tab/>
        <w:t xml:space="preserve">DiStefano C, Morgan GB. A Comparison of Diagonal Weighted Least Squares Robust Estimation Techniques for Ordinal Data. </w:t>
      </w:r>
      <w:r w:rsidRPr="005F6B64">
        <w:rPr>
          <w:rFonts w:ascii="Times New Roman" w:hAnsi="Times New Roman" w:cs="Times New Roman"/>
          <w:i/>
          <w:iCs/>
          <w:sz w:val="20"/>
          <w:szCs w:val="20"/>
          <w:lang w:val="en-US"/>
        </w:rPr>
        <w:t>Structural Equation Modeling: A Multidisciplinary Journal</w:t>
      </w:r>
      <w:r w:rsidRPr="005F6B64">
        <w:rPr>
          <w:rFonts w:ascii="Times New Roman" w:hAnsi="Times New Roman" w:cs="Times New Roman"/>
          <w:sz w:val="20"/>
          <w:szCs w:val="20"/>
          <w:lang w:val="en-US"/>
        </w:rPr>
        <w:t>. 2014;21(3):425-438. doi:10.1080/10705511.2014.915373</w:t>
      </w:r>
    </w:p>
    <w:p w14:paraId="2453E5CD" w14:textId="77777777" w:rsidR="0080417B" w:rsidRPr="005F6B64" w:rsidRDefault="0080417B" w:rsidP="00676BBE">
      <w:pPr>
        <w:pStyle w:val="Bibliography"/>
        <w:rPr>
          <w:rFonts w:ascii="Times New Roman" w:hAnsi="Times New Roman" w:cs="Times New Roman"/>
          <w:sz w:val="20"/>
          <w:szCs w:val="20"/>
          <w:lang w:val="en-US"/>
        </w:rPr>
      </w:pPr>
      <w:r w:rsidRPr="005F6B64">
        <w:rPr>
          <w:rFonts w:ascii="Times New Roman" w:hAnsi="Times New Roman" w:cs="Times New Roman"/>
          <w:sz w:val="20"/>
          <w:szCs w:val="20"/>
          <w:lang w:val="en-US"/>
        </w:rPr>
        <w:t>4.</w:t>
      </w:r>
      <w:r w:rsidRPr="005F6B64">
        <w:rPr>
          <w:rFonts w:ascii="Times New Roman" w:hAnsi="Times New Roman" w:cs="Times New Roman"/>
          <w:sz w:val="20"/>
          <w:szCs w:val="20"/>
          <w:lang w:val="en-US"/>
        </w:rPr>
        <w:tab/>
        <w:t xml:space="preserve">Marsh HW, Hau KT, Wen Z. In Search of Golden Rules: Comment on Hypothesis-Testing Approaches to Setting Cutoff Values for Fit Indexes and Dangers in Overgeneralizing Hu and Bentler’s (1999) Findings. </w:t>
      </w:r>
      <w:r w:rsidRPr="005F6B64">
        <w:rPr>
          <w:rFonts w:ascii="Times New Roman" w:hAnsi="Times New Roman" w:cs="Times New Roman"/>
          <w:i/>
          <w:iCs/>
          <w:sz w:val="20"/>
          <w:szCs w:val="20"/>
          <w:lang w:val="en-US"/>
        </w:rPr>
        <w:t>Structural Equation Modeling: A Multidisciplinary Journal</w:t>
      </w:r>
      <w:r w:rsidRPr="005F6B64">
        <w:rPr>
          <w:rFonts w:ascii="Times New Roman" w:hAnsi="Times New Roman" w:cs="Times New Roman"/>
          <w:sz w:val="20"/>
          <w:szCs w:val="20"/>
          <w:lang w:val="en-US"/>
        </w:rPr>
        <w:t>. 2004;11(3):320-341. doi:10.1207/s15328007sem1103_2</w:t>
      </w:r>
    </w:p>
    <w:p w14:paraId="41A3B4A0" w14:textId="77777777" w:rsidR="0080417B" w:rsidRPr="005F6B64" w:rsidRDefault="0080417B" w:rsidP="00676BBE">
      <w:pPr>
        <w:pStyle w:val="Bibliography"/>
        <w:rPr>
          <w:rFonts w:ascii="Times New Roman" w:hAnsi="Times New Roman" w:cs="Times New Roman"/>
          <w:sz w:val="20"/>
          <w:szCs w:val="20"/>
          <w:lang w:val="en-US"/>
        </w:rPr>
      </w:pPr>
      <w:r w:rsidRPr="005F6B64">
        <w:rPr>
          <w:rFonts w:ascii="Times New Roman" w:hAnsi="Times New Roman" w:cs="Times New Roman"/>
          <w:sz w:val="20"/>
          <w:szCs w:val="20"/>
          <w:lang w:val="en-US"/>
        </w:rPr>
        <w:t>5.</w:t>
      </w:r>
      <w:r w:rsidRPr="005F6B64">
        <w:rPr>
          <w:rFonts w:ascii="Times New Roman" w:hAnsi="Times New Roman" w:cs="Times New Roman"/>
          <w:sz w:val="20"/>
          <w:szCs w:val="20"/>
          <w:lang w:val="en-US"/>
        </w:rPr>
        <w:tab/>
        <w:t xml:space="preserve">Bornovalova MA, Choate AM, Fatimah H, Petersen KJ, Wiernik BM. Appropriate Use of Bifactor Analysis in Psychopathology Research: Appreciating Benefits and Limitations. </w:t>
      </w:r>
      <w:r w:rsidRPr="005F6B64">
        <w:rPr>
          <w:rFonts w:ascii="Times New Roman" w:hAnsi="Times New Roman" w:cs="Times New Roman"/>
          <w:i/>
          <w:iCs/>
          <w:sz w:val="20"/>
          <w:szCs w:val="20"/>
          <w:lang w:val="en-US"/>
        </w:rPr>
        <w:t>Biological Psychiatry</w:t>
      </w:r>
      <w:r w:rsidRPr="005F6B64">
        <w:rPr>
          <w:rFonts w:ascii="Times New Roman" w:hAnsi="Times New Roman" w:cs="Times New Roman"/>
          <w:sz w:val="20"/>
          <w:szCs w:val="20"/>
          <w:lang w:val="en-US"/>
        </w:rPr>
        <w:t>. 2020;88(1):18-27. doi:10.1016/j.biopsych.2020.01.013</w:t>
      </w:r>
    </w:p>
    <w:p w14:paraId="40553F15" w14:textId="77777777" w:rsidR="0080417B" w:rsidRPr="005F6B64" w:rsidRDefault="0080417B" w:rsidP="00676BBE">
      <w:pPr>
        <w:pStyle w:val="Bibliography"/>
        <w:rPr>
          <w:rFonts w:ascii="Times New Roman" w:hAnsi="Times New Roman" w:cs="Times New Roman"/>
          <w:sz w:val="20"/>
          <w:szCs w:val="20"/>
          <w:lang w:val="en-US"/>
        </w:rPr>
      </w:pPr>
      <w:r w:rsidRPr="005F6B64">
        <w:rPr>
          <w:rFonts w:ascii="Times New Roman" w:hAnsi="Times New Roman" w:cs="Times New Roman"/>
          <w:sz w:val="20"/>
          <w:szCs w:val="20"/>
          <w:lang w:val="en-US"/>
        </w:rPr>
        <w:t>6.</w:t>
      </w:r>
      <w:r w:rsidRPr="005F6B64">
        <w:rPr>
          <w:rFonts w:ascii="Times New Roman" w:hAnsi="Times New Roman" w:cs="Times New Roman"/>
          <w:sz w:val="20"/>
          <w:szCs w:val="20"/>
          <w:lang w:val="en-US"/>
        </w:rPr>
        <w:tab/>
        <w:t xml:space="preserve">Moore TM, Kaczkurkin AN, Durham EL, et al. Criterion validity and relationships between alternative hierarchical dimensional models of general and specific psychopathology. </w:t>
      </w:r>
      <w:r w:rsidRPr="005F6B64">
        <w:rPr>
          <w:rFonts w:ascii="Times New Roman" w:hAnsi="Times New Roman" w:cs="Times New Roman"/>
          <w:i/>
          <w:iCs/>
          <w:sz w:val="20"/>
          <w:szCs w:val="20"/>
          <w:lang w:val="en-US"/>
        </w:rPr>
        <w:t>Journal of Abnormal Psychology</w:t>
      </w:r>
      <w:r w:rsidRPr="005F6B64">
        <w:rPr>
          <w:rFonts w:ascii="Times New Roman" w:hAnsi="Times New Roman" w:cs="Times New Roman"/>
          <w:sz w:val="20"/>
          <w:szCs w:val="20"/>
          <w:lang w:val="en-US"/>
        </w:rPr>
        <w:t>. 2020;129(7):677-688. doi:10.1037/abn0000601</w:t>
      </w:r>
    </w:p>
    <w:p w14:paraId="2161E41E" w14:textId="77777777" w:rsidR="0080417B" w:rsidRPr="005F6B64" w:rsidRDefault="0080417B" w:rsidP="00676BBE">
      <w:pPr>
        <w:pStyle w:val="Bibliography"/>
        <w:rPr>
          <w:rFonts w:ascii="Times New Roman" w:hAnsi="Times New Roman" w:cs="Times New Roman"/>
          <w:sz w:val="20"/>
          <w:szCs w:val="20"/>
          <w:lang w:val="en-US"/>
        </w:rPr>
      </w:pPr>
      <w:r w:rsidRPr="005F6B64">
        <w:rPr>
          <w:rFonts w:ascii="Times New Roman" w:hAnsi="Times New Roman" w:cs="Times New Roman"/>
          <w:sz w:val="20"/>
          <w:szCs w:val="20"/>
          <w:lang w:val="en-US"/>
        </w:rPr>
        <w:t>7.</w:t>
      </w:r>
      <w:r w:rsidRPr="005F6B64">
        <w:rPr>
          <w:rFonts w:ascii="Times New Roman" w:hAnsi="Times New Roman" w:cs="Times New Roman"/>
          <w:sz w:val="20"/>
          <w:szCs w:val="20"/>
          <w:lang w:val="en-US"/>
        </w:rPr>
        <w:tab/>
        <w:t xml:space="preserve">Hancock GR, Mueller RO. Rethinking construct reliability within latent variable systems. </w:t>
      </w:r>
      <w:r w:rsidRPr="005F6B64">
        <w:rPr>
          <w:rFonts w:ascii="Times New Roman" w:hAnsi="Times New Roman" w:cs="Times New Roman"/>
          <w:i/>
          <w:iCs/>
          <w:sz w:val="20"/>
          <w:szCs w:val="20"/>
          <w:lang w:val="en-US"/>
        </w:rPr>
        <w:t>Structural equation modeling: Present and future</w:t>
      </w:r>
      <w:r w:rsidRPr="005F6B64">
        <w:rPr>
          <w:rFonts w:ascii="Times New Roman" w:hAnsi="Times New Roman" w:cs="Times New Roman"/>
          <w:sz w:val="20"/>
          <w:szCs w:val="20"/>
          <w:lang w:val="en-US"/>
        </w:rPr>
        <w:t>. 2001;195:216.</w:t>
      </w:r>
    </w:p>
    <w:p w14:paraId="4379246C" w14:textId="77777777" w:rsidR="0080417B" w:rsidRPr="005F6B64" w:rsidRDefault="0080417B" w:rsidP="00676BBE">
      <w:pPr>
        <w:pStyle w:val="Bibliography"/>
        <w:rPr>
          <w:rFonts w:ascii="Times New Roman" w:hAnsi="Times New Roman" w:cs="Times New Roman"/>
          <w:sz w:val="20"/>
          <w:szCs w:val="20"/>
        </w:rPr>
      </w:pPr>
      <w:r w:rsidRPr="005F6B64">
        <w:rPr>
          <w:rFonts w:ascii="Times New Roman" w:hAnsi="Times New Roman" w:cs="Times New Roman"/>
          <w:sz w:val="20"/>
          <w:szCs w:val="20"/>
          <w:lang w:val="en-US"/>
        </w:rPr>
        <w:t>8.</w:t>
      </w:r>
      <w:r w:rsidRPr="005F6B64">
        <w:rPr>
          <w:rFonts w:ascii="Times New Roman" w:hAnsi="Times New Roman" w:cs="Times New Roman"/>
          <w:sz w:val="20"/>
          <w:szCs w:val="20"/>
          <w:lang w:val="en-US"/>
        </w:rPr>
        <w:tab/>
        <w:t xml:space="preserve">Muthén LK, Muthén BO. </w:t>
      </w:r>
      <w:r w:rsidRPr="005F6B64">
        <w:rPr>
          <w:rFonts w:ascii="Times New Roman" w:hAnsi="Times New Roman" w:cs="Times New Roman"/>
          <w:i/>
          <w:iCs/>
          <w:sz w:val="20"/>
          <w:szCs w:val="20"/>
          <w:lang w:val="en-US"/>
        </w:rPr>
        <w:t>Mplus User’s Guide</w:t>
      </w:r>
      <w:r w:rsidRPr="005F6B64">
        <w:rPr>
          <w:rFonts w:ascii="Times New Roman" w:hAnsi="Times New Roman" w:cs="Times New Roman"/>
          <w:sz w:val="20"/>
          <w:szCs w:val="20"/>
          <w:lang w:val="en-US"/>
        </w:rPr>
        <w:t xml:space="preserve">. Eighth Edition. </w:t>
      </w:r>
      <w:r w:rsidRPr="005F6B64">
        <w:rPr>
          <w:rFonts w:ascii="Times New Roman" w:hAnsi="Times New Roman" w:cs="Times New Roman"/>
          <w:sz w:val="20"/>
          <w:szCs w:val="20"/>
        </w:rPr>
        <w:t>Los Angeles, CA: Muthén &amp; Muthén https://www.statmodel.com/html_ug.shtml</w:t>
      </w:r>
    </w:p>
    <w:p w14:paraId="19770EB1" w14:textId="77777777" w:rsidR="0080417B" w:rsidRPr="005F6B64" w:rsidRDefault="0080417B" w:rsidP="00676BBE">
      <w:pPr>
        <w:pStyle w:val="Bibliography"/>
        <w:rPr>
          <w:rFonts w:ascii="Times New Roman" w:hAnsi="Times New Roman" w:cs="Times New Roman"/>
          <w:sz w:val="20"/>
          <w:szCs w:val="20"/>
          <w:lang w:val="en-US"/>
        </w:rPr>
      </w:pPr>
      <w:r w:rsidRPr="005F6B64">
        <w:rPr>
          <w:rFonts w:ascii="Times New Roman" w:hAnsi="Times New Roman" w:cs="Times New Roman"/>
          <w:sz w:val="20"/>
          <w:szCs w:val="20"/>
          <w:lang w:val="en-US"/>
        </w:rPr>
        <w:t>9.</w:t>
      </w:r>
      <w:r w:rsidRPr="005F6B64">
        <w:rPr>
          <w:rFonts w:ascii="Times New Roman" w:hAnsi="Times New Roman" w:cs="Times New Roman"/>
          <w:sz w:val="20"/>
          <w:szCs w:val="20"/>
          <w:lang w:val="en-US"/>
        </w:rPr>
        <w:tab/>
        <w:t xml:space="preserve">Hallquist MN, Wiley JF. </w:t>
      </w:r>
      <w:r w:rsidRPr="005F6B64">
        <w:rPr>
          <w:rFonts w:ascii="Times New Roman" w:hAnsi="Times New Roman" w:cs="Times New Roman"/>
          <w:i/>
          <w:iCs/>
          <w:sz w:val="20"/>
          <w:szCs w:val="20"/>
          <w:lang w:val="en-US"/>
        </w:rPr>
        <w:t>MplusAutomation</w:t>
      </w:r>
      <w:r w:rsidRPr="005F6B64">
        <w:rPr>
          <w:rFonts w:ascii="Times New Roman" w:hAnsi="Times New Roman" w:cs="Times New Roman"/>
          <w:sz w:val="20"/>
          <w:szCs w:val="20"/>
          <w:lang w:val="en-US"/>
        </w:rPr>
        <w:t xml:space="preserve"> : An R Package for Facilitating Large-Scale Latent Variable Analyses in M </w:t>
      </w:r>
      <w:r w:rsidRPr="005F6B64">
        <w:rPr>
          <w:rFonts w:ascii="Times New Roman" w:hAnsi="Times New Roman" w:cs="Times New Roman"/>
          <w:i/>
          <w:iCs/>
          <w:sz w:val="20"/>
          <w:szCs w:val="20"/>
          <w:lang w:val="en-US"/>
        </w:rPr>
        <w:t>plus</w:t>
      </w:r>
      <w:r w:rsidRPr="005F6B64">
        <w:rPr>
          <w:rFonts w:ascii="Times New Roman" w:hAnsi="Times New Roman" w:cs="Times New Roman"/>
          <w:sz w:val="20"/>
          <w:szCs w:val="20"/>
          <w:lang w:val="en-US"/>
        </w:rPr>
        <w:t xml:space="preserve">. </w:t>
      </w:r>
      <w:r w:rsidRPr="005F6B64">
        <w:rPr>
          <w:rFonts w:ascii="Times New Roman" w:hAnsi="Times New Roman" w:cs="Times New Roman"/>
          <w:i/>
          <w:iCs/>
          <w:sz w:val="20"/>
          <w:szCs w:val="20"/>
          <w:lang w:val="en-US"/>
        </w:rPr>
        <w:t>Structural Equation Modeling: A Multidisciplinary Journal</w:t>
      </w:r>
      <w:r w:rsidRPr="005F6B64">
        <w:rPr>
          <w:rFonts w:ascii="Times New Roman" w:hAnsi="Times New Roman" w:cs="Times New Roman"/>
          <w:sz w:val="20"/>
          <w:szCs w:val="20"/>
          <w:lang w:val="en-US"/>
        </w:rPr>
        <w:t>. 2018;25(4):621-638. doi:10.1080/10705511.2017.1402334</w:t>
      </w:r>
    </w:p>
    <w:p w14:paraId="077B4C69" w14:textId="77777777" w:rsidR="0080417B" w:rsidRPr="005F6B64" w:rsidRDefault="0080417B" w:rsidP="00676BBE">
      <w:pPr>
        <w:pStyle w:val="Bibliography"/>
        <w:rPr>
          <w:rFonts w:ascii="Times New Roman" w:hAnsi="Times New Roman" w:cs="Times New Roman"/>
          <w:sz w:val="20"/>
          <w:szCs w:val="20"/>
          <w:lang w:val="en-US"/>
        </w:rPr>
      </w:pPr>
      <w:r w:rsidRPr="005F6B64">
        <w:rPr>
          <w:rFonts w:ascii="Times New Roman" w:hAnsi="Times New Roman" w:cs="Times New Roman"/>
          <w:sz w:val="20"/>
          <w:szCs w:val="20"/>
          <w:lang w:val="en-US"/>
        </w:rPr>
        <w:t>10.</w:t>
      </w:r>
      <w:r w:rsidRPr="005F6B64">
        <w:rPr>
          <w:rFonts w:ascii="Times New Roman" w:hAnsi="Times New Roman" w:cs="Times New Roman"/>
          <w:sz w:val="20"/>
          <w:szCs w:val="20"/>
          <w:lang w:val="en-US"/>
        </w:rPr>
        <w:tab/>
        <w:t>Dueber DM. Bifactor Indices Calculator. Published online 2017:473 KB. doi:10.13023/EDP.TOOL.01</w:t>
      </w:r>
    </w:p>
    <w:p w14:paraId="0CF5B1EB" w14:textId="68055C22" w:rsidR="0080417B" w:rsidRPr="00902690" w:rsidRDefault="0080417B" w:rsidP="00676BBE">
      <w:pPr>
        <w:spacing w:line="240" w:lineRule="auto"/>
        <w:rPr>
          <w:lang w:val="en-US"/>
        </w:rPr>
      </w:pPr>
      <w:r w:rsidRPr="005F6B64">
        <w:rPr>
          <w:rFonts w:ascii="Times New Roman" w:hAnsi="Times New Roman" w:cs="Times New Roman"/>
          <w:sz w:val="20"/>
          <w:szCs w:val="20"/>
          <w:lang w:val="en-US"/>
        </w:rPr>
        <w:fldChar w:fldCharType="end"/>
      </w:r>
    </w:p>
    <w:sectPr w:rsidR="0080417B" w:rsidRPr="0090269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5221D4"/>
    <w:multiLevelType w:val="hybridMultilevel"/>
    <w:tmpl w:val="2B22348C"/>
    <w:lvl w:ilvl="0" w:tplc="31DE8D30">
      <w:start w:val="1"/>
      <w:numFmt w:val="decimal"/>
      <w:lvlText w:val="%1."/>
      <w:lvlJc w:val="left"/>
      <w:pPr>
        <w:ind w:left="720" w:hanging="360"/>
      </w:pPr>
    </w:lvl>
    <w:lvl w:ilvl="1" w:tplc="ECB8F838">
      <w:start w:val="1"/>
      <w:numFmt w:val="lowerLetter"/>
      <w:lvlText w:val="%2."/>
      <w:lvlJc w:val="left"/>
      <w:pPr>
        <w:ind w:left="1440" w:hanging="360"/>
      </w:pPr>
    </w:lvl>
    <w:lvl w:ilvl="2" w:tplc="35F68204">
      <w:start w:val="1"/>
      <w:numFmt w:val="lowerRoman"/>
      <w:lvlText w:val="%3."/>
      <w:lvlJc w:val="right"/>
      <w:pPr>
        <w:ind w:left="2160" w:hanging="180"/>
      </w:pPr>
    </w:lvl>
    <w:lvl w:ilvl="3" w:tplc="3DFA1980">
      <w:start w:val="1"/>
      <w:numFmt w:val="decimal"/>
      <w:lvlText w:val="%4."/>
      <w:lvlJc w:val="left"/>
      <w:pPr>
        <w:ind w:left="2880" w:hanging="360"/>
      </w:pPr>
    </w:lvl>
    <w:lvl w:ilvl="4" w:tplc="8FC62218">
      <w:start w:val="1"/>
      <w:numFmt w:val="lowerLetter"/>
      <w:lvlText w:val="%5."/>
      <w:lvlJc w:val="left"/>
      <w:pPr>
        <w:ind w:left="3600" w:hanging="360"/>
      </w:pPr>
    </w:lvl>
    <w:lvl w:ilvl="5" w:tplc="6C4AF2A2">
      <w:start w:val="1"/>
      <w:numFmt w:val="lowerRoman"/>
      <w:lvlText w:val="%6."/>
      <w:lvlJc w:val="right"/>
      <w:pPr>
        <w:ind w:left="4320" w:hanging="180"/>
      </w:pPr>
    </w:lvl>
    <w:lvl w:ilvl="6" w:tplc="E6BA0B88">
      <w:start w:val="1"/>
      <w:numFmt w:val="decimal"/>
      <w:lvlText w:val="%7."/>
      <w:lvlJc w:val="left"/>
      <w:pPr>
        <w:ind w:left="5040" w:hanging="360"/>
      </w:pPr>
    </w:lvl>
    <w:lvl w:ilvl="7" w:tplc="BCB63178">
      <w:start w:val="1"/>
      <w:numFmt w:val="lowerLetter"/>
      <w:lvlText w:val="%8."/>
      <w:lvlJc w:val="left"/>
      <w:pPr>
        <w:ind w:left="5760" w:hanging="360"/>
      </w:pPr>
    </w:lvl>
    <w:lvl w:ilvl="8" w:tplc="2EE0CDA6">
      <w:start w:val="1"/>
      <w:numFmt w:val="lowerRoman"/>
      <w:lvlText w:val="%9."/>
      <w:lvlJc w:val="right"/>
      <w:pPr>
        <w:ind w:left="6480" w:hanging="180"/>
      </w:pPr>
    </w:lvl>
  </w:abstractNum>
  <w:num w:numId="1" w16cid:durableId="1381173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1B1480"/>
    <w:rsid w:val="000715B5"/>
    <w:rsid w:val="000813E2"/>
    <w:rsid w:val="000C219E"/>
    <w:rsid w:val="000D7D76"/>
    <w:rsid w:val="001267E6"/>
    <w:rsid w:val="00131812"/>
    <w:rsid w:val="00146438"/>
    <w:rsid w:val="001841B7"/>
    <w:rsid w:val="00196581"/>
    <w:rsid w:val="00242447"/>
    <w:rsid w:val="00253D54"/>
    <w:rsid w:val="00256C91"/>
    <w:rsid w:val="0028752A"/>
    <w:rsid w:val="002D2CC9"/>
    <w:rsid w:val="002E3881"/>
    <w:rsid w:val="002F1E20"/>
    <w:rsid w:val="00345B17"/>
    <w:rsid w:val="003857A1"/>
    <w:rsid w:val="003D262B"/>
    <w:rsid w:val="003F2DD3"/>
    <w:rsid w:val="00414E20"/>
    <w:rsid w:val="0045774A"/>
    <w:rsid w:val="004A0B1C"/>
    <w:rsid w:val="004E3B4A"/>
    <w:rsid w:val="005444F0"/>
    <w:rsid w:val="005F6B64"/>
    <w:rsid w:val="00600CFF"/>
    <w:rsid w:val="00676BBE"/>
    <w:rsid w:val="006A75F8"/>
    <w:rsid w:val="0080417B"/>
    <w:rsid w:val="00843461"/>
    <w:rsid w:val="00902690"/>
    <w:rsid w:val="009626A2"/>
    <w:rsid w:val="009674FA"/>
    <w:rsid w:val="009A73C2"/>
    <w:rsid w:val="00A40D28"/>
    <w:rsid w:val="00A55F31"/>
    <w:rsid w:val="00AC5216"/>
    <w:rsid w:val="00BA367D"/>
    <w:rsid w:val="00BB6D1D"/>
    <w:rsid w:val="00BE7FA5"/>
    <w:rsid w:val="00C12F9B"/>
    <w:rsid w:val="00C252FA"/>
    <w:rsid w:val="00C43FBC"/>
    <w:rsid w:val="00C70C2E"/>
    <w:rsid w:val="00C9563F"/>
    <w:rsid w:val="00CA01BC"/>
    <w:rsid w:val="00CA3092"/>
    <w:rsid w:val="00CA4836"/>
    <w:rsid w:val="00DD18D4"/>
    <w:rsid w:val="00EE7193"/>
    <w:rsid w:val="00F81CCF"/>
    <w:rsid w:val="00FC44C7"/>
    <w:rsid w:val="00FF64DD"/>
    <w:rsid w:val="061B1480"/>
    <w:rsid w:val="130A49CE"/>
    <w:rsid w:val="1575D7E1"/>
    <w:rsid w:val="1D631FF6"/>
    <w:rsid w:val="28F21E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B1480"/>
  <w15:chartTrackingRefBased/>
  <w15:docId w15:val="{3A49755B-4B34-41BE-B9C6-A148609B1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28752A"/>
    <w:rPr>
      <w:color w:val="954F72" w:themeColor="followedHyperlink"/>
      <w:u w:val="single"/>
    </w:rPr>
  </w:style>
  <w:style w:type="paragraph" w:styleId="Bibliography">
    <w:name w:val="Bibliography"/>
    <w:basedOn w:val="Normal"/>
    <w:next w:val="Normal"/>
    <w:uiPriority w:val="37"/>
    <w:unhideWhenUsed/>
    <w:rsid w:val="0080417B"/>
    <w:pPr>
      <w:tabs>
        <w:tab w:val="left" w:pos="380"/>
      </w:tabs>
      <w:spacing w:after="24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66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07052-5068-6246-8A43-1AA39A687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2433</Words>
  <Characters>13873</Characters>
  <Application>Microsoft Office Word</Application>
  <DocSecurity>0</DocSecurity>
  <Lines>115</Lines>
  <Paragraphs>32</Paragraphs>
  <ScaleCrop>false</ScaleCrop>
  <Company/>
  <LinksUpToDate>false</LinksUpToDate>
  <CharactersWithSpaces>16274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Marcos Croci</dc:creator>
  <cp:keywords/>
  <dc:description/>
  <cp:lastModifiedBy>Marcos Croci</cp:lastModifiedBy>
  <cp:revision>57</cp:revision>
  <dcterms:created xsi:type="dcterms:W3CDTF">2022-09-03T19:48:00Z</dcterms:created>
  <dcterms:modified xsi:type="dcterms:W3CDTF">2022-11-19T21:22:00Z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zotero-version="6.0.13"&gt;&lt;session id="qHjSta7t"/&gt;&lt;style id="http://www.zotero.org/styles/american-medical-association" hasBibliography="1" bibliographyStyleHasBeenSet="1"/&gt;&lt;prefs&gt;&lt;pref name="fieldType" value="Field"/&gt;&lt;/prefs&gt;&lt;/data&gt;</vt:lpwstr>
  </property>
</Properties>
</file>