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theme/themeOverride2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E13033E" w14:textId="77777777" w:rsidR="00AF0621" w:rsidRPr="00C63C3C" w:rsidRDefault="00AF0621"/>
    <w:p w14:paraId="1A7059F0" w14:textId="77777777" w:rsidR="00581380" w:rsidRPr="00C63C3C" w:rsidRDefault="00581380"/>
    <w:p w14:paraId="1405DF26" w14:textId="5443B56A" w:rsidR="00581380" w:rsidRDefault="00141BB2">
      <w:r>
        <w:rPr>
          <w:rFonts w:eastAsia=".PingFang SC"/>
          <w:b/>
          <w:color w:val="353535"/>
        </w:rPr>
        <w:t>Appendix</w:t>
      </w:r>
    </w:p>
    <w:p w14:paraId="7C4BFD10" w14:textId="77777777" w:rsidR="001E1935" w:rsidRDefault="001E1935" w:rsidP="001E1935">
      <w:pPr>
        <w:widowControl w:val="0"/>
        <w:autoSpaceDE w:val="0"/>
        <w:autoSpaceDN w:val="0"/>
        <w:adjustRightInd w:val="0"/>
        <w:spacing w:line="480" w:lineRule="auto"/>
        <w:rPr>
          <w:rFonts w:eastAsia=".PingFang SC"/>
          <w:color w:val="353535"/>
        </w:rPr>
      </w:pPr>
    </w:p>
    <w:p w14:paraId="0A383C5C" w14:textId="73582DFA" w:rsidR="001E1935" w:rsidRDefault="001E1935" w:rsidP="001E1935">
      <w:r>
        <w:rPr>
          <w:noProof/>
        </w:rPr>
        <w:drawing>
          <wp:inline distT="0" distB="0" distL="0" distR="0" wp14:anchorId="514D41BE" wp14:editId="6817C7C8">
            <wp:extent cx="5739765" cy="4245610"/>
            <wp:effectExtent l="0" t="0" r="635" b="21590"/>
            <wp:docPr id="3" name="Chart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2A705E7B" w14:textId="48C48884" w:rsidR="001E1935" w:rsidRDefault="00260E37" w:rsidP="001E1935">
      <w:pPr>
        <w:jc w:val="center"/>
        <w:rPr>
          <w:rFonts w:eastAsia=".PingFang SC"/>
          <w:color w:val="353535"/>
        </w:rPr>
      </w:pPr>
      <w:r>
        <w:rPr>
          <w:rFonts w:eastAsia=".PingFang SC"/>
          <w:b/>
          <w:color w:val="353535"/>
        </w:rPr>
        <w:t>Figure a</w:t>
      </w:r>
      <w:r w:rsidR="00A80EF4">
        <w:rPr>
          <w:rFonts w:eastAsia=".PingFang SC"/>
          <w:b/>
          <w:color w:val="353535"/>
        </w:rPr>
        <w:t>.</w:t>
      </w:r>
      <w:r w:rsidR="001E1935" w:rsidRPr="001E1935">
        <w:rPr>
          <w:rFonts w:eastAsia=".PingFang SC"/>
          <w:b/>
          <w:color w:val="353535"/>
        </w:rPr>
        <w:t xml:space="preserve"> </w:t>
      </w:r>
      <w:r w:rsidR="001E1935" w:rsidRPr="001E1935">
        <w:rPr>
          <w:rFonts w:eastAsia=".PingFang SC"/>
          <w:color w:val="353535"/>
        </w:rPr>
        <w:t>Annual treatment effects for dru</w:t>
      </w:r>
      <w:r w:rsidR="001E1935">
        <w:rPr>
          <w:rFonts w:eastAsia=".PingFang SC"/>
          <w:color w:val="353535"/>
        </w:rPr>
        <w:t>g cost per outpatient admission</w:t>
      </w:r>
      <w:r w:rsidR="001E1935" w:rsidRPr="001E1935">
        <w:rPr>
          <w:rFonts w:eastAsia=".PingFang SC"/>
          <w:color w:val="353535"/>
        </w:rPr>
        <w:t xml:space="preserve"> controlling for linear time trends</w:t>
      </w:r>
    </w:p>
    <w:p w14:paraId="6DA3C1D5" w14:textId="3E5004E9" w:rsidR="00260E37" w:rsidRDefault="00260E37" w:rsidP="00260E37">
      <w:r w:rsidRPr="006A4BDF">
        <w:rPr>
          <w:rFonts w:eastAsia=".PingFang SC"/>
          <w:color w:val="353535"/>
        </w:rPr>
        <w:t xml:space="preserve">The y-axis plots coefficients for the year-specific effect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β</m:t>
            </m:r>
          </m:e>
          <m:sub>
            <m:r>
              <w:rPr>
                <w:rFonts w:ascii="Cambria Math" w:hAnsi="Cambria Math"/>
              </w:rPr>
              <m:t>t</m:t>
            </m:r>
          </m:sub>
        </m:sSub>
      </m:oMath>
      <w:r w:rsidRPr="006A4BDF">
        <w:t xml:space="preserve"> and the </w:t>
      </w:r>
      <w:r w:rsidRPr="006A4BDF">
        <w:rPr>
          <w:rFonts w:eastAsia=".PingFang SC"/>
          <w:color w:val="353535"/>
        </w:rPr>
        <w:t xml:space="preserve">year-fixed effects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γ</m:t>
            </m:r>
          </m:e>
          <m:sub>
            <m:r>
              <w:rPr>
                <w:rFonts w:ascii="Cambria Math" w:hAnsi="Cambria Math"/>
              </w:rPr>
              <m:t>t</m:t>
            </m:r>
          </m:sub>
        </m:sSub>
      </m:oMath>
      <w:r w:rsidRPr="006A4BDF">
        <w:fldChar w:fldCharType="begin"/>
      </w:r>
      <w:r w:rsidRPr="006A4BDF">
        <w:instrText xml:space="preserve"> QUOTE </w:instrTex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δ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t</m:t>
            </m:r>
          </m:sub>
        </m:sSub>
      </m:oMath>
      <w:r w:rsidRPr="006A4BDF">
        <w:instrText xml:space="preserve"> </w:instrText>
      </w:r>
      <w:r w:rsidRPr="006A4BDF">
        <w:fldChar w:fldCharType="separate"/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δ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t</m:t>
            </m:r>
          </m:sub>
        </m:sSub>
      </m:oMath>
      <w:r w:rsidRPr="006A4BDF">
        <w:fldChar w:fldCharType="end"/>
      </w:r>
      <w:r>
        <w:t>;</w:t>
      </w:r>
      <w:r w:rsidRPr="006A4BDF">
        <w:t xml:space="preserve"> the line for the intervention group indicates the aggregation of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β</m:t>
            </m:r>
          </m:e>
          <m:sub>
            <m:r>
              <w:rPr>
                <w:rFonts w:ascii="Cambria Math" w:hAnsi="Cambria Math"/>
              </w:rPr>
              <m:t>t</m:t>
            </m:r>
          </m:sub>
        </m:sSub>
      </m:oMath>
      <w:r w:rsidRPr="006A4BDF">
        <w:t xml:space="preserve"> and </w:t>
      </w:r>
      <w:r w:rsidRPr="006A4BDF">
        <w:rPr>
          <w:rFonts w:eastAsia=".PingFang SC"/>
          <w:color w:val="353535"/>
        </w:rPr>
        <w:t xml:space="preserve">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γ</m:t>
            </m:r>
          </m:e>
          <m:sub>
            <m:r>
              <w:rPr>
                <w:rFonts w:ascii="Cambria Math" w:hAnsi="Cambria Math"/>
              </w:rPr>
              <m:t>t</m:t>
            </m:r>
          </m:sub>
        </m:sSub>
      </m:oMath>
      <w:r w:rsidRPr="006A4BDF">
        <w:t xml:space="preserve">, and the line for the control group indicates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γ</m:t>
            </m:r>
          </m:e>
          <m:sub>
            <m:r>
              <w:rPr>
                <w:rFonts w:ascii="Cambria Math" w:hAnsi="Cambria Math"/>
              </w:rPr>
              <m:t>t</m:t>
            </m:r>
          </m:sub>
        </m:sSub>
      </m:oMath>
      <w:r>
        <w:t>.</w:t>
      </w:r>
    </w:p>
    <w:p w14:paraId="3872A0B1" w14:textId="77777777" w:rsidR="00260E37" w:rsidRPr="001E1935" w:rsidRDefault="00260E37" w:rsidP="00260E37">
      <w:pPr>
        <w:rPr>
          <w:rFonts w:eastAsia=".PingFang SC"/>
          <w:b/>
          <w:color w:val="353535"/>
        </w:rPr>
      </w:pPr>
    </w:p>
    <w:p w14:paraId="630DE630" w14:textId="77777777" w:rsidR="00260E37" w:rsidRDefault="00260E37" w:rsidP="00260E37">
      <w:pPr>
        <w:rPr>
          <w:rFonts w:eastAsia=".PingFang SC"/>
          <w:color w:val="353535"/>
        </w:rPr>
      </w:pPr>
      <w:r>
        <w:rPr>
          <w:rFonts w:eastAsia=".PingFang SC"/>
          <w:color w:val="353535"/>
        </w:rPr>
        <w:t>T</w:t>
      </w:r>
      <w:r w:rsidRPr="006A4BDF">
        <w:rPr>
          <w:rFonts w:eastAsia=".PingFang SC"/>
          <w:color w:val="353535"/>
        </w:rPr>
        <w:t xml:space="preserve">he year-specific </w:t>
      </w:r>
      <w:r>
        <w:rPr>
          <w:rFonts w:eastAsia=".PingFang SC" w:hint="eastAsia"/>
          <w:color w:val="353535"/>
        </w:rPr>
        <w:t xml:space="preserve">coefficients of the </w:t>
      </w:r>
      <w:r w:rsidRPr="006A4BDF">
        <w:rPr>
          <w:rFonts w:eastAsia=".PingFang SC"/>
          <w:color w:val="353535"/>
        </w:rPr>
        <w:t>drug cost per outpatient visit</w:t>
      </w:r>
      <w:r>
        <w:rPr>
          <w:rFonts w:eastAsia=".PingFang SC" w:hint="eastAsia"/>
          <w:color w:val="353535"/>
        </w:rPr>
        <w:t xml:space="preserve">s occurred a difference between </w:t>
      </w:r>
      <w:r w:rsidRPr="006A4BDF">
        <w:rPr>
          <w:rFonts w:eastAsia=".PingFang SC"/>
          <w:color w:val="353535"/>
        </w:rPr>
        <w:t xml:space="preserve">the intervention group </w:t>
      </w:r>
      <w:r>
        <w:rPr>
          <w:rFonts w:eastAsia=".PingFang SC" w:hint="eastAsia"/>
          <w:color w:val="353535"/>
        </w:rPr>
        <w:t>and</w:t>
      </w:r>
      <w:r w:rsidRPr="006A4BDF">
        <w:rPr>
          <w:rFonts w:eastAsia=".PingFang SC"/>
          <w:color w:val="353535"/>
        </w:rPr>
        <w:t xml:space="preserve"> the control group</w:t>
      </w:r>
      <w:r>
        <w:rPr>
          <w:rFonts w:eastAsia=".PingFang SC" w:hint="eastAsia"/>
          <w:color w:val="353535"/>
        </w:rPr>
        <w:t xml:space="preserve"> after 2014, and the </w:t>
      </w:r>
      <w:r w:rsidRPr="006A4BDF">
        <w:rPr>
          <w:rFonts w:eastAsia=".PingFang SC"/>
          <w:color w:val="353535"/>
        </w:rPr>
        <w:t>year-specific coefficients</w:t>
      </w:r>
      <w:r>
        <w:rPr>
          <w:rFonts w:eastAsia=".PingFang SC" w:hint="eastAsia"/>
          <w:color w:val="353535"/>
        </w:rPr>
        <w:t xml:space="preserve"> of the </w:t>
      </w:r>
      <w:r w:rsidRPr="006A4BDF">
        <w:rPr>
          <w:rFonts w:eastAsia=".PingFang SC"/>
          <w:color w:val="353535"/>
        </w:rPr>
        <w:t>intervention group</w:t>
      </w:r>
      <w:r>
        <w:rPr>
          <w:rFonts w:eastAsia=".PingFang SC" w:hint="eastAsia"/>
          <w:color w:val="353535"/>
        </w:rPr>
        <w:t xml:space="preserve"> were less than 0 from 2012 to 2018.</w:t>
      </w:r>
    </w:p>
    <w:p w14:paraId="33E54BFB" w14:textId="77777777" w:rsidR="001E1935" w:rsidRDefault="001E1935" w:rsidP="001E1935">
      <w:pPr>
        <w:widowControl w:val="0"/>
        <w:autoSpaceDE w:val="0"/>
        <w:autoSpaceDN w:val="0"/>
        <w:adjustRightInd w:val="0"/>
        <w:jc w:val="both"/>
        <w:rPr>
          <w:rFonts w:eastAsia=".PingFang SC"/>
          <w:color w:val="353535"/>
        </w:rPr>
      </w:pPr>
    </w:p>
    <w:p w14:paraId="7EA0B7F8" w14:textId="77777777" w:rsidR="001E1935" w:rsidRDefault="001E1935" w:rsidP="001E1935">
      <w:pPr>
        <w:widowControl w:val="0"/>
        <w:autoSpaceDE w:val="0"/>
        <w:autoSpaceDN w:val="0"/>
        <w:adjustRightInd w:val="0"/>
        <w:jc w:val="both"/>
        <w:rPr>
          <w:color w:val="353535"/>
        </w:rPr>
      </w:pPr>
    </w:p>
    <w:p w14:paraId="76BE927C" w14:textId="77777777" w:rsidR="001E1935" w:rsidRDefault="001E1935" w:rsidP="001E1935">
      <w:pPr>
        <w:widowControl w:val="0"/>
        <w:autoSpaceDE w:val="0"/>
        <w:autoSpaceDN w:val="0"/>
        <w:adjustRightInd w:val="0"/>
        <w:jc w:val="both"/>
        <w:rPr>
          <w:color w:val="353535"/>
        </w:rPr>
      </w:pPr>
    </w:p>
    <w:p w14:paraId="0806A6BF" w14:textId="77777777" w:rsidR="001E1935" w:rsidRDefault="001E1935" w:rsidP="001E1935">
      <w:pPr>
        <w:widowControl w:val="0"/>
        <w:autoSpaceDE w:val="0"/>
        <w:autoSpaceDN w:val="0"/>
        <w:adjustRightInd w:val="0"/>
        <w:jc w:val="both"/>
        <w:rPr>
          <w:color w:val="353535"/>
        </w:rPr>
      </w:pPr>
    </w:p>
    <w:p w14:paraId="02379F11" w14:textId="77777777" w:rsidR="001E1935" w:rsidRDefault="001E1935" w:rsidP="001E1935">
      <w:pPr>
        <w:widowControl w:val="0"/>
        <w:autoSpaceDE w:val="0"/>
        <w:autoSpaceDN w:val="0"/>
        <w:adjustRightInd w:val="0"/>
        <w:jc w:val="both"/>
        <w:rPr>
          <w:color w:val="353535"/>
        </w:rPr>
      </w:pPr>
    </w:p>
    <w:p w14:paraId="2ADE1310" w14:textId="77777777" w:rsidR="001E1935" w:rsidRDefault="001E1935" w:rsidP="001E1935">
      <w:pPr>
        <w:widowControl w:val="0"/>
        <w:autoSpaceDE w:val="0"/>
        <w:autoSpaceDN w:val="0"/>
        <w:adjustRightInd w:val="0"/>
        <w:jc w:val="both"/>
        <w:rPr>
          <w:color w:val="353535"/>
        </w:rPr>
      </w:pPr>
    </w:p>
    <w:p w14:paraId="248E1606" w14:textId="77777777" w:rsidR="001E1935" w:rsidRDefault="001E1935" w:rsidP="001E1935">
      <w:pPr>
        <w:widowControl w:val="0"/>
        <w:autoSpaceDE w:val="0"/>
        <w:autoSpaceDN w:val="0"/>
        <w:adjustRightInd w:val="0"/>
        <w:jc w:val="both"/>
        <w:rPr>
          <w:color w:val="353535"/>
        </w:rPr>
      </w:pPr>
    </w:p>
    <w:p w14:paraId="79EF9A0D" w14:textId="77777777" w:rsidR="001E1935" w:rsidRDefault="001E1935" w:rsidP="001E1935">
      <w:pPr>
        <w:widowControl w:val="0"/>
        <w:autoSpaceDE w:val="0"/>
        <w:autoSpaceDN w:val="0"/>
        <w:adjustRightInd w:val="0"/>
        <w:jc w:val="both"/>
        <w:rPr>
          <w:color w:val="353535"/>
        </w:rPr>
      </w:pPr>
    </w:p>
    <w:p w14:paraId="77F5D590" w14:textId="77777777" w:rsidR="001E1935" w:rsidRDefault="001E1935" w:rsidP="001E1935">
      <w:pPr>
        <w:widowControl w:val="0"/>
        <w:autoSpaceDE w:val="0"/>
        <w:autoSpaceDN w:val="0"/>
        <w:adjustRightInd w:val="0"/>
        <w:jc w:val="both"/>
        <w:rPr>
          <w:color w:val="353535"/>
        </w:rPr>
      </w:pPr>
    </w:p>
    <w:p w14:paraId="2D0EE46F" w14:textId="77777777" w:rsidR="001E1935" w:rsidRDefault="001E1935" w:rsidP="001E1935">
      <w:pPr>
        <w:widowControl w:val="0"/>
        <w:autoSpaceDE w:val="0"/>
        <w:autoSpaceDN w:val="0"/>
        <w:adjustRightInd w:val="0"/>
        <w:jc w:val="both"/>
        <w:rPr>
          <w:color w:val="353535"/>
        </w:rPr>
      </w:pPr>
    </w:p>
    <w:p w14:paraId="2F5E3830" w14:textId="77777777" w:rsidR="001E1935" w:rsidRDefault="001E1935" w:rsidP="001E1935">
      <w:pPr>
        <w:widowControl w:val="0"/>
        <w:autoSpaceDE w:val="0"/>
        <w:autoSpaceDN w:val="0"/>
        <w:adjustRightInd w:val="0"/>
        <w:jc w:val="both"/>
        <w:rPr>
          <w:color w:val="353535"/>
        </w:rPr>
      </w:pPr>
    </w:p>
    <w:p w14:paraId="4C9E5650" w14:textId="52D74F33" w:rsidR="001E1935" w:rsidRDefault="001E1935" w:rsidP="001E1935">
      <w:pPr>
        <w:widowControl w:val="0"/>
        <w:autoSpaceDE w:val="0"/>
        <w:autoSpaceDN w:val="0"/>
        <w:adjustRightInd w:val="0"/>
        <w:jc w:val="both"/>
        <w:rPr>
          <w:color w:val="353535"/>
        </w:rPr>
      </w:pPr>
      <w:r>
        <w:rPr>
          <w:noProof/>
        </w:rPr>
        <w:lastRenderedPageBreak/>
        <w:drawing>
          <wp:inline distT="0" distB="0" distL="0" distR="0" wp14:anchorId="1BE005D2" wp14:editId="310CCB12">
            <wp:extent cx="5739765" cy="3788410"/>
            <wp:effectExtent l="0" t="0" r="635" b="21590"/>
            <wp:docPr id="2" name="Chart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716222D6" w14:textId="4C613895" w:rsidR="001E1935" w:rsidRDefault="001E1935" w:rsidP="001E1935">
      <w:pPr>
        <w:jc w:val="center"/>
      </w:pPr>
      <w:r w:rsidRPr="001E1935">
        <w:rPr>
          <w:rFonts w:eastAsia=".PingFang SC"/>
          <w:b/>
          <w:color w:val="353535"/>
        </w:rPr>
        <w:t xml:space="preserve">Figure </w:t>
      </w:r>
      <w:r w:rsidR="00260E37">
        <w:rPr>
          <w:rFonts w:eastAsia=".PingFang SC"/>
          <w:b/>
          <w:color w:val="353535"/>
        </w:rPr>
        <w:t>b</w:t>
      </w:r>
      <w:r w:rsidR="00A80EF4">
        <w:rPr>
          <w:rFonts w:eastAsia=".PingFang SC"/>
          <w:b/>
          <w:color w:val="353535"/>
        </w:rPr>
        <w:t>.</w:t>
      </w:r>
      <w:r>
        <w:rPr>
          <w:rFonts w:eastAsia=".PingFang SC"/>
          <w:color w:val="353535"/>
        </w:rPr>
        <w:t xml:space="preserve"> Annual treatment effects for drug cost per inpatient visit controlling for linear time trends</w:t>
      </w:r>
    </w:p>
    <w:p w14:paraId="2FB63345" w14:textId="77777777" w:rsidR="00260E37" w:rsidRDefault="00260E37" w:rsidP="00260E37">
      <w:r w:rsidRPr="006A4BDF">
        <w:rPr>
          <w:rFonts w:eastAsia=".PingFang SC"/>
          <w:color w:val="353535"/>
        </w:rPr>
        <w:t xml:space="preserve">The y-axis plots coefficients for the year-specific effect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β</m:t>
            </m:r>
          </m:e>
          <m:sub>
            <m:r>
              <w:rPr>
                <w:rFonts w:ascii="Cambria Math" w:hAnsi="Cambria Math"/>
              </w:rPr>
              <m:t>t</m:t>
            </m:r>
          </m:sub>
        </m:sSub>
      </m:oMath>
      <w:r w:rsidRPr="006A4BDF">
        <w:t xml:space="preserve"> and the </w:t>
      </w:r>
      <w:r w:rsidRPr="006A4BDF">
        <w:rPr>
          <w:rFonts w:eastAsia=".PingFang SC"/>
          <w:color w:val="353535"/>
        </w:rPr>
        <w:t xml:space="preserve">year-fixed effects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γ</m:t>
            </m:r>
          </m:e>
          <m:sub>
            <m:r>
              <w:rPr>
                <w:rFonts w:ascii="Cambria Math" w:hAnsi="Cambria Math"/>
              </w:rPr>
              <m:t>t</m:t>
            </m:r>
          </m:sub>
        </m:sSub>
      </m:oMath>
      <w:r w:rsidRPr="006A4BDF">
        <w:fldChar w:fldCharType="begin"/>
      </w:r>
      <w:r w:rsidRPr="006A4BDF">
        <w:instrText xml:space="preserve"> QUOTE </w:instrTex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δ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t</m:t>
            </m:r>
          </m:sub>
        </m:sSub>
      </m:oMath>
      <w:r w:rsidRPr="006A4BDF">
        <w:instrText xml:space="preserve"> </w:instrText>
      </w:r>
      <w:r w:rsidRPr="006A4BDF">
        <w:fldChar w:fldCharType="separate"/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δ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t</m:t>
            </m:r>
          </m:sub>
        </m:sSub>
      </m:oMath>
      <w:r w:rsidRPr="006A4BDF">
        <w:fldChar w:fldCharType="end"/>
      </w:r>
      <w:r>
        <w:t>;</w:t>
      </w:r>
      <w:r w:rsidRPr="006A4BDF">
        <w:t xml:space="preserve"> the line for the intervention group indicates the aggregation of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β</m:t>
            </m:r>
          </m:e>
          <m:sub>
            <m:r>
              <w:rPr>
                <w:rFonts w:ascii="Cambria Math" w:hAnsi="Cambria Math"/>
              </w:rPr>
              <m:t>t</m:t>
            </m:r>
          </m:sub>
        </m:sSub>
      </m:oMath>
      <w:r w:rsidRPr="006A4BDF">
        <w:t xml:space="preserve"> and </w:t>
      </w:r>
      <w:r w:rsidRPr="006A4BDF">
        <w:rPr>
          <w:rFonts w:eastAsia=".PingFang SC"/>
          <w:color w:val="353535"/>
        </w:rPr>
        <w:t xml:space="preserve">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γ</m:t>
            </m:r>
          </m:e>
          <m:sub>
            <m:r>
              <w:rPr>
                <w:rFonts w:ascii="Cambria Math" w:hAnsi="Cambria Math"/>
              </w:rPr>
              <m:t>t</m:t>
            </m:r>
          </m:sub>
        </m:sSub>
      </m:oMath>
      <w:r w:rsidRPr="006A4BDF">
        <w:t xml:space="preserve">, and the line for the control group indicates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γ</m:t>
            </m:r>
          </m:e>
          <m:sub>
            <m:r>
              <w:rPr>
                <w:rFonts w:ascii="Cambria Math" w:hAnsi="Cambria Math"/>
              </w:rPr>
              <m:t>t</m:t>
            </m:r>
          </m:sub>
        </m:sSub>
      </m:oMath>
      <w:r>
        <w:t>.</w:t>
      </w:r>
    </w:p>
    <w:p w14:paraId="4CB4356E" w14:textId="77777777" w:rsidR="00260E37" w:rsidRDefault="00260E37" w:rsidP="00260E37"/>
    <w:p w14:paraId="63135C3A" w14:textId="6B44E28D" w:rsidR="00260E37" w:rsidRPr="001E1935" w:rsidRDefault="00260E37" w:rsidP="00260E37">
      <w:pPr>
        <w:rPr>
          <w:rFonts w:eastAsia=".PingFang SC"/>
          <w:b/>
          <w:color w:val="353535"/>
        </w:rPr>
      </w:pPr>
      <w:r>
        <w:rPr>
          <w:rFonts w:eastAsia=".PingFang SC" w:hint="eastAsia"/>
          <w:color w:val="353535"/>
        </w:rPr>
        <w:t>T</w:t>
      </w:r>
      <w:r>
        <w:rPr>
          <w:rFonts w:eastAsia=".PingFang SC" w:hint="eastAsia"/>
          <w:color w:val="353535"/>
        </w:rPr>
        <w:t xml:space="preserve">he </w:t>
      </w:r>
      <w:r w:rsidRPr="006A4BDF">
        <w:rPr>
          <w:rFonts w:eastAsia=".PingFang SC"/>
          <w:color w:val="353535"/>
        </w:rPr>
        <w:t>year-specific coefficients</w:t>
      </w:r>
      <w:r>
        <w:rPr>
          <w:rFonts w:eastAsia=".PingFang SC" w:hint="eastAsia"/>
          <w:color w:val="353535"/>
        </w:rPr>
        <w:t xml:space="preserve"> of </w:t>
      </w:r>
      <w:r w:rsidRPr="006A4BDF">
        <w:rPr>
          <w:rFonts w:eastAsia=".PingFang SC"/>
          <w:color w:val="353535"/>
        </w:rPr>
        <w:t>drug cost per inpatient admission</w:t>
      </w:r>
      <w:r>
        <w:rPr>
          <w:rFonts w:eastAsia=".PingFang SC" w:hint="eastAsia"/>
          <w:color w:val="353535"/>
        </w:rPr>
        <w:t xml:space="preserve"> were </w:t>
      </w:r>
      <w:r>
        <w:rPr>
          <w:rFonts w:eastAsia=".PingFang SC" w:hint="eastAsia"/>
          <w:color w:val="353535"/>
        </w:rPr>
        <w:t>above</w:t>
      </w:r>
      <w:r>
        <w:rPr>
          <w:rFonts w:eastAsia=".PingFang SC" w:hint="eastAsia"/>
          <w:color w:val="353535"/>
        </w:rPr>
        <w:t xml:space="preserve"> 0 in both two groups from 2012 to 2018, and similarly, occurred a difference between the two</w:t>
      </w:r>
      <w:r w:rsidRPr="006A4BDF">
        <w:rPr>
          <w:rFonts w:eastAsia=".PingFang SC"/>
          <w:color w:val="353535"/>
        </w:rPr>
        <w:t xml:space="preserve"> group</w:t>
      </w:r>
      <w:r>
        <w:rPr>
          <w:rFonts w:eastAsia=".PingFang SC" w:hint="eastAsia"/>
          <w:color w:val="353535"/>
        </w:rPr>
        <w:t>s after 2014.</w:t>
      </w:r>
    </w:p>
    <w:p w14:paraId="30416742" w14:textId="77777777" w:rsidR="001E1935" w:rsidRDefault="001E1935"/>
    <w:p w14:paraId="2293A1D0" w14:textId="77777777" w:rsidR="00EE378D" w:rsidRDefault="00EE378D"/>
    <w:p w14:paraId="14B37059" w14:textId="77777777" w:rsidR="00EE378D" w:rsidRDefault="00EE378D"/>
    <w:p w14:paraId="42E9BA42" w14:textId="77777777" w:rsidR="00EE378D" w:rsidRDefault="00EE378D"/>
    <w:p w14:paraId="1B9B4B19" w14:textId="77777777" w:rsidR="00EE378D" w:rsidRDefault="00EE378D"/>
    <w:p w14:paraId="2F9CBEBF" w14:textId="77777777" w:rsidR="00EE378D" w:rsidRDefault="00EE378D"/>
    <w:p w14:paraId="2B4E75DC" w14:textId="77777777" w:rsidR="00EE378D" w:rsidRDefault="00EE378D"/>
    <w:p w14:paraId="7C0C55E8" w14:textId="77777777" w:rsidR="00EE378D" w:rsidRDefault="00EE378D"/>
    <w:p w14:paraId="00488F16" w14:textId="77777777" w:rsidR="00EE378D" w:rsidRDefault="00EE378D"/>
    <w:p w14:paraId="7AA5DE62" w14:textId="73F3B8C7" w:rsidR="00EE378D" w:rsidRDefault="00EE378D">
      <w:r>
        <w:br w:type="page"/>
      </w:r>
    </w:p>
    <w:p w14:paraId="3ACBAA1B" w14:textId="77777777" w:rsidR="00EE378D" w:rsidRDefault="00EE378D">
      <w:pPr>
        <w:sectPr w:rsidR="00EE378D" w:rsidSect="006D6CE3">
          <w:pgSz w:w="11900" w:h="16840"/>
          <w:pgMar w:top="1440" w:right="1440" w:bottom="1440" w:left="1440" w:header="708" w:footer="708" w:gutter="0"/>
          <w:cols w:space="708"/>
          <w:docGrid w:linePitch="400"/>
        </w:sectPr>
      </w:pPr>
    </w:p>
    <w:p w14:paraId="6804A8C5" w14:textId="15CB7EC9" w:rsidR="00EE378D" w:rsidRDefault="00EE378D"/>
    <w:p w14:paraId="0EB2E7BA" w14:textId="5650DFE1" w:rsidR="00EE378D" w:rsidRPr="00B239B3" w:rsidRDefault="00EE378D" w:rsidP="00EE378D">
      <w:pPr>
        <w:jc w:val="center"/>
        <w:outlineLvl w:val="0"/>
        <w:rPr>
          <w:rFonts w:eastAsia=".PingFang SC"/>
          <w:color w:val="353535"/>
        </w:rPr>
      </w:pPr>
      <w:r w:rsidRPr="00B239B3">
        <w:rPr>
          <w:rFonts w:eastAsia=".PingFang SC"/>
          <w:b/>
          <w:color w:val="353535"/>
        </w:rPr>
        <w:t xml:space="preserve">Table </w:t>
      </w:r>
      <w:r>
        <w:rPr>
          <w:rFonts w:eastAsia=".PingFang SC"/>
          <w:b/>
          <w:color w:val="353535"/>
        </w:rPr>
        <w:t>a.</w:t>
      </w:r>
      <w:r w:rsidRPr="00B239B3">
        <w:rPr>
          <w:rFonts w:eastAsia=".PingFang SC"/>
          <w:color w:val="353535"/>
        </w:rPr>
        <w:t xml:space="preserve"> </w:t>
      </w:r>
      <w:bookmarkStart w:id="0" w:name="_GoBack"/>
      <w:bookmarkEnd w:id="0"/>
      <w:r w:rsidRPr="00B239B3">
        <w:rPr>
          <w:rFonts w:eastAsia=".PingFang SC"/>
          <w:color w:val="353535"/>
        </w:rPr>
        <w:t>Parallel trend test of outcome variables</w:t>
      </w:r>
    </w:p>
    <w:p w14:paraId="2B06D198" w14:textId="77777777" w:rsidR="00EE378D" w:rsidRDefault="00EE378D"/>
    <w:tbl>
      <w:tblPr>
        <w:tblW w:w="8755" w:type="dxa"/>
        <w:tblLayout w:type="fixed"/>
        <w:tblLook w:val="04A0" w:firstRow="1" w:lastRow="0" w:firstColumn="1" w:lastColumn="0" w:noHBand="0" w:noVBand="1"/>
      </w:tblPr>
      <w:tblGrid>
        <w:gridCol w:w="1526"/>
        <w:gridCol w:w="1559"/>
        <w:gridCol w:w="1559"/>
        <w:gridCol w:w="1701"/>
        <w:gridCol w:w="1134"/>
        <w:gridCol w:w="1276"/>
      </w:tblGrid>
      <w:tr w:rsidR="00EE378D" w:rsidRPr="00090D9D" w14:paraId="082DF602" w14:textId="77777777" w:rsidTr="00C1405E">
        <w:trPr>
          <w:trHeight w:val="320"/>
        </w:trPr>
        <w:tc>
          <w:tcPr>
            <w:tcW w:w="152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6DACF1B4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 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1EC17C41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Year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7FC898CF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proofErr w:type="spellStart"/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Coef</w:t>
            </w:r>
            <w:proofErr w:type="spellEnd"/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.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4D9B3D2D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Std. Err.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5786CA7A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>
              <w:rPr>
                <w:rFonts w:eastAsia="Times New Roman"/>
                <w:color w:val="000000"/>
                <w:sz w:val="21"/>
                <w:szCs w:val="22"/>
              </w:rPr>
              <w:t>t-</w:t>
            </w:r>
            <w:r>
              <w:rPr>
                <w:rFonts w:eastAsia="Times New Roman" w:hint="eastAsia"/>
                <w:color w:val="000000"/>
                <w:sz w:val="21"/>
                <w:szCs w:val="22"/>
              </w:rPr>
              <w:t>value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69129012" w14:textId="77777777" w:rsidR="00EE378D" w:rsidRPr="00254EC5" w:rsidRDefault="00EE378D" w:rsidP="00C1405E">
            <w:pPr>
              <w:jc w:val="center"/>
              <w:rPr>
                <w:rFonts w:eastAsia="Times New Roman"/>
                <w:i/>
                <w:color w:val="000000"/>
                <w:sz w:val="21"/>
                <w:szCs w:val="22"/>
              </w:rPr>
            </w:pPr>
            <w:r w:rsidRPr="00254EC5">
              <w:rPr>
                <w:rFonts w:eastAsia="Times New Roman" w:hint="eastAsia"/>
                <w:i/>
                <w:color w:val="000000"/>
                <w:sz w:val="21"/>
                <w:szCs w:val="22"/>
              </w:rPr>
              <w:t>P</w:t>
            </w:r>
          </w:p>
        </w:tc>
      </w:tr>
      <w:tr w:rsidR="00EE378D" w:rsidRPr="00090D9D" w14:paraId="1B6F7DD4" w14:textId="77777777" w:rsidTr="00C1405E">
        <w:trPr>
          <w:trHeight w:val="320"/>
        </w:trPr>
        <w:tc>
          <w:tcPr>
            <w:tcW w:w="152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6435AAE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Total cost per outpatient visit</w:t>
            </w:r>
            <w:r>
              <w:rPr>
                <w:rFonts w:eastAsia="Times New Roman"/>
                <w:color w:val="000000"/>
                <w:sz w:val="21"/>
                <w:szCs w:val="22"/>
              </w:rPr>
              <w:t xml:space="preserve"> (CNY)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0FAA8A4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2012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B2476D7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 xml:space="preserve">0.0689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0EFF915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 xml:space="preserve">0.0327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13398E2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2.11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37CF27C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0.044</w:t>
            </w:r>
          </w:p>
        </w:tc>
      </w:tr>
      <w:tr w:rsidR="00EE378D" w:rsidRPr="00090D9D" w14:paraId="503367FD" w14:textId="77777777" w:rsidTr="00C1405E">
        <w:trPr>
          <w:trHeight w:val="320"/>
        </w:trPr>
        <w:tc>
          <w:tcPr>
            <w:tcW w:w="1526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1F3AEE62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2D7DA34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2013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DDAC400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 xml:space="preserve">0.0250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C9DF5EF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 xml:space="preserve">0.0155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2F0CC09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1.61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AD032A2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0.118</w:t>
            </w:r>
          </w:p>
        </w:tc>
      </w:tr>
      <w:tr w:rsidR="00EE378D" w:rsidRPr="00090D9D" w14:paraId="2D9A396F" w14:textId="77777777" w:rsidTr="00C1405E">
        <w:trPr>
          <w:trHeight w:val="320"/>
        </w:trPr>
        <w:tc>
          <w:tcPr>
            <w:tcW w:w="1526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5F293E7C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C4EF243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2014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BB0DEAB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 xml:space="preserve">0.0328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B5AEFEF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 xml:space="preserve">0.0159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AB364F1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2.06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F341F1C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0.048</w:t>
            </w:r>
          </w:p>
        </w:tc>
      </w:tr>
      <w:tr w:rsidR="00EE378D" w:rsidRPr="00090D9D" w14:paraId="40D80BE0" w14:textId="77777777" w:rsidTr="00C1405E">
        <w:trPr>
          <w:trHeight w:val="320"/>
        </w:trPr>
        <w:tc>
          <w:tcPr>
            <w:tcW w:w="1526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109A1D03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357ACB9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2015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589E443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 xml:space="preserve">0.0097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606BAE1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 xml:space="preserve">0.0113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B3C09BA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0.85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94E030D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0.4</w:t>
            </w:r>
          </w:p>
        </w:tc>
      </w:tr>
      <w:tr w:rsidR="00EE378D" w:rsidRPr="00090D9D" w14:paraId="4E782B18" w14:textId="77777777" w:rsidTr="00C1405E">
        <w:trPr>
          <w:trHeight w:val="320"/>
        </w:trPr>
        <w:tc>
          <w:tcPr>
            <w:tcW w:w="1526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3B4C577C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AC4F1FB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0842464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874F40F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9C3B44C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3E8A113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 </w:t>
            </w:r>
          </w:p>
        </w:tc>
      </w:tr>
      <w:tr w:rsidR="00EE378D" w:rsidRPr="00090D9D" w14:paraId="065CB022" w14:textId="77777777" w:rsidTr="00C1405E">
        <w:trPr>
          <w:trHeight w:val="320"/>
        </w:trPr>
        <w:tc>
          <w:tcPr>
            <w:tcW w:w="1526" w:type="dxa"/>
            <w:vMerge w:val="restart"/>
            <w:tcBorders>
              <w:top w:val="nil"/>
              <w:left w:val="nil"/>
              <w:right w:val="nil"/>
            </w:tcBorders>
            <w:shd w:val="clear" w:color="000000" w:fill="FFFFFF"/>
          </w:tcPr>
          <w:p w14:paraId="731A25B6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Drug cost per outpatient visit</w:t>
            </w:r>
            <w:r>
              <w:rPr>
                <w:rFonts w:eastAsia="Times New Roman"/>
                <w:color w:val="000000"/>
                <w:sz w:val="21"/>
                <w:szCs w:val="22"/>
              </w:rPr>
              <w:t xml:space="preserve"> (CNY)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4D25A9D5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2012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8F12DD1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 xml:space="preserve">0.1121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177771D0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 xml:space="preserve">0.0326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5C55E598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3.43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6655D86D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0.002</w:t>
            </w:r>
            <w:r w:rsidRPr="00516101">
              <w:rPr>
                <w:color w:val="000000"/>
                <w:sz w:val="21"/>
                <w:szCs w:val="21"/>
              </w:rPr>
              <w:t>***</w:t>
            </w:r>
          </w:p>
        </w:tc>
      </w:tr>
      <w:tr w:rsidR="00EE378D" w:rsidRPr="00090D9D" w14:paraId="224FD4AD" w14:textId="77777777" w:rsidTr="00C1405E">
        <w:trPr>
          <w:trHeight w:val="320"/>
        </w:trPr>
        <w:tc>
          <w:tcPr>
            <w:tcW w:w="1526" w:type="dxa"/>
            <w:vMerge/>
            <w:tcBorders>
              <w:left w:val="nil"/>
              <w:right w:val="nil"/>
            </w:tcBorders>
            <w:shd w:val="clear" w:color="000000" w:fill="FFFFFF"/>
          </w:tcPr>
          <w:p w14:paraId="2CDDB65C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50A9AF21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2013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18B05850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 xml:space="preserve">0.0789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4038A7F0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 xml:space="preserve">0.0221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588F88D7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3.57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1581741A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0.001</w:t>
            </w:r>
            <w:r w:rsidRPr="00516101">
              <w:rPr>
                <w:color w:val="000000"/>
                <w:sz w:val="21"/>
                <w:szCs w:val="21"/>
              </w:rPr>
              <w:t>***</w:t>
            </w:r>
          </w:p>
        </w:tc>
      </w:tr>
      <w:tr w:rsidR="00EE378D" w:rsidRPr="00090D9D" w14:paraId="07725021" w14:textId="77777777" w:rsidTr="00C1405E">
        <w:trPr>
          <w:trHeight w:val="320"/>
        </w:trPr>
        <w:tc>
          <w:tcPr>
            <w:tcW w:w="1526" w:type="dxa"/>
            <w:vMerge/>
            <w:tcBorders>
              <w:left w:val="nil"/>
              <w:right w:val="nil"/>
            </w:tcBorders>
            <w:shd w:val="clear" w:color="000000" w:fill="FFFFFF"/>
          </w:tcPr>
          <w:p w14:paraId="6B9EB268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422F3D83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2014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29579CA3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 xml:space="preserve">0.0644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2120EF16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 xml:space="preserve">0.0178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0780D89E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3.61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7502CCA8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0.001</w:t>
            </w:r>
            <w:r w:rsidRPr="00516101">
              <w:rPr>
                <w:color w:val="000000"/>
                <w:sz w:val="21"/>
                <w:szCs w:val="21"/>
              </w:rPr>
              <w:t>***</w:t>
            </w:r>
          </w:p>
        </w:tc>
      </w:tr>
      <w:tr w:rsidR="00EE378D" w:rsidRPr="00090D9D" w14:paraId="6CECE89C" w14:textId="77777777" w:rsidTr="00C1405E">
        <w:trPr>
          <w:trHeight w:val="320"/>
        </w:trPr>
        <w:tc>
          <w:tcPr>
            <w:tcW w:w="1526" w:type="dxa"/>
            <w:vMerge/>
            <w:tcBorders>
              <w:left w:val="nil"/>
              <w:bottom w:val="nil"/>
              <w:right w:val="nil"/>
            </w:tcBorders>
            <w:shd w:val="clear" w:color="000000" w:fill="FFFFFF"/>
          </w:tcPr>
          <w:p w14:paraId="4778C8A5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7FB646CB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2015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0EC6C652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 xml:space="preserve">0.0588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7AB2F2E7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 xml:space="preserve">0.0150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E1D942F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3.91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0FCAAA1E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0</w:t>
            </w:r>
            <w:r w:rsidRPr="00516101">
              <w:rPr>
                <w:color w:val="000000"/>
                <w:sz w:val="21"/>
                <w:szCs w:val="21"/>
              </w:rPr>
              <w:t>***</w:t>
            </w:r>
          </w:p>
        </w:tc>
      </w:tr>
      <w:tr w:rsidR="00EE378D" w:rsidRPr="00090D9D" w14:paraId="26DC5906" w14:textId="77777777" w:rsidTr="00C1405E">
        <w:trPr>
          <w:trHeight w:val="320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7A48CDA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5EBC5B7D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7B0EB182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7DBCC607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4E05F9D8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564EC4AF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</w:p>
        </w:tc>
      </w:tr>
      <w:tr w:rsidR="00EE378D" w:rsidRPr="00090D9D" w14:paraId="1A6F7C08" w14:textId="77777777" w:rsidTr="00C1405E">
        <w:trPr>
          <w:trHeight w:val="320"/>
        </w:trPr>
        <w:tc>
          <w:tcPr>
            <w:tcW w:w="152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E5000C9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Examination cost per outpatient visit</w:t>
            </w:r>
            <w:r>
              <w:rPr>
                <w:rFonts w:eastAsia="Times New Roman"/>
                <w:color w:val="000000"/>
                <w:sz w:val="21"/>
                <w:szCs w:val="22"/>
              </w:rPr>
              <w:t xml:space="preserve"> (CNY)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E3B1569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2012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BB11053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 xml:space="preserve">0.0920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2CBF5F4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 xml:space="preserve">0.0780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5A75528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1.18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F7A85E4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0.248</w:t>
            </w:r>
          </w:p>
        </w:tc>
      </w:tr>
      <w:tr w:rsidR="00EE378D" w:rsidRPr="00090D9D" w14:paraId="33709238" w14:textId="77777777" w:rsidTr="00C1405E">
        <w:trPr>
          <w:trHeight w:val="320"/>
        </w:trPr>
        <w:tc>
          <w:tcPr>
            <w:tcW w:w="1526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41F610A7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7E9B707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2013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C1F51A5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 xml:space="preserve">0.0421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88C196E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 xml:space="preserve">0.0385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1B87FC8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1.09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E0AE7EE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0.283</w:t>
            </w:r>
          </w:p>
        </w:tc>
      </w:tr>
      <w:tr w:rsidR="00EE378D" w:rsidRPr="00090D9D" w14:paraId="7EDA5191" w14:textId="77777777" w:rsidTr="00C1405E">
        <w:trPr>
          <w:trHeight w:val="320"/>
        </w:trPr>
        <w:tc>
          <w:tcPr>
            <w:tcW w:w="1526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00A63275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2EA6A41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2014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5FAF87B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 xml:space="preserve">0.0218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81B8D37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 xml:space="preserve">0.0287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4055252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0.76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B33D760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0.453</w:t>
            </w:r>
          </w:p>
        </w:tc>
      </w:tr>
      <w:tr w:rsidR="00EE378D" w:rsidRPr="00090D9D" w14:paraId="426574B9" w14:textId="77777777" w:rsidTr="00C1405E">
        <w:trPr>
          <w:trHeight w:val="320"/>
        </w:trPr>
        <w:tc>
          <w:tcPr>
            <w:tcW w:w="1526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187823C3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4009B86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2015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65B398C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 xml:space="preserve">-0.0294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4BB8FD7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 xml:space="preserve">0.0374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A8A1F19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-0.79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FD7BC73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0.437</w:t>
            </w:r>
          </w:p>
        </w:tc>
      </w:tr>
      <w:tr w:rsidR="00EE378D" w:rsidRPr="00090D9D" w14:paraId="6D27B137" w14:textId="77777777" w:rsidTr="00C1405E">
        <w:trPr>
          <w:trHeight w:val="320"/>
        </w:trPr>
        <w:tc>
          <w:tcPr>
            <w:tcW w:w="1526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493BBB3E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38B11CB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9364B2C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2EEBA31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B69B028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097DDE0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 </w:t>
            </w:r>
          </w:p>
        </w:tc>
      </w:tr>
      <w:tr w:rsidR="00EE378D" w:rsidRPr="00090D9D" w14:paraId="4FA86FCE" w14:textId="77777777" w:rsidTr="00C1405E">
        <w:trPr>
          <w:trHeight w:val="320"/>
        </w:trPr>
        <w:tc>
          <w:tcPr>
            <w:tcW w:w="152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6C678D4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Total cost per inpatient admission</w:t>
            </w:r>
            <w:r>
              <w:rPr>
                <w:rFonts w:eastAsia="Times New Roman"/>
                <w:color w:val="000000"/>
                <w:sz w:val="21"/>
                <w:szCs w:val="22"/>
              </w:rPr>
              <w:t xml:space="preserve"> (CNY)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7161B95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2012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62CF04F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 xml:space="preserve">0.0380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50BBD9F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 xml:space="preserve">0.0290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E765C12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1.31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DB6FA2D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0.2</w:t>
            </w:r>
          </w:p>
        </w:tc>
      </w:tr>
      <w:tr w:rsidR="00EE378D" w:rsidRPr="00090D9D" w14:paraId="211D5C94" w14:textId="77777777" w:rsidTr="00C1405E">
        <w:trPr>
          <w:trHeight w:val="320"/>
        </w:trPr>
        <w:tc>
          <w:tcPr>
            <w:tcW w:w="1526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0BD61B6A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FE6625D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2013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4584DBF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 xml:space="preserve">0.0058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AAB6890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 xml:space="preserve">0.0165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CD71D6C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0.35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390B284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0.727</w:t>
            </w:r>
          </w:p>
        </w:tc>
      </w:tr>
      <w:tr w:rsidR="00EE378D" w:rsidRPr="00090D9D" w14:paraId="3BDF8068" w14:textId="77777777" w:rsidTr="00C1405E">
        <w:trPr>
          <w:trHeight w:val="320"/>
        </w:trPr>
        <w:tc>
          <w:tcPr>
            <w:tcW w:w="1526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7E755F72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7DB95C4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2014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E0D7C0F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 xml:space="preserve">0.0155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65D2F08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 xml:space="preserve">0.0193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FE208BE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0.8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D763BC2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0.428</w:t>
            </w:r>
          </w:p>
        </w:tc>
      </w:tr>
      <w:tr w:rsidR="00EE378D" w:rsidRPr="00090D9D" w14:paraId="6B698771" w14:textId="77777777" w:rsidTr="00C1405E">
        <w:trPr>
          <w:trHeight w:val="320"/>
        </w:trPr>
        <w:tc>
          <w:tcPr>
            <w:tcW w:w="1526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084DE43C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F398C18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2015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DC03455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 xml:space="preserve">0.0187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1A482E2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 xml:space="preserve">0.0136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F3E086A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1.37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9D5D56E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0.181</w:t>
            </w:r>
          </w:p>
        </w:tc>
      </w:tr>
      <w:tr w:rsidR="00EE378D" w:rsidRPr="00090D9D" w14:paraId="469F0DA2" w14:textId="77777777" w:rsidTr="00C1405E">
        <w:trPr>
          <w:trHeight w:val="320"/>
        </w:trPr>
        <w:tc>
          <w:tcPr>
            <w:tcW w:w="1526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4A7DF9E1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DE80215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8A4B533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1C829A3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6F23054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434BF64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 </w:t>
            </w:r>
          </w:p>
        </w:tc>
      </w:tr>
      <w:tr w:rsidR="00EE378D" w:rsidRPr="00090D9D" w14:paraId="6590AE9C" w14:textId="77777777" w:rsidTr="00C1405E">
        <w:trPr>
          <w:trHeight w:val="320"/>
        </w:trPr>
        <w:tc>
          <w:tcPr>
            <w:tcW w:w="1526" w:type="dxa"/>
            <w:vMerge w:val="restart"/>
            <w:tcBorders>
              <w:top w:val="nil"/>
              <w:left w:val="nil"/>
              <w:right w:val="nil"/>
            </w:tcBorders>
            <w:shd w:val="clear" w:color="000000" w:fill="FFFFFF"/>
          </w:tcPr>
          <w:p w14:paraId="5EDAE36E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Drug cost per inpatient admission</w:t>
            </w:r>
            <w:r>
              <w:rPr>
                <w:rFonts w:eastAsia="Times New Roman"/>
                <w:color w:val="000000"/>
                <w:sz w:val="21"/>
                <w:szCs w:val="22"/>
              </w:rPr>
              <w:t xml:space="preserve"> (CNY)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0E53DC2A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2012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4231EBA2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 xml:space="preserve">0.0909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10297E6C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 xml:space="preserve">0.0353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22E39D2C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2.57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111173B5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0.015</w:t>
            </w:r>
          </w:p>
        </w:tc>
      </w:tr>
      <w:tr w:rsidR="00EE378D" w:rsidRPr="00090D9D" w14:paraId="262D9BB3" w14:textId="77777777" w:rsidTr="00C1405E">
        <w:trPr>
          <w:trHeight w:val="320"/>
        </w:trPr>
        <w:tc>
          <w:tcPr>
            <w:tcW w:w="1526" w:type="dxa"/>
            <w:vMerge/>
            <w:tcBorders>
              <w:left w:val="nil"/>
              <w:right w:val="nil"/>
            </w:tcBorders>
            <w:shd w:val="clear" w:color="000000" w:fill="FFFFFF"/>
          </w:tcPr>
          <w:p w14:paraId="7A8777ED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A10B676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2013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2E348DFB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 xml:space="preserve">0.0576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137AA1B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 xml:space="preserve">0.0276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F859212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2.08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0241823A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0.046</w:t>
            </w:r>
            <w:r w:rsidRPr="00516101">
              <w:rPr>
                <w:color w:val="000000"/>
                <w:sz w:val="21"/>
                <w:szCs w:val="21"/>
              </w:rPr>
              <w:t>**</w:t>
            </w:r>
          </w:p>
        </w:tc>
      </w:tr>
      <w:tr w:rsidR="00EE378D" w:rsidRPr="00090D9D" w14:paraId="6FE9F416" w14:textId="77777777" w:rsidTr="00C1405E">
        <w:trPr>
          <w:trHeight w:val="320"/>
        </w:trPr>
        <w:tc>
          <w:tcPr>
            <w:tcW w:w="1526" w:type="dxa"/>
            <w:vMerge/>
            <w:tcBorders>
              <w:left w:val="nil"/>
              <w:right w:val="nil"/>
            </w:tcBorders>
            <w:shd w:val="clear" w:color="000000" w:fill="FFFFFF"/>
          </w:tcPr>
          <w:p w14:paraId="3EBAF773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25B3C3F5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2014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7C7144EC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 xml:space="preserve">0.0516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206E1769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 xml:space="preserve">0.0244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A84CC6B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2.12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13A30455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0.043</w:t>
            </w:r>
            <w:r w:rsidRPr="00516101">
              <w:rPr>
                <w:color w:val="000000"/>
                <w:sz w:val="21"/>
                <w:szCs w:val="21"/>
              </w:rPr>
              <w:t>**</w:t>
            </w:r>
          </w:p>
        </w:tc>
      </w:tr>
      <w:tr w:rsidR="00EE378D" w:rsidRPr="00090D9D" w14:paraId="01276930" w14:textId="77777777" w:rsidTr="00C1405E">
        <w:trPr>
          <w:trHeight w:val="320"/>
        </w:trPr>
        <w:tc>
          <w:tcPr>
            <w:tcW w:w="1526" w:type="dxa"/>
            <w:vMerge/>
            <w:tcBorders>
              <w:left w:val="nil"/>
              <w:bottom w:val="nil"/>
              <w:right w:val="nil"/>
            </w:tcBorders>
            <w:shd w:val="clear" w:color="000000" w:fill="FFFFFF"/>
          </w:tcPr>
          <w:p w14:paraId="7D45ED92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7EB7E45C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2015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6FC09408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 xml:space="preserve">0.0588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49FBE56D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 xml:space="preserve">0.0192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5F9D5D70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3.07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3167F89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0.005</w:t>
            </w:r>
            <w:r w:rsidRPr="00516101">
              <w:rPr>
                <w:color w:val="000000"/>
                <w:sz w:val="21"/>
                <w:szCs w:val="21"/>
              </w:rPr>
              <w:t>***</w:t>
            </w:r>
          </w:p>
        </w:tc>
      </w:tr>
      <w:tr w:rsidR="00EE378D" w:rsidRPr="00090D9D" w14:paraId="13D1BB4F" w14:textId="77777777" w:rsidTr="00C1405E">
        <w:trPr>
          <w:trHeight w:val="320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FFB15AD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E7B7361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210613E7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01363939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183DEAF2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1A6AF1FA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</w:p>
        </w:tc>
      </w:tr>
      <w:tr w:rsidR="00EE378D" w:rsidRPr="00090D9D" w14:paraId="3BDD8D84" w14:textId="77777777" w:rsidTr="00C1405E">
        <w:trPr>
          <w:trHeight w:val="320"/>
        </w:trPr>
        <w:tc>
          <w:tcPr>
            <w:tcW w:w="152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00B795C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Examination cost per inpatient admission</w:t>
            </w:r>
            <w:r>
              <w:rPr>
                <w:rFonts w:eastAsia="Times New Roman"/>
                <w:color w:val="000000"/>
                <w:sz w:val="21"/>
                <w:szCs w:val="22"/>
              </w:rPr>
              <w:t xml:space="preserve"> (CNY)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33BB4B3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2012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48FF30C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 xml:space="preserve">0.0123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16BD9CB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 xml:space="preserve">0.0500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18F27B2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0.25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BF2C788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0.807</w:t>
            </w:r>
          </w:p>
        </w:tc>
      </w:tr>
      <w:tr w:rsidR="00EE378D" w:rsidRPr="00090D9D" w14:paraId="46FD06FC" w14:textId="77777777" w:rsidTr="00C1405E">
        <w:trPr>
          <w:trHeight w:val="320"/>
        </w:trPr>
        <w:tc>
          <w:tcPr>
            <w:tcW w:w="1526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3D8AC404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F8E96BC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2013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C39767F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 xml:space="preserve">-0.0157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383DBEC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 xml:space="preserve">0.0304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498DB41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-0.52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7202375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0.609</w:t>
            </w:r>
          </w:p>
        </w:tc>
      </w:tr>
      <w:tr w:rsidR="00EE378D" w:rsidRPr="00090D9D" w14:paraId="3584EB77" w14:textId="77777777" w:rsidTr="00C1405E">
        <w:trPr>
          <w:trHeight w:val="320"/>
        </w:trPr>
        <w:tc>
          <w:tcPr>
            <w:tcW w:w="1526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7401D653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58813C2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2014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06AB8A4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 xml:space="preserve">-0.0105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93A4A24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 xml:space="preserve">0.0248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C3B0365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-0.42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EFE1BFF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0.676</w:t>
            </w:r>
          </w:p>
        </w:tc>
      </w:tr>
      <w:tr w:rsidR="00EE378D" w:rsidRPr="00090D9D" w14:paraId="6F993C1C" w14:textId="77777777" w:rsidTr="00C1405E">
        <w:trPr>
          <w:trHeight w:val="320"/>
        </w:trPr>
        <w:tc>
          <w:tcPr>
            <w:tcW w:w="1526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474A084D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E2D442A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2015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99D096D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 xml:space="preserve">-0.0011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87F7258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 xml:space="preserve">0.0174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C5241FC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-0.07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ABA13E0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0.948</w:t>
            </w:r>
          </w:p>
        </w:tc>
      </w:tr>
      <w:tr w:rsidR="00EE378D" w:rsidRPr="00090D9D" w14:paraId="0C5183EB" w14:textId="77777777" w:rsidTr="00C1405E">
        <w:trPr>
          <w:trHeight w:val="320"/>
        </w:trPr>
        <w:tc>
          <w:tcPr>
            <w:tcW w:w="1526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64A3DFCD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DCDAF62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6CE42BA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1E2CACA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48A6C78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D6FFD34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 </w:t>
            </w:r>
          </w:p>
        </w:tc>
      </w:tr>
      <w:tr w:rsidR="00EE378D" w:rsidRPr="00090D9D" w14:paraId="6ED805F7" w14:textId="77777777" w:rsidTr="00C1405E">
        <w:trPr>
          <w:trHeight w:val="320"/>
        </w:trPr>
        <w:tc>
          <w:tcPr>
            <w:tcW w:w="1526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hideMark/>
          </w:tcPr>
          <w:p w14:paraId="2E3E818C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Surgery cost per inpatient admission</w:t>
            </w:r>
            <w:r>
              <w:rPr>
                <w:rFonts w:eastAsia="Times New Roman"/>
                <w:color w:val="000000"/>
                <w:sz w:val="21"/>
                <w:szCs w:val="22"/>
              </w:rPr>
              <w:t xml:space="preserve"> (CNY)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EFCB406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2012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F930DB1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 xml:space="preserve">-0.0073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7810C07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 xml:space="preserve">0.0610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CB74261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-0.12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D7A7B46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0.906</w:t>
            </w:r>
          </w:p>
        </w:tc>
      </w:tr>
      <w:tr w:rsidR="00EE378D" w:rsidRPr="00090D9D" w14:paraId="3646A58E" w14:textId="77777777" w:rsidTr="00C1405E">
        <w:trPr>
          <w:trHeight w:val="320"/>
        </w:trPr>
        <w:tc>
          <w:tcPr>
            <w:tcW w:w="152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14:paraId="7069D741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773C2A3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2013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EFEC1F5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 xml:space="preserve">-0.0450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E638635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 xml:space="preserve">0.0493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B206D8E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-0.91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617B34E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0.369</w:t>
            </w:r>
          </w:p>
        </w:tc>
      </w:tr>
      <w:tr w:rsidR="00EE378D" w:rsidRPr="00090D9D" w14:paraId="20AEB442" w14:textId="77777777" w:rsidTr="00C1405E">
        <w:trPr>
          <w:trHeight w:val="356"/>
        </w:trPr>
        <w:tc>
          <w:tcPr>
            <w:tcW w:w="152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14:paraId="4F4A19D8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8CE4477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2014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C2570A2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 xml:space="preserve">-0.0768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35EC3CD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 xml:space="preserve">0.0331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58A7E37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-2.32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D18EFA7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0.027</w:t>
            </w:r>
          </w:p>
        </w:tc>
      </w:tr>
      <w:tr w:rsidR="00EE378D" w:rsidRPr="00090D9D" w14:paraId="7346C64C" w14:textId="77777777" w:rsidTr="00C1405E">
        <w:trPr>
          <w:trHeight w:val="340"/>
        </w:trPr>
        <w:tc>
          <w:tcPr>
            <w:tcW w:w="152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14:paraId="6946129A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14:paraId="40449ADA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2015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14:paraId="22F56F2B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 xml:space="preserve">-0.1054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14:paraId="3CB69385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 xml:space="preserve">0.0384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14:paraId="4346396C" w14:textId="77777777" w:rsidR="00EE378D" w:rsidRPr="00090D9D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-2.75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14:paraId="7815B17B" w14:textId="77777777" w:rsidR="00EE378D" w:rsidRPr="007579AC" w:rsidRDefault="00EE378D" w:rsidP="00C1405E">
            <w:pPr>
              <w:jc w:val="center"/>
              <w:rPr>
                <w:rFonts w:eastAsia="Times New Roman"/>
                <w:color w:val="000000"/>
                <w:sz w:val="21"/>
                <w:szCs w:val="22"/>
                <w:vertAlign w:val="superscript"/>
              </w:rPr>
            </w:pPr>
            <w:r w:rsidRPr="00090D9D">
              <w:rPr>
                <w:rFonts w:eastAsia="Times New Roman" w:hint="eastAsia"/>
                <w:color w:val="000000"/>
                <w:sz w:val="21"/>
                <w:szCs w:val="22"/>
              </w:rPr>
              <w:t>0.01</w:t>
            </w:r>
            <w:r w:rsidRPr="00A2355E">
              <w:rPr>
                <w:sz w:val="21"/>
                <w:szCs w:val="21"/>
              </w:rPr>
              <w:t>***</w:t>
            </w:r>
          </w:p>
        </w:tc>
      </w:tr>
    </w:tbl>
    <w:p w14:paraId="76C2E27A" w14:textId="77777777" w:rsidR="00EE378D" w:rsidRPr="007579AC" w:rsidRDefault="00EE378D" w:rsidP="00EE378D">
      <w:pPr>
        <w:rPr>
          <w:sz w:val="21"/>
          <w:szCs w:val="21"/>
        </w:rPr>
      </w:pPr>
      <w:r w:rsidRPr="007579AC">
        <w:rPr>
          <w:rFonts w:hint="eastAsia"/>
          <w:sz w:val="21"/>
          <w:szCs w:val="21"/>
        </w:rPr>
        <w:t>Note:</w:t>
      </w:r>
      <w:r>
        <w:rPr>
          <w:rFonts w:hint="eastAsia"/>
          <w:sz w:val="21"/>
          <w:szCs w:val="21"/>
        </w:rPr>
        <w:t xml:space="preserve"> </w:t>
      </w:r>
      <w:r w:rsidRPr="00516101">
        <w:rPr>
          <w:color w:val="000000"/>
          <w:sz w:val="21"/>
          <w:szCs w:val="21"/>
        </w:rPr>
        <w:t>*** p&lt;0.01; ** p&lt;0.05; * p&lt;0.</w:t>
      </w:r>
      <w:r>
        <w:rPr>
          <w:rFonts w:hint="eastAsia"/>
          <w:color w:val="000000"/>
          <w:sz w:val="21"/>
          <w:szCs w:val="21"/>
        </w:rPr>
        <w:t>1</w:t>
      </w:r>
    </w:p>
    <w:p w14:paraId="3FA380F2" w14:textId="732EC6C8" w:rsidR="00EE378D" w:rsidRPr="00C63C3C" w:rsidRDefault="00EE378D"/>
    <w:sectPr w:rsidR="00EE378D" w:rsidRPr="00C63C3C" w:rsidSect="006D6CE3">
      <w:pgSz w:w="11900" w:h="16840"/>
      <w:pgMar w:top="1440" w:right="1440" w:bottom="1440" w:left="1440" w:header="708" w:footer="708" w:gutter="0"/>
      <w:cols w:space="708"/>
      <w:docGrid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等线">
    <w:charset w:val="86"/>
    <w:family w:val="auto"/>
    <w:pitch w:val="variable"/>
    <w:sig w:usb0="A00002BF" w:usb1="38CF7CFA" w:usb2="00000016" w:usb3="00000000" w:csb0="0004000F" w:csb1="00000000"/>
  </w:font>
  <w:font w:name=".PingFang SC">
    <w:panose1 w:val="020B0400000000000000"/>
    <w:charset w:val="86"/>
    <w:family w:val="auto"/>
    <w:pitch w:val="variable"/>
    <w:sig w:usb0="A00002FF" w:usb1="7ACFFDFB" w:usb2="00000017" w:usb3="00000000" w:csb0="00040001" w:csb1="00000000"/>
  </w:font>
  <w:font w:name="Cambria Math">
    <w:panose1 w:val="02040503050406030204"/>
    <w:charset w:val="00"/>
    <w:family w:val="auto"/>
    <w:pitch w:val="variable"/>
    <w:sig w:usb0="E00002FF" w:usb1="42002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revisionView w:inkAnnotations="0"/>
  <w:defaultTabStop w:val="720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1380"/>
    <w:rsid w:val="00000FBF"/>
    <w:rsid w:val="001302F0"/>
    <w:rsid w:val="00141BB2"/>
    <w:rsid w:val="001E1935"/>
    <w:rsid w:val="00204509"/>
    <w:rsid w:val="00260E37"/>
    <w:rsid w:val="0030170B"/>
    <w:rsid w:val="00301DBD"/>
    <w:rsid w:val="003252EC"/>
    <w:rsid w:val="003A0E3D"/>
    <w:rsid w:val="003F2C93"/>
    <w:rsid w:val="00404C4A"/>
    <w:rsid w:val="00483EF5"/>
    <w:rsid w:val="004F2C08"/>
    <w:rsid w:val="00532560"/>
    <w:rsid w:val="0053591E"/>
    <w:rsid w:val="00572954"/>
    <w:rsid w:val="00581380"/>
    <w:rsid w:val="00581FE2"/>
    <w:rsid w:val="005965E1"/>
    <w:rsid w:val="005A746B"/>
    <w:rsid w:val="005D4D95"/>
    <w:rsid w:val="006612F8"/>
    <w:rsid w:val="006626BA"/>
    <w:rsid w:val="006D6CE3"/>
    <w:rsid w:val="00716546"/>
    <w:rsid w:val="00727B61"/>
    <w:rsid w:val="00737EDA"/>
    <w:rsid w:val="00791D92"/>
    <w:rsid w:val="00907616"/>
    <w:rsid w:val="00961559"/>
    <w:rsid w:val="00986A3A"/>
    <w:rsid w:val="00A01F31"/>
    <w:rsid w:val="00A80EF4"/>
    <w:rsid w:val="00AB42C1"/>
    <w:rsid w:val="00AB537C"/>
    <w:rsid w:val="00AF0621"/>
    <w:rsid w:val="00B01CBE"/>
    <w:rsid w:val="00BA1585"/>
    <w:rsid w:val="00C61D32"/>
    <w:rsid w:val="00C63C3C"/>
    <w:rsid w:val="00D70D76"/>
    <w:rsid w:val="00E17A9D"/>
    <w:rsid w:val="00E84D56"/>
    <w:rsid w:val="00EE378D"/>
    <w:rsid w:val="00FA1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64870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81380"/>
    <w:rPr>
      <w:rFonts w:ascii="Times New Roman" w:eastAsia="等线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EE378D"/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EE378D"/>
    <w:rPr>
      <w:rFonts w:ascii="Times New Roman" w:eastAsia="等线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0999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chart" Target="charts/chart1.xml"/><Relationship Id="rId5" Type="http://schemas.openxmlformats.org/officeDocument/2006/relationships/chart" Target="charts/chart2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4" Type="http://schemas.openxmlformats.org/officeDocument/2006/relationships/oleObject" Target="&#24037;&#20316;&#31807;1" TargetMode="External"/><Relationship Id="rId1" Type="http://schemas.microsoft.com/office/2011/relationships/chartStyle" Target="style1.xml"/><Relationship Id="rId2" Type="http://schemas.microsoft.com/office/2011/relationships/chartColorStyle" Target="colors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.xml"/><Relationship Id="rId4" Type="http://schemas.openxmlformats.org/officeDocument/2006/relationships/oleObject" Target="&#24037;&#20316;&#31807;1" TargetMode="External"/><Relationship Id="rId1" Type="http://schemas.microsoft.com/office/2011/relationships/chartStyle" Target="style2.xml"/><Relationship Id="rId2" Type="http://schemas.microsoft.com/office/2011/relationships/chartColorStyle" Target="colors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>
        <c:manualLayout>
          <c:layoutTarget val="inner"/>
          <c:xMode val="edge"/>
          <c:yMode val="edge"/>
          <c:x val="0.143463418635171"/>
          <c:y val="0.101983002832861"/>
          <c:w val="0.823203248031496"/>
          <c:h val="0.790368271954674"/>
        </c:manualLayout>
      </c:layout>
      <c:lineChart>
        <c:grouping val="standard"/>
        <c:varyColors val="0"/>
        <c:ser>
          <c:idx val="0"/>
          <c:order val="0"/>
          <c:tx>
            <c:strRef>
              <c:f>out_drug!$J$10</c:f>
              <c:strCache>
                <c:ptCount val="1"/>
                <c:pt idx="0">
                  <c:v>Control group</c:v>
                </c:pt>
              </c:strCache>
            </c:strRef>
          </c:tx>
          <c:spPr>
            <a:ln w="15875" cap="rnd">
              <a:solidFill>
                <a:schemeClr val="tx1"/>
              </a:solidFill>
              <a:prstDash val="dash"/>
              <a:round/>
            </a:ln>
            <a:effectLst/>
          </c:spPr>
          <c:marker>
            <c:symbol val="none"/>
          </c:marker>
          <c:cat>
            <c:numRef>
              <c:f>out_drug!$J$2:$J$8</c:f>
              <c:numCache>
                <c:formatCode>General</c:formatCode>
                <c:ptCount val="7"/>
                <c:pt idx="0">
                  <c:v>2012.0</c:v>
                </c:pt>
                <c:pt idx="1">
                  <c:v>2013.0</c:v>
                </c:pt>
                <c:pt idx="2">
                  <c:v>2014.0</c:v>
                </c:pt>
                <c:pt idx="3">
                  <c:v>2015.0</c:v>
                </c:pt>
                <c:pt idx="4">
                  <c:v>2016.0</c:v>
                </c:pt>
                <c:pt idx="5">
                  <c:v>2017.0</c:v>
                </c:pt>
                <c:pt idx="6">
                  <c:v>2018.0</c:v>
                </c:pt>
              </c:numCache>
            </c:numRef>
          </c:cat>
          <c:val>
            <c:numRef>
              <c:f>out_drug!$G$2:$G$8</c:f>
              <c:numCache>
                <c:formatCode>General</c:formatCode>
                <c:ptCount val="7"/>
                <c:pt idx="0">
                  <c:v>-0.1789442</c:v>
                </c:pt>
                <c:pt idx="1">
                  <c:v>-0.1176204</c:v>
                </c:pt>
                <c:pt idx="2">
                  <c:v>-0.0652094</c:v>
                </c:pt>
                <c:pt idx="3">
                  <c:v>-0.0100542</c:v>
                </c:pt>
                <c:pt idx="4">
                  <c:v>0.0232544</c:v>
                </c:pt>
                <c:pt idx="5">
                  <c:v>-0.0009137</c:v>
                </c:pt>
                <c:pt idx="6">
                  <c:v>0.0</c:v>
                </c:pt>
              </c:numCache>
            </c:numRef>
          </c:val>
          <c:smooth val="0"/>
        </c:ser>
        <c:ser>
          <c:idx val="1"/>
          <c:order val="1"/>
          <c:tx>
            <c:strRef>
              <c:f>out_drug!$L$10</c:f>
              <c:strCache>
                <c:ptCount val="1"/>
                <c:pt idx="0">
                  <c:v>Intervention group</c:v>
                </c:pt>
              </c:strCache>
            </c:strRef>
          </c:tx>
          <c:spPr>
            <a:ln w="15875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cat>
            <c:numRef>
              <c:f>out_drug!$J$2:$J$8</c:f>
              <c:numCache>
                <c:formatCode>General</c:formatCode>
                <c:ptCount val="7"/>
                <c:pt idx="0">
                  <c:v>2012.0</c:v>
                </c:pt>
                <c:pt idx="1">
                  <c:v>2013.0</c:v>
                </c:pt>
                <c:pt idx="2">
                  <c:v>2014.0</c:v>
                </c:pt>
                <c:pt idx="3">
                  <c:v>2015.0</c:v>
                </c:pt>
                <c:pt idx="4">
                  <c:v>2016.0</c:v>
                </c:pt>
                <c:pt idx="5">
                  <c:v>2017.0</c:v>
                </c:pt>
                <c:pt idx="6">
                  <c:v>2018.0</c:v>
                </c:pt>
              </c:numCache>
            </c:numRef>
          </c:cat>
          <c:val>
            <c:numRef>
              <c:f>out_drug!$I$2:$I$8</c:f>
              <c:numCache>
                <c:formatCode>General</c:formatCode>
                <c:ptCount val="7"/>
                <c:pt idx="0">
                  <c:v>-0.1789442</c:v>
                </c:pt>
                <c:pt idx="1">
                  <c:v>-0.1176204</c:v>
                </c:pt>
                <c:pt idx="2">
                  <c:v>-0.0652094</c:v>
                </c:pt>
                <c:pt idx="3">
                  <c:v>-0.0472718</c:v>
                </c:pt>
                <c:pt idx="4">
                  <c:v>-0.0111283</c:v>
                </c:pt>
                <c:pt idx="5">
                  <c:v>-0.0355637</c:v>
                </c:pt>
                <c:pt idx="6">
                  <c:v>-0.0147761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870464496"/>
        <c:axId val="1871831056"/>
      </c:lineChart>
      <c:catAx>
        <c:axId val="1870464496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0"/>
          <a:lstStyle/>
          <a:p>
            <a:pPr>
              <a:defRPr sz="1200" b="0" i="0" u="none" strike="noStrike" kern="1200" baseline="0">
                <a:solidFill>
                  <a:schemeClr val="tx1"/>
                </a:solidFill>
                <a:latin typeface="Times New Roman" charset="0"/>
                <a:ea typeface="Times New Roman" charset="0"/>
                <a:cs typeface="Times New Roman" charset="0"/>
              </a:defRPr>
            </a:pPr>
            <a:endParaRPr lang="en-US"/>
          </a:p>
        </c:txPr>
        <c:crossAx val="1871831056"/>
        <c:crosses val="autoZero"/>
        <c:auto val="1"/>
        <c:lblAlgn val="ctr"/>
        <c:lblOffset val="100"/>
        <c:noMultiLvlLbl val="0"/>
      </c:catAx>
      <c:valAx>
        <c:axId val="1871831056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 marL="0" marR="0" indent="0" algn="ctr" defTabSz="914400" rtl="0" eaLnBrk="1" fontAlgn="auto" latinLnBrk="0" hangingPunct="1">
                  <a:lnSpc>
                    <a:spcPct val="100000"/>
                  </a:lnSpc>
                  <a:spcBef>
                    <a:spcPts val="0"/>
                  </a:spcBef>
                  <a:spcAft>
                    <a:spcPts val="0"/>
                  </a:spcAft>
                  <a:buClrTx/>
                  <a:buSzTx/>
                  <a:buFontTx/>
                  <a:buNone/>
                  <a:tabLst/>
                  <a:defRPr sz="10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 sz="1300" b="0" i="0" kern="1200" baseline="0">
                    <a:solidFill>
                      <a:srgbClr val="000000"/>
                    </a:solidFill>
                    <a:effectLst/>
                    <a:latin typeface="Times New Roman" charset="0"/>
                    <a:ea typeface="Times New Roman" charset="0"/>
                    <a:cs typeface="Times New Roman" charset="0"/>
                  </a:rPr>
                  <a:t>Coefficients for year dummies</a:t>
                </a:r>
                <a:endParaRPr lang="en-US" altLang="zh-CN" sz="1300">
                  <a:effectLst/>
                </a:endParaRP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 marL="0" marR="0" indent="0" algn="ctr" defTabSz="914400" rtl="0" eaLnBrk="1" fontAlgn="auto" latinLnBrk="0" hangingPunct="1">
                <a:lnSpc>
                  <a:spcPct val="100000"/>
                </a:lnSpc>
                <a:spcBef>
                  <a:spcPts val="0"/>
                </a:spcBef>
                <a:spcAft>
                  <a:spcPts val="0"/>
                </a:spcAft>
                <a:buClrTx/>
                <a:buSzTx/>
                <a:buFontTx/>
                <a:buNone/>
                <a:tabLst/>
                <a:defRPr sz="1000" b="0" i="0" u="none" strike="noStrike" kern="1200" baseline="0">
                  <a:solidFill>
                    <a:sysClr val="windowText" lastClr="000000">
                      <a:lumMod val="65000"/>
                      <a:lumOff val="35000"/>
                    </a:sys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/>
                </a:solidFill>
                <a:latin typeface="Times New Roman" charset="0"/>
                <a:ea typeface="Times New Roman" charset="0"/>
                <a:cs typeface="Times New Roman" charset="0"/>
              </a:defRPr>
            </a:pPr>
            <a:endParaRPr lang="en-US"/>
          </a:p>
        </c:txPr>
        <c:crossAx val="187046449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429291666666667"/>
          <c:y val="0.550354441610292"/>
          <c:w val="0.281025422757706"/>
          <c:h val="0.151575246756127"/>
        </c:manualLayout>
      </c:layout>
      <c:overlay val="0"/>
      <c:spPr>
        <a:noFill/>
        <a:ln>
          <a:solidFill>
            <a:schemeClr val="tx1"/>
          </a:solidFill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24091098201766"/>
          <c:y val="0.101851799775028"/>
          <c:w val="0.842742191472641"/>
          <c:h val="0.83796306711661"/>
        </c:manualLayout>
      </c:layout>
      <c:lineChart>
        <c:grouping val="standard"/>
        <c:varyColors val="0"/>
        <c:ser>
          <c:idx val="0"/>
          <c:order val="0"/>
          <c:tx>
            <c:strRef>
              <c:f>'in drug'!$G$8</c:f>
              <c:strCache>
                <c:ptCount val="1"/>
                <c:pt idx="0">
                  <c:v>Control group</c:v>
                </c:pt>
              </c:strCache>
            </c:strRef>
          </c:tx>
          <c:spPr>
            <a:ln w="15875" cap="rnd">
              <a:solidFill>
                <a:schemeClr val="tx1"/>
              </a:solidFill>
              <a:prstDash val="dash"/>
              <a:round/>
            </a:ln>
            <a:effectLst/>
          </c:spPr>
          <c:marker>
            <c:symbol val="none"/>
          </c:marker>
          <c:cat>
            <c:numRef>
              <c:f>'in drug'!$K$1:$K$7</c:f>
              <c:numCache>
                <c:formatCode>General</c:formatCode>
                <c:ptCount val="7"/>
                <c:pt idx="0">
                  <c:v>2012.0</c:v>
                </c:pt>
                <c:pt idx="1">
                  <c:v>2013.0</c:v>
                </c:pt>
                <c:pt idx="2">
                  <c:v>2014.0</c:v>
                </c:pt>
                <c:pt idx="3">
                  <c:v>2015.0</c:v>
                </c:pt>
                <c:pt idx="4">
                  <c:v>2016.0</c:v>
                </c:pt>
                <c:pt idx="5">
                  <c:v>2017.0</c:v>
                </c:pt>
                <c:pt idx="6">
                  <c:v>2018.0</c:v>
                </c:pt>
              </c:numCache>
            </c:numRef>
          </c:cat>
          <c:val>
            <c:numRef>
              <c:f>'in drug'!$G$1:$G$7</c:f>
              <c:numCache>
                <c:formatCode>General</c:formatCode>
                <c:ptCount val="7"/>
                <c:pt idx="0">
                  <c:v>0.0766008</c:v>
                </c:pt>
                <c:pt idx="1">
                  <c:v>0.1114981</c:v>
                </c:pt>
                <c:pt idx="2">
                  <c:v>0.1292339</c:v>
                </c:pt>
                <c:pt idx="3">
                  <c:v>0.1701796</c:v>
                </c:pt>
                <c:pt idx="4">
                  <c:v>0.1858816</c:v>
                </c:pt>
                <c:pt idx="5">
                  <c:v>0.0817725</c:v>
                </c:pt>
                <c:pt idx="6">
                  <c:v>0.0</c:v>
                </c:pt>
              </c:numCache>
            </c:numRef>
          </c:val>
          <c:smooth val="0"/>
        </c:ser>
        <c:ser>
          <c:idx val="1"/>
          <c:order val="1"/>
          <c:tx>
            <c:strRef>
              <c:f>'in drug'!$I$8</c:f>
              <c:strCache>
                <c:ptCount val="1"/>
                <c:pt idx="0">
                  <c:v>Intervention group</c:v>
                </c:pt>
              </c:strCache>
            </c:strRef>
          </c:tx>
          <c:spPr>
            <a:ln w="15875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cat>
            <c:numRef>
              <c:f>'in drug'!$K$1:$K$7</c:f>
              <c:numCache>
                <c:formatCode>General</c:formatCode>
                <c:ptCount val="7"/>
                <c:pt idx="0">
                  <c:v>2012.0</c:v>
                </c:pt>
                <c:pt idx="1">
                  <c:v>2013.0</c:v>
                </c:pt>
                <c:pt idx="2">
                  <c:v>2014.0</c:v>
                </c:pt>
                <c:pt idx="3">
                  <c:v>2015.0</c:v>
                </c:pt>
                <c:pt idx="4">
                  <c:v>2016.0</c:v>
                </c:pt>
                <c:pt idx="5">
                  <c:v>2017.0</c:v>
                </c:pt>
                <c:pt idx="6">
                  <c:v>2018.0</c:v>
                </c:pt>
              </c:numCache>
            </c:numRef>
          </c:cat>
          <c:val>
            <c:numRef>
              <c:f>'in drug'!$I$1:$I$7</c:f>
              <c:numCache>
                <c:formatCode>General</c:formatCode>
                <c:ptCount val="7"/>
                <c:pt idx="0">
                  <c:v>0.0766008</c:v>
                </c:pt>
                <c:pt idx="1">
                  <c:v>0.1114981</c:v>
                </c:pt>
                <c:pt idx="2">
                  <c:v>0.1292339</c:v>
                </c:pt>
                <c:pt idx="3">
                  <c:v>0.1255876</c:v>
                </c:pt>
                <c:pt idx="4">
                  <c:v>0.1369138</c:v>
                </c:pt>
                <c:pt idx="5">
                  <c:v>0.0468437</c:v>
                </c:pt>
                <c:pt idx="6">
                  <c:v>-0.0137794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2126374000"/>
        <c:axId val="2130620112"/>
      </c:lineChart>
      <c:catAx>
        <c:axId val="2126374000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/>
                </a:solidFill>
                <a:latin typeface="Times New Roman" charset="0"/>
                <a:ea typeface="Times New Roman" charset="0"/>
                <a:cs typeface="Times New Roman" charset="0"/>
              </a:defRPr>
            </a:pPr>
            <a:endParaRPr lang="en-US"/>
          </a:p>
        </c:txPr>
        <c:crossAx val="2130620112"/>
        <c:crosses val="autoZero"/>
        <c:auto val="1"/>
        <c:lblAlgn val="ctr"/>
        <c:lblOffset val="100"/>
        <c:noMultiLvlLbl val="0"/>
      </c:catAx>
      <c:valAx>
        <c:axId val="2130620112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 sz="1300">
                    <a:solidFill>
                      <a:schemeClr val="tx1"/>
                    </a:solidFill>
                    <a:latin typeface="Times New Roman" charset="0"/>
                    <a:ea typeface="Times New Roman" charset="0"/>
                    <a:cs typeface="Times New Roman" charset="0"/>
                  </a:rPr>
                  <a:t>Coefficients</a:t>
                </a:r>
                <a:r>
                  <a:rPr lang="zh-CN" altLang="en-US" sz="1300" baseline="0">
                    <a:solidFill>
                      <a:schemeClr val="tx1"/>
                    </a:solidFill>
                    <a:latin typeface="Times New Roman" charset="0"/>
                    <a:ea typeface="Times New Roman" charset="0"/>
                    <a:cs typeface="Times New Roman" charset="0"/>
                  </a:rPr>
                  <a:t> </a:t>
                </a:r>
                <a:r>
                  <a:rPr lang="en-US" altLang="zh-CN" sz="1300" baseline="0">
                    <a:solidFill>
                      <a:schemeClr val="tx1"/>
                    </a:solidFill>
                    <a:latin typeface="Times New Roman" charset="0"/>
                    <a:ea typeface="Times New Roman" charset="0"/>
                    <a:cs typeface="Times New Roman" charset="0"/>
                  </a:rPr>
                  <a:t>for</a:t>
                </a:r>
                <a:r>
                  <a:rPr lang="zh-CN" altLang="en-US" sz="1300" baseline="0">
                    <a:solidFill>
                      <a:schemeClr val="tx1"/>
                    </a:solidFill>
                    <a:latin typeface="Times New Roman" charset="0"/>
                    <a:ea typeface="Times New Roman" charset="0"/>
                    <a:cs typeface="Times New Roman" charset="0"/>
                  </a:rPr>
                  <a:t> </a:t>
                </a:r>
                <a:r>
                  <a:rPr lang="en-US" altLang="zh-CN" sz="1300" baseline="0">
                    <a:solidFill>
                      <a:schemeClr val="tx1"/>
                    </a:solidFill>
                    <a:latin typeface="Times New Roman" charset="0"/>
                    <a:ea typeface="Times New Roman" charset="0"/>
                    <a:cs typeface="Times New Roman" charset="0"/>
                  </a:rPr>
                  <a:t>year</a:t>
                </a:r>
                <a:r>
                  <a:rPr lang="zh-CN" altLang="en-US" sz="1300" baseline="0">
                    <a:solidFill>
                      <a:schemeClr val="tx1"/>
                    </a:solidFill>
                    <a:latin typeface="Times New Roman" charset="0"/>
                    <a:ea typeface="Times New Roman" charset="0"/>
                    <a:cs typeface="Times New Roman" charset="0"/>
                  </a:rPr>
                  <a:t> </a:t>
                </a:r>
                <a:r>
                  <a:rPr lang="en-US" altLang="zh-CN" sz="1300" baseline="0">
                    <a:solidFill>
                      <a:schemeClr val="tx1"/>
                    </a:solidFill>
                    <a:latin typeface="Times New Roman" charset="0"/>
                    <a:ea typeface="Times New Roman" charset="0"/>
                    <a:cs typeface="Times New Roman" charset="0"/>
                  </a:rPr>
                  <a:t>dummies</a:t>
                </a:r>
                <a:endParaRPr lang="zh-CN" altLang="en-US" sz="1300">
                  <a:solidFill>
                    <a:schemeClr val="tx1"/>
                  </a:solidFill>
                  <a:latin typeface="Times New Roman" charset="0"/>
                  <a:ea typeface="Times New Roman" charset="0"/>
                  <a:cs typeface="Times New Roman" charset="0"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chemeClr val="tx1"/>
                </a:solidFill>
                <a:latin typeface="Times New Roman" charset="0"/>
                <a:ea typeface="Times New Roman" charset="0"/>
                <a:cs typeface="Times New Roman" charset="0"/>
              </a:defRPr>
            </a:pPr>
            <a:endParaRPr lang="en-US"/>
          </a:p>
        </c:txPr>
        <c:crossAx val="212637400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414093241172908"/>
          <c:y val="0.626279184614118"/>
          <c:w val="0.300109915559198"/>
          <c:h val="0.104261845318116"/>
        </c:manualLayout>
      </c:layout>
      <c:overlay val="0"/>
      <c:spPr>
        <a:noFill/>
        <a:ln>
          <a:solidFill>
            <a:schemeClr val="tx1"/>
          </a:solidFill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DengXian Light" panose="020F0302020204030204"/>
      <a:ea typeface=""/>
      <a:cs typeface=""/>
      <a:font script="Jpan" typeface="Yu Gothic Light"/>
      <a:font script="Hang" typeface="맑은 고딕"/>
      <a:font script="Hans" typeface="DengXian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DengXian" panose="020F0502020204030204"/>
      <a:ea typeface=""/>
      <a:cs typeface=""/>
      <a:font script="Jpan" typeface="Yu Mincho"/>
      <a:font script="Hang" typeface="맑은 고딕"/>
      <a:font script="Hans" typeface="DengXian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DengXian Light" panose="020F0302020204030204"/>
      <a:ea typeface=""/>
      <a:cs typeface=""/>
      <a:font script="Jpan" typeface="Yu Gothic Light"/>
      <a:font script="Hang" typeface="맑은 고딕"/>
      <a:font script="Hans" typeface="DengXian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DengXian" panose="020F0502020204030204"/>
      <a:ea typeface=""/>
      <a:cs typeface=""/>
      <a:font script="Jpan" typeface="Yu Mincho"/>
      <a:font script="Hang" typeface="맑은 고딕"/>
      <a:font script="Hans" typeface="DengXian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399</Words>
  <Characters>2279</Characters>
  <Application>Microsoft Macintosh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2673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4</cp:revision>
  <dcterms:created xsi:type="dcterms:W3CDTF">2020-04-14T05:24:00Z</dcterms:created>
  <dcterms:modified xsi:type="dcterms:W3CDTF">2020-04-14T05:37:00Z</dcterms:modified>
</cp:coreProperties>
</file>