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Cell culture</w:t>
      </w:r>
    </w:p>
    <w:p>
      <w:pPr>
        <w:jc w:val="left"/>
        <w:rPr>
          <w:rFonts w:hint="default" w:ascii="Times New Roman" w:hAnsi="Times New Roman" w:eastAsia="宋体" w:cs="Times New Roman"/>
          <w:sz w:val="24"/>
          <w:szCs w:val="28"/>
        </w:rPr>
      </w:pPr>
      <w:r>
        <w:rPr>
          <w:rFonts w:hint="default" w:ascii="Times New Roman" w:hAnsi="Times New Roman" w:eastAsia="宋体" w:cs="Times New Roman"/>
          <w:b w:val="0"/>
          <w:bCs w:val="0"/>
          <w:sz w:val="24"/>
          <w:szCs w:val="28"/>
        </w:rPr>
        <w:t>Human pancreatic islat cell carcinoma (QGP-1) cells (CTCC, Hangzhou, China) were cultured in RPMI 1640 medium (Solarbio Science &amp; Technology Co., Beijing, China) with 10% fetal bovine serum (FBS, Moregate, Australia), and human embryonic kidney (HEK293T) cells (CTCC, Hangzhou, China) were cultured in DMEM medium (Solarbio Science &amp; Technology Co., Beijing, China) with 10% fetal bovine serum (FBS, Cegrogen, Stadtallendorf, Germany). 100 units/ml penicillin and 100 μg/ml streptomycin were added to the medium, and the cultures were at 37°C and in a humidified atmosphere containing 5% CO2. The cell lines had been examined for short tandem repeat (STR) and mycoplasma infection periodically.</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Plasmid construction, transfection and viral infection</w:t>
      </w:r>
    </w:p>
    <w:p>
      <w:pPr>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rPr>
        <w:t>The full-length sequences of PIN1 and LMNA were generated by PCR with high fidelity (Vazyme, Phanta Max Master Mix, P515) from human cellular cDNA and cloned into the pHAGE-Flag or pHAGE-HA vector with seamless cloning method (Vazyme, ClonExpress II One Step Cloning Kit, C112). The mutated LMNA plasmids were constructed by site-directed mutagenesis using the inverse PCR from the LMNA-HA plasmids. The sequences of gene-specific small hairpin RNAs were designed and synthesized by Sangon Biotech and inserted into the pLKO.1 vector. The primer sequence information was listed in Supplement Table 7. Transient transfection was carried out by using polyethyleneimine (25 kDa, Polyscience, US) according to the manufacturer’s protocol. For the generation of stably transduced cell lines, the target gene plasmid, the pMD2.G envelope plasmid and the psPAX packaging plasmids were co-transfected into HEK293T cells. After 72h, the supernatant was collected and filtered through a 0.22 µm filter (Biofly, Wuhan, China). QGP-1 cells were transduced by treatment with the viral supernatant in the presence of 1‰ polybrene (40804ES76, Yeasen, Shanghai, China) for 12 h. Transduced cells were successively screened with puromycin dihydrochloride (1 μg/ml) (ST551, Beyotime, China) for 1 weeks. Next, immunoblotting was performed to determine the knockdown or overexpression efficiency of the indicated gene.</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Immunoblotting</w:t>
      </w:r>
    </w:p>
    <w:p>
      <w:pPr>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rPr>
        <w:t>The total cellular protein was isolated using the RIPA buffer (50mM Tris-HCl; 150mM NaCl; 1% NP40; 0.5% Sodium deoxycholate; 0.1% SDS; 1mM EDTA). The proteins were subjected to SDS-PAGE gel electrophoresis, and was then transferred onto the PVDF membrane (Millipore, MA, USA). The membrane was incubated overnight at 4 °C with primary antibody, incubated for 2h at RT with a specific secondary antibody conjugated to horseradish peroxidase and finally examined with the ChemiDoc XRS System (Bio-Rad Laboratories, USA). The following antibodies were used: anti-ACTB (AC026, Abclonal Biotechnology, China), anti-PIN1 (10495, Proteintech Group, China), anti-CTNNB1 (A11343, Abcam, UK), anti-CTNNB1 (Ser 675) (28853, Proteintech Group, China), anti- E-Cadherin(20874, Proteintech Group, China), anti- Vimentin (5741P, Cell Signaling Technology, USA), anti-PIN1 (10495, Proteintech Group, China), anti-FLAG (20543, Proteintech Group, China) and anti-HA (51064, Proteintech Group, China). The PIN1 inhibitor Sulfopin-1 was obtained from DC-Chemicals (DC53131, China).</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Co-IP</w:t>
      </w:r>
    </w:p>
    <w:p>
      <w:pPr>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rPr>
        <w:t>293T cells were transfected with plasmids for 48h and were then collected in 1 ml of IP buffer (20 mM Tris-HCl pH 7.4, 150 mM NaCl, 1 mM EDTA, and 1% NP-40) with cOmplete® protease inhibitor cocktail (Ref: 00104132693, Roche, Indianapolis, IN). The cell lysate was subjected to ultrasonication and centrifugation at 12,000 rpm for 15 min at 4 °C. Fifty μL of lysate supernatant were taken as input, and the rest was incubated overnight with Protein A/G Magnetic Beads conjected with FLAG or HA antibody (B26102, B26202, Biomake, US) at 4 °C on a rotating device. Next, the magnetic beads were washed 3 times for 5 min each with cold IP buffer and boiled for 15 min in 50 µl of 2 × loading buffer. After instantaneous centrifugation, the supernatant was collected, and immunoblotting analysis was performed.</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RNA-seq</w:t>
      </w:r>
    </w:p>
    <w:p>
      <w:pPr>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rPr>
        <w:t>QGP-1 cells were infected with virus of PIN1 overexpression or treated with PIN1 inhibitor. Total RNA was extracted with RNA Isolater Total RNA Extraction Reagent (TRIzol, Vazyme, Jiangsu, China) according to the manufacturer’s protocol, and the samples were submitted to Novogene, China for RNA sequencing. Total amounts and integrity of RNA were assessed using the RNA Nano 6000 Assay Kit of the Bioanalyzer 2100 system (Agilent Technologies, CA, USA). Samples were prepared for Illumina (Lexogen) following manufacturer’s protocol and analyzed on a NextSeq 6000 sequencing system (Illumina).</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Wound healing assay</w:t>
      </w:r>
    </w:p>
    <w:p>
      <w:pPr>
        <w:jc w:val="left"/>
        <w:rPr>
          <w:rFonts w:hint="default" w:ascii="Times New Roman" w:hAnsi="Times New Roman" w:eastAsia="宋体" w:cs="Times New Roman"/>
          <w:sz w:val="24"/>
          <w:szCs w:val="28"/>
        </w:rPr>
      </w:pPr>
      <w:r>
        <w:rPr>
          <w:rFonts w:hint="default" w:ascii="Times New Roman" w:hAnsi="Times New Roman" w:eastAsia="宋体" w:cs="Times New Roman"/>
          <w:sz w:val="24"/>
          <w:szCs w:val="28"/>
        </w:rPr>
        <w:t>For the wound healing assay, cells were seeded at 80% confluence, and a scratch was made in a straight line in the cell monolayer; the cells were then washed with PBS and cultured in FBS-free RPMI 1640 medium. The gap was photographed under a microscope every day.</w:t>
      </w:r>
    </w:p>
    <w:p>
      <w:pPr>
        <w:jc w:val="left"/>
        <w:rPr>
          <w:rFonts w:hint="default" w:ascii="Times New Roman" w:hAnsi="Times New Roman" w:eastAsia="宋体" w:cs="Times New Roman"/>
          <w:sz w:val="24"/>
          <w:szCs w:val="28"/>
        </w:rPr>
      </w:pPr>
    </w:p>
    <w:p>
      <w:pPr>
        <w:jc w:val="left"/>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IP-MS</w:t>
      </w:r>
    </w:p>
    <w:p>
      <w:pPr>
        <w:rPr>
          <w:rFonts w:hint="default" w:ascii="Times New Roman" w:hAnsi="Times New Roman" w:eastAsia="宋体" w:cs="Times New Roman"/>
          <w:sz w:val="24"/>
          <w:szCs w:val="28"/>
        </w:rPr>
      </w:pPr>
      <w:r>
        <w:rPr>
          <w:rFonts w:hint="default" w:ascii="Times New Roman" w:hAnsi="Times New Roman" w:eastAsia="宋体" w:cs="Times New Roman"/>
          <w:sz w:val="24"/>
          <w:szCs w:val="28"/>
        </w:rPr>
        <w:t>The stably transduced QGP-1 cells with PIN1-FLAG overexpression were collected for Co-IP with FLAG conjected beads (B26102, Biomake, US). The protein sample was subjected to SDS-PAGE gel electrophoresis, and the gel was stained with Coomassie Brilliant Blue R-250 dye (WB-0101, DINGGUO, China). Then the decolorizing solution (25% ethanol, 8% acetic acid) was used to decolorize the gel. Mass spectrometry detection was carried out according to the manufacturer’s protocol (Omicsspace, China).</w:t>
      </w:r>
    </w:p>
    <w:p>
      <w:pPr>
        <w:rPr>
          <w:rFonts w:hint="default" w:ascii="Times New Roman" w:hAnsi="Times New Roman" w:cs="Times New Roman"/>
          <w:b/>
          <w:bCs/>
          <w:kern w:val="0"/>
          <w:sz w:val="24"/>
          <w:szCs w:val="24"/>
        </w:rPr>
      </w:pPr>
    </w:p>
    <w:p>
      <w:pPr>
        <w:rPr>
          <w:rFonts w:hint="default" w:ascii="Times New Roman" w:hAnsi="Times New Roman" w:eastAsia="宋体" w:cs="Times New Roman"/>
          <w:sz w:val="24"/>
          <w:szCs w:val="28"/>
          <w:lang w:eastAsia="zh-CN"/>
        </w:rPr>
      </w:pPr>
      <w:r>
        <w:rPr>
          <w:rFonts w:hint="default" w:ascii="Times New Roman" w:hAnsi="Times New Roman" w:cs="Times New Roman"/>
          <w:b/>
          <w:bCs/>
          <w:kern w:val="0"/>
          <w:sz w:val="24"/>
          <w:szCs w:val="24"/>
        </w:rPr>
        <w:t>Single-cell sequencing</w:t>
      </w:r>
    </w:p>
    <w:p>
      <w:pPr>
        <w:rPr>
          <w:rFonts w:hint="default" w:ascii="Times New Roman" w:hAnsi="Times New Roman" w:cs="Times New Roman"/>
          <w:i/>
          <w:iCs/>
          <w:sz w:val="24"/>
          <w:szCs w:val="28"/>
          <w:lang w:val="en-US" w:eastAsia="zh-CN"/>
        </w:rPr>
      </w:pPr>
      <w:r>
        <w:rPr>
          <w:rFonts w:hint="default" w:ascii="Times New Roman" w:hAnsi="Times New Roman" w:eastAsia="宋体" w:cs="Times New Roman"/>
          <w:i/>
          <w:iCs/>
          <w:sz w:val="24"/>
          <w:szCs w:val="28"/>
        </w:rPr>
        <w:t>Tissue dissociation and preparation</w:t>
      </w:r>
      <w:r>
        <w:rPr>
          <w:rFonts w:hint="default" w:ascii="Times New Roman" w:hAnsi="Times New Roman" w:cs="Times New Roman"/>
          <w:i/>
          <w:iCs/>
          <w:sz w:val="24"/>
          <w:szCs w:val="28"/>
          <w:lang w:val="en-US" w:eastAsia="zh-CN"/>
        </w:rPr>
        <w:t>.</w:t>
      </w:r>
    </w:p>
    <w:p>
      <w:pPr>
        <w:rPr>
          <w:rFonts w:hint="default" w:ascii="Times New Roman" w:hAnsi="Times New Roman" w:eastAsia="宋体" w:cs="Times New Roman"/>
          <w:sz w:val="24"/>
          <w:szCs w:val="28"/>
        </w:rPr>
      </w:pPr>
      <w:r>
        <w:rPr>
          <w:rFonts w:hint="default" w:ascii="Times New Roman" w:hAnsi="Times New Roman" w:eastAsia="宋体" w:cs="Times New Roman"/>
          <w:sz w:val="24"/>
          <w:szCs w:val="28"/>
        </w:rPr>
        <w:t>The fresh tissues were stored in the sCelLiveTM Tissue Preservation Solution</w:t>
      </w:r>
      <w:r>
        <w:rPr>
          <w:rFonts w:hint="default" w:ascii="Times New Roman" w:hAnsi="Times New Roman" w:cs="Times New Roman"/>
          <w:sz w:val="24"/>
          <w:szCs w:val="28"/>
          <w:lang w:val="en-US" w:eastAsia="zh-CN"/>
        </w:rPr>
        <w:t xml:space="preserve"> </w:t>
      </w:r>
      <w:r>
        <w:rPr>
          <w:rFonts w:hint="default" w:ascii="Times New Roman" w:hAnsi="Times New Roman" w:eastAsia="宋体" w:cs="Times New Roman"/>
          <w:sz w:val="24"/>
          <w:szCs w:val="28"/>
        </w:rPr>
        <w:t>on ice after the surgery within 30 mins. The specimens were washed with Hanks Balanced Salt Solution (HBSS) for three times, minced into small pieces, and then digested with 3 mL sCelLiveTM Tissue Dissociation Solution</w:t>
      </w:r>
      <w:r>
        <w:rPr>
          <w:rFonts w:hint="default" w:ascii="Times New Roman" w:hAnsi="Times New Roman" w:cs="Times New Roman"/>
          <w:sz w:val="24"/>
          <w:szCs w:val="28"/>
          <w:lang w:val="en-US" w:eastAsia="zh-CN"/>
        </w:rPr>
        <w:t xml:space="preserve"> </w:t>
      </w:r>
      <w:r>
        <w:rPr>
          <w:rFonts w:hint="default" w:ascii="Times New Roman" w:hAnsi="Times New Roman" w:eastAsia="宋体" w:cs="Times New Roman"/>
          <w:sz w:val="24"/>
          <w:szCs w:val="28"/>
        </w:rPr>
        <w:t>by Singleron PythoN™ Tissue Dissociation System at 37 °C for 15 min. The cell suspension was collected and filtered through a 40-micron sterile strainer. Afterwards, the GEXSCOPE® red blood cell lysis buﬀer</w:t>
      </w:r>
      <w:r>
        <w:rPr>
          <w:rFonts w:hint="eastAsia" w:cs="Times New Roman"/>
          <w:sz w:val="24"/>
          <w:szCs w:val="28"/>
          <w:lang w:val="en-US" w:eastAsia="zh-CN"/>
        </w:rPr>
        <w:t xml:space="preserve"> </w:t>
      </w:r>
      <w:r>
        <w:rPr>
          <w:rFonts w:hint="default" w:ascii="Times New Roman" w:hAnsi="Times New Roman" w:eastAsia="宋体" w:cs="Times New Roman"/>
          <w:sz w:val="24"/>
          <w:szCs w:val="28"/>
        </w:rPr>
        <w:t>was added, and the mixture[Cell: RCLB=1:2 (volume ratio)] was incubated at room temperature for 5-8 min to remove red blood cells. The mixture was then centrifuged at 300 × g 4 ℃ for 5 mins to remove supernatant and suspended softly with PBS. Finally, the samples were stained with Trypan Blue and the cell viability was evaluated microscopically.</w:t>
      </w:r>
    </w:p>
    <w:p>
      <w:pPr>
        <w:rPr>
          <w:rFonts w:hint="default" w:ascii="Times New Roman" w:hAnsi="Times New Roman" w:eastAsia="宋体" w:cs="Times New Roman"/>
          <w:i/>
          <w:iCs/>
          <w:sz w:val="24"/>
          <w:szCs w:val="28"/>
        </w:rPr>
      </w:pPr>
      <w:r>
        <w:rPr>
          <w:rFonts w:hint="default" w:ascii="Times New Roman" w:hAnsi="Times New Roman" w:eastAsia="宋体" w:cs="Times New Roman"/>
          <w:i/>
          <w:iCs/>
          <w:sz w:val="24"/>
          <w:szCs w:val="28"/>
        </w:rPr>
        <w:t>RT &amp; Amplification &amp; Library Construction</w:t>
      </w:r>
    </w:p>
    <w:p>
      <w:pPr>
        <w:rPr>
          <w:rFonts w:hint="default" w:ascii="Times New Roman" w:hAnsi="Times New Roman" w:eastAsia="宋体" w:cs="Times New Roman"/>
          <w:sz w:val="24"/>
          <w:szCs w:val="28"/>
        </w:rPr>
      </w:pPr>
      <w:r>
        <w:rPr>
          <w:rFonts w:hint="default" w:ascii="Times New Roman" w:hAnsi="Times New Roman" w:eastAsia="宋体" w:cs="Times New Roman"/>
          <w:sz w:val="24"/>
          <w:szCs w:val="28"/>
        </w:rPr>
        <w:t>Single-cell suspensions (2×10</w:t>
      </w:r>
      <w:r>
        <w:rPr>
          <w:rFonts w:hint="default" w:ascii="Times New Roman" w:hAnsi="Times New Roman" w:eastAsia="宋体" w:cs="Times New Roman"/>
          <w:sz w:val="24"/>
          <w:szCs w:val="28"/>
          <w:vertAlign w:val="superscript"/>
        </w:rPr>
        <w:t>5</w:t>
      </w:r>
      <w:r>
        <w:rPr>
          <w:rFonts w:hint="default" w:ascii="Times New Roman" w:hAnsi="Times New Roman" w:eastAsia="宋体" w:cs="Times New Roman"/>
          <w:sz w:val="24"/>
          <w:szCs w:val="28"/>
        </w:rPr>
        <w:t xml:space="preserve"> cells/mL) with PBS</w:t>
      </w:r>
      <w:r>
        <w:rPr>
          <w:rFonts w:hint="eastAsia" w:cs="Times New Roman"/>
          <w:sz w:val="24"/>
          <w:szCs w:val="28"/>
          <w:lang w:val="en-US" w:eastAsia="zh-CN"/>
        </w:rPr>
        <w:t xml:space="preserve"> </w:t>
      </w:r>
      <w:r>
        <w:rPr>
          <w:rFonts w:hint="default" w:ascii="Times New Roman" w:hAnsi="Times New Roman" w:eastAsia="宋体" w:cs="Times New Roman"/>
          <w:sz w:val="24"/>
          <w:szCs w:val="28"/>
        </w:rPr>
        <w:t xml:space="preserve">were loaded onto microwell chip using the Singleron Matrix® Single Cell Processing System. Barcoding Beads are subsequently collected from the microwell chip, followed by reverse transcription of the mRNA captured by the Barcoding Beads and to obtain cDNA, and PCR amplification. The amplified cDNA is then fragmented and ligated with sequencing adapters. The scRNA-seq libraries were constructed according to the protocol of the GEXSCOPE® Single Cell RNA Library Kits (Singleron). Individual libraries were diluted to 4 nM, pooled, and sequenced on Illumina novaseq 6000 with 150 bp paired end reads. </w:t>
      </w:r>
    </w:p>
    <w:p>
      <w:pPr>
        <w:widowControl/>
        <w:jc w:val="both"/>
        <w:rPr>
          <w:rFonts w:hint="default" w:ascii="Times New Roman" w:hAnsi="Times New Roman" w:eastAsia="宋体" w:cs="Times New Roman"/>
          <w:b w:val="0"/>
          <w:bCs w:val="0"/>
          <w:i/>
          <w:iCs/>
          <w:kern w:val="0"/>
          <w:sz w:val="24"/>
          <w:szCs w:val="24"/>
        </w:rPr>
      </w:pPr>
      <w:r>
        <w:rPr>
          <w:rFonts w:hint="default" w:ascii="Times New Roman" w:hAnsi="Times New Roman" w:eastAsia="Times New Roman" w:cs="Times New Roman"/>
          <w:b w:val="0"/>
          <w:bCs w:val="0"/>
          <w:i/>
          <w:iCs/>
          <w:kern w:val="0"/>
          <w:sz w:val="24"/>
          <w:szCs w:val="24"/>
        </w:rPr>
        <w:t>Primary analysis of raw read data</w:t>
      </w:r>
      <w:r>
        <w:rPr>
          <w:rFonts w:hint="default" w:ascii="Times New Roman" w:hAnsi="Times New Roman" w:eastAsia="宋体" w:cs="Times New Roman"/>
          <w:b w:val="0"/>
          <w:bCs w:val="0"/>
          <w:i/>
          <w:iCs/>
          <w:kern w:val="0"/>
          <w:sz w:val="24"/>
          <w:szCs w:val="24"/>
        </w:rPr>
        <w:t xml:space="preserve"> </w:t>
      </w:r>
    </w:p>
    <w:p>
      <w:pPr>
        <w:widowControl/>
        <w:jc w:val="both"/>
        <w:rPr>
          <w:rFonts w:hint="default" w:ascii="Times New Roman" w:hAnsi="Times New Roman" w:eastAsia="微软雅黑" w:cs="Times New Roman"/>
          <w:b/>
          <w:bCs/>
          <w:color w:val="000000"/>
          <w:kern w:val="0"/>
          <w:sz w:val="24"/>
          <w:szCs w:val="24"/>
        </w:rPr>
      </w:pPr>
      <w:r>
        <w:rPr>
          <w:rFonts w:hint="default" w:ascii="Times New Roman" w:hAnsi="Times New Roman" w:eastAsia="宋体" w:cs="Times New Roman"/>
          <w:kern w:val="0"/>
          <w:sz w:val="24"/>
          <w:szCs w:val="24"/>
        </w:rPr>
        <w:t>Raw reads were processed with fastQC and fastp to remove low quality reads. Poly-A tails and adaptor sequences were removed by cutadapt. After quality control, reads were mapped to the reference genome</w:t>
      </w:r>
      <w:r>
        <w:rPr>
          <w:rFonts w:hint="default" w:ascii="Times New Roman" w:hAnsi="Times New Roman" w:eastAsia="宋体" w:cs="Times New Roman"/>
          <w:color w:val="auto"/>
          <w:kern w:val="0"/>
          <w:sz w:val="24"/>
          <w:szCs w:val="24"/>
        </w:rPr>
        <w:t xml:space="preserve"> GRCh38 (ensembl version 92 annotation) </w:t>
      </w:r>
      <w:r>
        <w:rPr>
          <w:rFonts w:hint="default" w:ascii="Times New Roman" w:hAnsi="Times New Roman" w:eastAsia="宋体" w:cs="Times New Roman"/>
          <w:kern w:val="0"/>
          <w:sz w:val="24"/>
          <w:szCs w:val="24"/>
        </w:rPr>
        <w:t>using STAR. Gene counts and UMI counts were acquired by featureCounts software. Expression matrix files for subsequent analyses were generated based on gene counts and UMI counts.</w:t>
      </w:r>
    </w:p>
    <w:p>
      <w:pPr>
        <w:widowControl/>
        <w:jc w:val="both"/>
        <w:rPr>
          <w:rFonts w:hint="default" w:ascii="Times New Roman" w:hAnsi="Times New Roman" w:eastAsia="Times New Roman" w:cs="Times New Roman"/>
          <w:b w:val="0"/>
          <w:bCs w:val="0"/>
          <w:i/>
          <w:iCs/>
          <w:color w:val="auto"/>
          <w:kern w:val="0"/>
          <w:sz w:val="24"/>
          <w:szCs w:val="24"/>
        </w:rPr>
      </w:pPr>
      <w:r>
        <w:rPr>
          <w:rFonts w:hint="default" w:ascii="Times New Roman" w:hAnsi="Times New Roman" w:eastAsia="微软雅黑" w:cs="Times New Roman"/>
          <w:b w:val="0"/>
          <w:bCs w:val="0"/>
          <w:i/>
          <w:iCs/>
          <w:color w:val="000000"/>
          <w:kern w:val="0"/>
          <w:sz w:val="24"/>
          <w:szCs w:val="24"/>
        </w:rPr>
        <w:t>Quality control, dimension-r</w:t>
      </w:r>
      <w:r>
        <w:rPr>
          <w:rFonts w:hint="default" w:ascii="Times New Roman" w:hAnsi="Times New Roman" w:eastAsia="微软雅黑" w:cs="Times New Roman"/>
          <w:b w:val="0"/>
          <w:bCs w:val="0"/>
          <w:i/>
          <w:iCs/>
          <w:color w:val="auto"/>
          <w:kern w:val="0"/>
          <w:sz w:val="24"/>
          <w:szCs w:val="24"/>
        </w:rPr>
        <w:t>eduction and clustering (Seurat)</w:t>
      </w:r>
    </w:p>
    <w:p>
      <w:pPr>
        <w:widowControl/>
        <w:tabs>
          <w:tab w:val="left" w:pos="6095"/>
        </w:tabs>
        <w:spacing w:before="50" w:after="50"/>
        <w:jc w:val="both"/>
        <w:rPr>
          <w:rFonts w:hint="default" w:ascii="Times New Roman" w:hAnsi="Times New Roman" w:eastAsia="Times New Roman" w:cs="Times New Roman"/>
          <w:bCs/>
          <w:kern w:val="0"/>
          <w:sz w:val="24"/>
          <w:szCs w:val="24"/>
        </w:rPr>
      </w:pPr>
      <w:r>
        <w:rPr>
          <w:rFonts w:hint="default" w:ascii="Times New Roman" w:hAnsi="Times New Roman" w:eastAsia="Times New Roman" w:cs="Times New Roman"/>
          <w:color w:val="auto"/>
          <w:kern w:val="0"/>
          <w:sz w:val="24"/>
          <w:szCs w:val="21"/>
        </w:rPr>
        <w:t>Cells were filtered by gene counts below 200 and the top 2% gene counts and the top 2% UMI counts.</w:t>
      </w:r>
      <w:r>
        <w:rPr>
          <w:rFonts w:hint="eastAsia" w:eastAsia="等线" w:cs="Times New Roman"/>
          <w:color w:val="auto"/>
          <w:kern w:val="0"/>
          <w:sz w:val="24"/>
          <w:szCs w:val="24"/>
          <w:lang w:val="en-US" w:eastAsia="zh-CN"/>
        </w:rPr>
        <w:t xml:space="preserve"> </w:t>
      </w:r>
      <w:r>
        <w:rPr>
          <w:rFonts w:hint="default" w:ascii="Times New Roman" w:hAnsi="Times New Roman" w:eastAsia="等线" w:cs="Times New Roman"/>
          <w:color w:val="auto"/>
          <w:kern w:val="0"/>
          <w:sz w:val="24"/>
          <w:szCs w:val="24"/>
        </w:rPr>
        <w:t>Cells with over 20% mitochondrial content were removed. After filtering,</w:t>
      </w:r>
      <w:r>
        <w:rPr>
          <w:rFonts w:hint="eastAsia" w:eastAsia="等线" w:cs="Times New Roman"/>
          <w:color w:val="auto"/>
          <w:kern w:val="0"/>
          <w:sz w:val="24"/>
          <w:szCs w:val="24"/>
          <w:lang w:val="en-US" w:eastAsia="zh-CN"/>
        </w:rPr>
        <w:t xml:space="preserve"> </w:t>
      </w:r>
      <w:r>
        <w:rPr>
          <w:rFonts w:hint="default" w:ascii="Times New Roman" w:hAnsi="Times New Roman" w:eastAsia="等线" w:cs="Times New Roman"/>
          <w:color w:val="auto"/>
          <w:kern w:val="0"/>
          <w:sz w:val="24"/>
          <w:szCs w:val="24"/>
        </w:rPr>
        <w:t>cells were retained for the do</w:t>
      </w:r>
      <w:r>
        <w:rPr>
          <w:rFonts w:hint="default" w:ascii="Times New Roman" w:hAnsi="Times New Roman" w:eastAsia="等线" w:cs="Times New Roman"/>
          <w:color w:val="000000"/>
          <w:kern w:val="0"/>
          <w:sz w:val="24"/>
          <w:szCs w:val="24"/>
        </w:rPr>
        <w:t>wnstream analyses</w:t>
      </w:r>
      <w:r>
        <w:rPr>
          <w:rFonts w:hint="default" w:ascii="Times New Roman" w:hAnsi="Times New Roman" w:eastAsia="Times New Roman" w:cs="Times New Roman"/>
          <w:color w:val="000000"/>
          <w:kern w:val="0"/>
          <w:sz w:val="24"/>
          <w:szCs w:val="24"/>
        </w:rPr>
        <w:t xml:space="preserve">. All gene expression was normalized and scaled using </w:t>
      </w:r>
      <w:r>
        <w:rPr>
          <w:rFonts w:hint="default" w:ascii="Times New Roman" w:hAnsi="Times New Roman" w:eastAsia="等线" w:cs="Times New Roman"/>
          <w:color w:val="000000"/>
          <w:kern w:val="0"/>
          <w:sz w:val="24"/>
          <w:szCs w:val="24"/>
        </w:rPr>
        <w:t>NormalizeData</w:t>
      </w:r>
      <w:r>
        <w:rPr>
          <w:rFonts w:hint="eastAsia" w:eastAsia="等线" w:cs="Times New Roman"/>
          <w:color w:val="000000"/>
          <w:kern w:val="0"/>
          <w:sz w:val="24"/>
          <w:szCs w:val="24"/>
          <w:lang w:val="en-US" w:eastAsia="zh-CN"/>
        </w:rPr>
        <w:t xml:space="preserve"> </w:t>
      </w:r>
      <w:r>
        <w:rPr>
          <w:rFonts w:hint="default" w:ascii="Times New Roman" w:hAnsi="Times New Roman" w:eastAsia="等线" w:cs="Times New Roman"/>
          <w:color w:val="000000"/>
          <w:kern w:val="0"/>
          <w:sz w:val="24"/>
          <w:szCs w:val="24"/>
        </w:rPr>
        <w:t>and ScaleData. Top 2000 variable genes were selected by FindVariableFeautres</w:t>
      </w:r>
      <w:r>
        <w:rPr>
          <w:rFonts w:hint="eastAsia" w:eastAsia="等线" w:cs="Times New Roman"/>
          <w:color w:val="000000"/>
          <w:kern w:val="0"/>
          <w:sz w:val="24"/>
          <w:szCs w:val="24"/>
          <w:lang w:val="en-US" w:eastAsia="zh-CN"/>
        </w:rPr>
        <w:t xml:space="preserve"> </w:t>
      </w:r>
      <w:r>
        <w:rPr>
          <w:rFonts w:hint="default" w:ascii="Times New Roman" w:hAnsi="Times New Roman" w:eastAsia="等线" w:cs="Times New Roman"/>
          <w:color w:val="000000"/>
          <w:kern w:val="0"/>
          <w:sz w:val="24"/>
          <w:szCs w:val="24"/>
        </w:rPr>
        <w:t>for PCA analysis. Cells were separated into</w:t>
      </w:r>
      <w:r>
        <w:rPr>
          <w:rFonts w:hint="eastAsia" w:eastAsia="等线" w:cs="Times New Roman"/>
          <w:color w:val="000000"/>
          <w:kern w:val="0"/>
          <w:sz w:val="24"/>
          <w:szCs w:val="24"/>
          <w:lang w:val="en-US" w:eastAsia="zh-CN"/>
        </w:rPr>
        <w:t xml:space="preserve"> </w:t>
      </w:r>
      <w:r>
        <w:rPr>
          <w:rFonts w:hint="default" w:ascii="Times New Roman" w:hAnsi="Times New Roman" w:eastAsia="等线" w:cs="Times New Roman"/>
          <w:color w:val="000000"/>
          <w:kern w:val="0"/>
          <w:sz w:val="24"/>
          <w:szCs w:val="24"/>
        </w:rPr>
        <w:t>clusters by FindClusters, using the top 20 principle components and resolution parameter at 2.0. For subclustering of</w:t>
      </w:r>
      <w:r>
        <w:rPr>
          <w:rFonts w:hint="eastAsia" w:eastAsia="等线" w:cs="Times New Roman"/>
          <w:color w:val="000000"/>
          <w:kern w:val="0"/>
          <w:sz w:val="24"/>
          <w:szCs w:val="24"/>
          <w:lang w:val="en-US" w:eastAsia="zh-CN"/>
        </w:rPr>
        <w:t xml:space="preserve"> special </w:t>
      </w:r>
      <w:r>
        <w:rPr>
          <w:rFonts w:hint="default" w:ascii="Times New Roman" w:hAnsi="Times New Roman" w:eastAsia="等线" w:cs="Times New Roman"/>
          <w:color w:val="000000"/>
          <w:kern w:val="0"/>
          <w:sz w:val="24"/>
          <w:szCs w:val="24"/>
        </w:rPr>
        <w:t xml:space="preserve">cell types, we set the resolution at </w:t>
      </w:r>
      <w:r>
        <w:rPr>
          <w:rFonts w:hint="default" w:ascii="Times New Roman" w:hAnsi="Times New Roman" w:eastAsia="等线" w:cs="Times New Roman"/>
          <w:color w:val="FF0000"/>
          <w:kern w:val="0"/>
          <w:sz w:val="24"/>
          <w:szCs w:val="24"/>
        </w:rPr>
        <w:fldChar w:fldCharType="begin"/>
      </w:r>
      <w:r>
        <w:rPr>
          <w:rFonts w:hint="eastAsia" w:eastAsia="等线" w:cs="Times New Roman"/>
          <w:color w:val="FF0000"/>
          <w:kern w:val="0"/>
          <w:sz w:val="24"/>
          <w:szCs w:val="24"/>
          <w:lang w:eastAsia="zh-CN"/>
        </w:rPr>
        <w:instrText xml:space="preserve"> ADDIN NE.Ref.{DDD29F67-5C05-4EE6-A4AB-4CD40A9EDDCD}</w:instrText>
      </w:r>
      <w:r>
        <w:rPr>
          <w:rFonts w:hint="default" w:ascii="Times New Roman" w:hAnsi="Times New Roman" w:eastAsia="等线" w:cs="Times New Roman"/>
          <w:color w:val="FF0000"/>
          <w:kern w:val="0"/>
          <w:sz w:val="24"/>
          <w:szCs w:val="24"/>
        </w:rPr>
        <w:fldChar w:fldCharType="separate"/>
      </w:r>
      <w:r>
        <w:rPr>
          <w:rFonts w:hint="eastAsia" w:ascii="宋体" w:hAnsi="宋体"/>
          <w:color w:val="000000"/>
          <w:sz w:val="21"/>
          <w:szCs w:val="24"/>
        </w:rPr>
        <w:t>[1]</w:t>
      </w:r>
      <w:r>
        <w:rPr>
          <w:rFonts w:hint="default" w:ascii="Times New Roman" w:hAnsi="Times New Roman" w:eastAsia="等线" w:cs="Times New Roman"/>
          <w:color w:val="FF0000"/>
          <w:kern w:val="0"/>
          <w:sz w:val="24"/>
          <w:szCs w:val="24"/>
        </w:rPr>
        <w:fldChar w:fldCharType="end"/>
      </w:r>
      <w:r>
        <w:rPr>
          <w:rFonts w:hint="default" w:ascii="Times New Roman" w:hAnsi="Times New Roman" w:eastAsia="等线" w:cs="Times New Roman"/>
          <w:color w:val="000000"/>
          <w:kern w:val="0"/>
          <w:sz w:val="24"/>
          <w:szCs w:val="24"/>
        </w:rPr>
        <w:t>. UMAP algorithm was applied to visualize cells in a two-dimensional space</w:t>
      </w:r>
      <w:r>
        <w:rPr>
          <w:rFonts w:hint="default" w:ascii="Times New Roman" w:hAnsi="Times New Roman" w:eastAsia="Times New Roman" w:cs="Times New Roman"/>
          <w:bCs/>
          <w:kern w:val="0"/>
          <w:sz w:val="24"/>
          <w:szCs w:val="24"/>
        </w:rPr>
        <w:t xml:space="preserve">. </w:t>
      </w:r>
    </w:p>
    <w:p>
      <w:pPr>
        <w:widowControl/>
        <w:tabs>
          <w:tab w:val="left" w:pos="6095"/>
        </w:tabs>
        <w:spacing w:before="50" w:after="50"/>
        <w:jc w:val="both"/>
        <w:rPr>
          <w:rFonts w:hint="default" w:ascii="Times New Roman" w:hAnsi="Times New Roman" w:eastAsia="Times New Roman" w:cs="Times New Roman"/>
          <w:b w:val="0"/>
          <w:bCs/>
          <w:i/>
          <w:iCs/>
          <w:kern w:val="0"/>
          <w:sz w:val="24"/>
          <w:szCs w:val="24"/>
        </w:rPr>
      </w:pPr>
      <w:r>
        <w:rPr>
          <w:rFonts w:hint="default" w:ascii="Times New Roman" w:hAnsi="Times New Roman" w:eastAsia="Times New Roman" w:cs="Times New Roman"/>
          <w:b w:val="0"/>
          <w:bCs/>
          <w:i/>
          <w:iCs/>
          <w:kern w:val="0"/>
          <w:sz w:val="24"/>
          <w:szCs w:val="24"/>
        </w:rPr>
        <w:t>Differentially expressed genes (DEGs) analysis</w:t>
      </w:r>
    </w:p>
    <w:p>
      <w:pPr>
        <w:widowControl/>
        <w:tabs>
          <w:tab w:val="left" w:pos="6095"/>
        </w:tabs>
        <w:spacing w:before="50" w:after="50"/>
        <w:jc w:val="both"/>
        <w:rPr>
          <w:rFonts w:hint="default" w:ascii="Times New Roman" w:hAnsi="Times New Roman" w:eastAsia="微软雅黑" w:cs="Times New Roman"/>
          <w:b/>
          <w:bCs/>
          <w:color w:val="000000"/>
          <w:kern w:val="0"/>
          <w:sz w:val="24"/>
          <w:szCs w:val="24"/>
        </w:rPr>
      </w:pPr>
      <w:r>
        <w:rPr>
          <w:rFonts w:hint="default" w:ascii="Times New Roman" w:hAnsi="Times New Roman" w:eastAsia="Times New Roman" w:cs="Times New Roman"/>
          <w:kern w:val="0"/>
          <w:sz w:val="24"/>
          <w:szCs w:val="24"/>
        </w:rPr>
        <w:t xml:space="preserve">Genes expressed in more than 10% of the cells in a cluster and with average log(Fold Change) of greater than 0.25 were selected as DEGs </w:t>
      </w:r>
      <w:r>
        <w:rPr>
          <w:rFonts w:hint="default" w:ascii="Times New Roman" w:hAnsi="Times New Roman" w:eastAsia="Times New Roman" w:cs="Times New Roman"/>
          <w:bCs/>
          <w:kern w:val="0"/>
          <w:sz w:val="24"/>
          <w:szCs w:val="24"/>
        </w:rPr>
        <w:t xml:space="preserve">by Seurat </w:t>
      </w:r>
      <w:r>
        <w:rPr>
          <w:rFonts w:hint="default" w:ascii="Times New Roman" w:hAnsi="Times New Roman" w:eastAsia="Times New Roman" w:cs="Times New Roman"/>
          <w:color w:val="000000"/>
          <w:kern w:val="0"/>
          <w:sz w:val="24"/>
          <w:szCs w:val="24"/>
        </w:rPr>
        <w:t>v3.1.2</w:t>
      </w:r>
      <w:r>
        <w:rPr>
          <w:rFonts w:hint="default" w:ascii="Times New Roman" w:hAnsi="Times New Roman" w:eastAsia="宋体" w:cs="Times New Roman"/>
          <w:color w:val="000000"/>
          <w:kern w:val="0"/>
          <w:sz w:val="24"/>
          <w:szCs w:val="24"/>
        </w:rPr>
        <w:t xml:space="preserve"> </w:t>
      </w:r>
      <w:r>
        <w:rPr>
          <w:rFonts w:hint="default" w:ascii="Times New Roman" w:hAnsi="Times New Roman" w:eastAsia="Times New Roman" w:cs="Times New Roman"/>
          <w:bCs/>
          <w:kern w:val="0"/>
          <w:sz w:val="24"/>
          <w:szCs w:val="24"/>
        </w:rPr>
        <w:t xml:space="preserve">FindMarkers based on Wilcox likelihood-ratio test </w:t>
      </w:r>
      <w:r>
        <w:rPr>
          <w:rFonts w:hint="default" w:ascii="Times New Roman" w:hAnsi="Times New Roman" w:eastAsia="宋体" w:cs="Times New Roman"/>
          <w:kern w:val="0"/>
          <w:sz w:val="24"/>
          <w:szCs w:val="24"/>
        </w:rPr>
        <w:t>with default parameters</w:t>
      </w:r>
      <w:r>
        <w:rPr>
          <w:rFonts w:hint="default" w:ascii="Times New Roman" w:hAnsi="Times New Roman" w:eastAsia="Times New Roman" w:cs="Times New Roman"/>
          <w:kern w:val="0"/>
          <w:sz w:val="24"/>
          <w:szCs w:val="24"/>
        </w:rPr>
        <w:t>.</w:t>
      </w:r>
    </w:p>
    <w:p>
      <w:pPr>
        <w:widowControl/>
        <w:jc w:val="both"/>
        <w:rPr>
          <w:rFonts w:hint="default" w:ascii="Times New Roman" w:hAnsi="Times New Roman" w:eastAsia="Times New Roman" w:cs="Times New Roman"/>
          <w:b w:val="0"/>
          <w:bCs w:val="0"/>
          <w:i/>
          <w:iCs/>
          <w:kern w:val="0"/>
          <w:sz w:val="24"/>
          <w:szCs w:val="24"/>
        </w:rPr>
      </w:pPr>
      <w:r>
        <w:rPr>
          <w:rFonts w:hint="default" w:ascii="Times New Roman" w:hAnsi="Times New Roman" w:eastAsia="微软雅黑" w:cs="Times New Roman"/>
          <w:b w:val="0"/>
          <w:bCs w:val="0"/>
          <w:i/>
          <w:iCs/>
          <w:color w:val="000000"/>
          <w:kern w:val="0"/>
          <w:sz w:val="24"/>
          <w:szCs w:val="24"/>
        </w:rPr>
        <w:t>Cell type annotation</w:t>
      </w:r>
    </w:p>
    <w:p>
      <w:pPr>
        <w:widowControl/>
        <w:jc w:val="both"/>
        <w:rPr>
          <w:rFonts w:hint="default" w:ascii="Times New Roman" w:hAnsi="Times New Roman" w:eastAsia="Times New Roman" w:cs="Times New Roman"/>
          <w:kern w:val="0"/>
          <w:sz w:val="24"/>
          <w:szCs w:val="24"/>
        </w:rPr>
      </w:pPr>
      <w:r>
        <w:rPr>
          <w:rFonts w:hint="default" w:ascii="Times New Roman" w:hAnsi="Times New Roman" w:eastAsia="Times New Roman" w:cs="Times New Roman"/>
          <w:bCs/>
          <w:kern w:val="0"/>
          <w:sz w:val="24"/>
          <w:szCs w:val="24"/>
        </w:rPr>
        <w:t>The cell type identity of each cluster was determined with the expression of canonical markers found in the DEGs using SynEcoSys database. Heatmaps/dot plots/violin plots displaying the expression of markers used to identify each cell type were generated by Seur</w:t>
      </w:r>
      <w:r>
        <w:rPr>
          <w:rFonts w:hint="default" w:ascii="Times New Roman" w:hAnsi="Times New Roman" w:eastAsia="Times New Roman" w:cs="Times New Roman"/>
          <w:bCs/>
          <w:color w:val="auto"/>
          <w:kern w:val="0"/>
          <w:sz w:val="24"/>
          <w:szCs w:val="24"/>
        </w:rPr>
        <w:t xml:space="preserve">at </w:t>
      </w:r>
      <w:r>
        <w:rPr>
          <w:rFonts w:hint="default" w:ascii="Times New Roman" w:hAnsi="Times New Roman" w:eastAsia="Times New Roman" w:cs="Times New Roman"/>
          <w:color w:val="auto"/>
          <w:kern w:val="0"/>
          <w:sz w:val="24"/>
          <w:szCs w:val="24"/>
        </w:rPr>
        <w:t>v3.1.2</w:t>
      </w:r>
      <w:r>
        <w:rPr>
          <w:rFonts w:hint="default" w:ascii="Times New Roman" w:hAnsi="Times New Roman" w:eastAsia="宋体" w:cs="Times New Roman"/>
          <w:color w:val="auto"/>
          <w:kern w:val="0"/>
          <w:sz w:val="24"/>
          <w:szCs w:val="24"/>
        </w:rPr>
        <w:t xml:space="preserve"> D</w:t>
      </w:r>
      <w:r>
        <w:rPr>
          <w:rFonts w:hint="default" w:ascii="Times New Roman" w:hAnsi="Times New Roman" w:eastAsia="宋体" w:cs="Times New Roman"/>
          <w:kern w:val="0"/>
          <w:sz w:val="24"/>
          <w:szCs w:val="24"/>
        </w:rPr>
        <w:t xml:space="preserve">oHeatmap/DotPlot/Vlnplot. </w:t>
      </w:r>
    </w:p>
    <w:p>
      <w:pPr>
        <w:widowControl/>
        <w:tabs>
          <w:tab w:val="left" w:pos="6095"/>
        </w:tabs>
        <w:spacing w:before="50" w:after="50"/>
        <w:jc w:val="both"/>
        <w:rPr>
          <w:rFonts w:hint="default" w:ascii="Times New Roman" w:hAnsi="Times New Roman" w:eastAsia="宋体" w:cs="Times New Roman"/>
          <w:b w:val="0"/>
          <w:bCs/>
          <w:i/>
          <w:iCs/>
          <w:kern w:val="0"/>
          <w:sz w:val="24"/>
          <w:szCs w:val="24"/>
        </w:rPr>
      </w:pPr>
      <w:r>
        <w:rPr>
          <w:rFonts w:hint="default" w:ascii="Times New Roman" w:hAnsi="Times New Roman" w:eastAsia="宋体" w:cs="Times New Roman"/>
          <w:b w:val="0"/>
          <w:bCs/>
          <w:i/>
          <w:iCs/>
          <w:kern w:val="0"/>
          <w:sz w:val="24"/>
          <w:szCs w:val="24"/>
        </w:rPr>
        <w:t>Pathway enrichment analysis</w:t>
      </w:r>
    </w:p>
    <w:p>
      <w:pPr>
        <w:widowControl/>
        <w:tabs>
          <w:tab w:val="left" w:pos="6095"/>
        </w:tabs>
        <w:spacing w:before="50" w:after="50"/>
        <w:jc w:val="both"/>
        <w:rPr>
          <w:rFonts w:hint="default" w:ascii="Times New Roman" w:hAnsi="Times New Roman" w:eastAsia="Times New Roman" w:cs="Times New Roman"/>
          <w:kern w:val="0"/>
          <w:sz w:val="24"/>
          <w:szCs w:val="24"/>
        </w:rPr>
      </w:pPr>
      <w:r>
        <w:rPr>
          <w:rFonts w:hint="default" w:ascii="Times New Roman" w:hAnsi="Times New Roman" w:eastAsia="宋体" w:cs="Times New Roman"/>
          <w:bCs/>
          <w:kern w:val="0"/>
          <w:sz w:val="24"/>
          <w:szCs w:val="24"/>
        </w:rPr>
        <w:t xml:space="preserve">To </w:t>
      </w:r>
      <w:r>
        <w:rPr>
          <w:rFonts w:hint="default" w:ascii="Times New Roman" w:hAnsi="Times New Roman" w:eastAsia="宋体" w:cs="Times New Roman"/>
          <w:kern w:val="0"/>
          <w:sz w:val="24"/>
          <w:szCs w:val="24"/>
        </w:rPr>
        <w:t xml:space="preserve">investigate the potential functions, </w:t>
      </w:r>
      <w:r>
        <w:rPr>
          <w:rFonts w:hint="default" w:ascii="Times New Roman" w:hAnsi="Times New Roman" w:eastAsia="Times New Roman" w:cs="Times New Roman"/>
          <w:color w:val="000000"/>
          <w:kern w:val="0"/>
          <w:sz w:val="24"/>
          <w:szCs w:val="24"/>
          <w:shd w:val="clear" w:color="auto" w:fill="FFFFFF"/>
        </w:rPr>
        <w:t>the Gene Ontology (GO) and Kyoto Encyclopedia of Genes and Genomes (KEGG) analysis were used with the “clusterProfiler” R package 3.16.1</w:t>
      </w:r>
      <w:r>
        <w:rPr>
          <w:rFonts w:hint="default" w:ascii="Times New Roman" w:hAnsi="Times New Roman" w:eastAsia="宋体" w:cs="Times New Roman"/>
          <w:kern w:val="0"/>
          <w:sz w:val="24"/>
          <w:szCs w:val="24"/>
        </w:rPr>
        <w:t>. Pathways with p_adj value less than 0.05 were considered as significantly enriched.</w:t>
      </w:r>
      <w:r>
        <w:rPr>
          <w:rFonts w:hint="default" w:ascii="Times New Roman" w:hAnsi="Times New Roman" w:eastAsia="Times New Roman" w:cs="Times New Roman"/>
          <w:kern w:val="0"/>
          <w:sz w:val="24"/>
          <w:szCs w:val="24"/>
        </w:rPr>
        <w:t xml:space="preserve"> </w:t>
      </w:r>
      <w:r>
        <w:rPr>
          <w:rFonts w:hint="default" w:ascii="Times New Roman" w:hAnsi="Times New Roman" w:eastAsia="宋体" w:cs="Times New Roman"/>
          <w:kern w:val="0"/>
          <w:sz w:val="24"/>
          <w:szCs w:val="24"/>
        </w:rPr>
        <w:t xml:space="preserve">GSEA was performed. For GSVA pathway enrichment analysis, the average gene expression of each cell type was used as input data using the GSVA package. Gene Ontology gene sets including molecular function (MF), biological process (BP), and cellular component (CC) categories were used as reference. </w:t>
      </w:r>
    </w:p>
    <w:p>
      <w:pPr>
        <w:widowControl/>
        <w:jc w:val="both"/>
        <w:rPr>
          <w:rFonts w:hint="default" w:ascii="Times New Roman" w:hAnsi="Times New Roman" w:eastAsia="Times New Roman" w:cs="Times New Roman"/>
          <w:b w:val="0"/>
          <w:bCs w:val="0"/>
          <w:i/>
          <w:iCs/>
          <w:kern w:val="0"/>
          <w:sz w:val="24"/>
          <w:szCs w:val="24"/>
        </w:rPr>
      </w:pPr>
      <w:r>
        <w:rPr>
          <w:rFonts w:hint="default" w:ascii="Times New Roman" w:hAnsi="Times New Roman" w:eastAsia="Times New Roman" w:cs="Times New Roman"/>
          <w:b w:val="0"/>
          <w:bCs w:val="0"/>
          <w:i/>
          <w:iCs/>
          <w:kern w:val="0"/>
          <w:sz w:val="24"/>
          <w:szCs w:val="24"/>
        </w:rPr>
        <w:t xml:space="preserve">Trajectory analysis </w:t>
      </w:r>
    </w:p>
    <w:p>
      <w:pPr>
        <w:widowControl/>
        <w:tabs>
          <w:tab w:val="left" w:pos="6095"/>
        </w:tabs>
        <w:spacing w:before="50" w:after="50"/>
        <w:jc w:val="both"/>
        <w:rPr>
          <w:rFonts w:hint="default" w:ascii="Times New Roman" w:hAnsi="Times New Roman" w:eastAsia="宋体" w:cs="Times New Roman"/>
          <w:kern w:val="0"/>
          <w:sz w:val="24"/>
          <w:szCs w:val="24"/>
        </w:rPr>
      </w:pPr>
      <w:r>
        <w:rPr>
          <w:rFonts w:hint="default" w:ascii="Times New Roman" w:hAnsi="Times New Roman" w:eastAsia="Times New Roman" w:cs="Times New Roman"/>
          <w:kern w:val="0"/>
          <w:sz w:val="24"/>
          <w:szCs w:val="24"/>
        </w:rPr>
        <w:t>To map differentiation</w:t>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of cell subtypes</w:t>
      </w:r>
      <w:r>
        <w:rPr>
          <w:rFonts w:hint="default" w:ascii="Times New Roman" w:hAnsi="Times New Roman" w:eastAsia="Times New Roman" w:cs="Times New Roman"/>
          <w:kern w:val="0"/>
          <w:sz w:val="24"/>
          <w:szCs w:val="24"/>
        </w:rPr>
        <w:fldChar w:fldCharType="begin"/>
      </w:r>
      <w:r>
        <w:rPr>
          <w:rFonts w:hint="eastAsia" w:cs="Times New Roman"/>
          <w:kern w:val="0"/>
          <w:sz w:val="24"/>
          <w:szCs w:val="24"/>
          <w:lang w:eastAsia="zh-CN"/>
        </w:rPr>
        <w:instrText xml:space="preserve"> ADDIN NE.Ref.{ECC4B853-7186-4667-95A0-77D91D1D9D5A}</w:instrText>
      </w:r>
      <w:r>
        <w:rPr>
          <w:rFonts w:hint="default" w:ascii="Times New Roman" w:hAnsi="Times New Roman" w:eastAsia="Times New Roman" w:cs="Times New Roman"/>
          <w:kern w:val="0"/>
          <w:sz w:val="24"/>
          <w:szCs w:val="24"/>
        </w:rPr>
        <w:fldChar w:fldCharType="separate"/>
      </w:r>
      <w:r>
        <w:rPr>
          <w:rFonts w:hint="eastAsia" w:ascii="宋体" w:hAnsi="宋体"/>
          <w:color w:val="000000"/>
          <w:sz w:val="21"/>
          <w:szCs w:val="24"/>
        </w:rPr>
        <w:t>[2]</w:t>
      </w:r>
      <w:r>
        <w:rPr>
          <w:rFonts w:hint="default" w:ascii="Times New Roman" w:hAnsi="Times New Roman" w:eastAsia="Times New Roman" w:cs="Times New Roman"/>
          <w:kern w:val="0"/>
          <w:sz w:val="24"/>
          <w:szCs w:val="24"/>
        </w:rPr>
        <w:fldChar w:fldCharType="end"/>
      </w:r>
      <w:r>
        <w:rPr>
          <w:rFonts w:hint="default" w:ascii="Times New Roman" w:hAnsi="Times New Roman" w:eastAsia="Times New Roman" w:cs="Times New Roman"/>
          <w:kern w:val="0"/>
          <w:sz w:val="24"/>
          <w:szCs w:val="24"/>
        </w:rPr>
        <w:t>,pseudotime trajectory analysis was performed with Monocle2. For constructing the trajectory, highly variable genes were selected from cluster</w:t>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and</w:t>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by Seurat v</w:t>
      </w:r>
      <w:r>
        <w:rPr>
          <w:rFonts w:hint="default" w:ascii="Times New Roman" w:hAnsi="Times New Roman" w:eastAsia="宋体" w:cs="Times New Roman"/>
          <w:kern w:val="0"/>
          <w:sz w:val="24"/>
          <w:szCs w:val="24"/>
        </w:rPr>
        <w:t>3.1.2</w:t>
      </w:r>
      <w:r>
        <w:rPr>
          <w:rFonts w:hint="default" w:ascii="Times New Roman" w:hAnsi="Times New Roman" w:eastAsia="Times New Roman" w:cs="Times New Roman"/>
          <w:kern w:val="0"/>
          <w:sz w:val="24"/>
          <w:szCs w:val="24"/>
        </w:rPr>
        <w:t xml:space="preserve"> FindVairableFeatures, and dimension-reduction was performed by DDRTree. The trajectory was visualized by </w:t>
      </w:r>
      <w:r>
        <w:rPr>
          <w:rFonts w:hint="default" w:ascii="Times New Roman" w:hAnsi="Times New Roman" w:eastAsia="宋体" w:cs="Times New Roman"/>
          <w:kern w:val="0"/>
          <w:sz w:val="24"/>
          <w:szCs w:val="24"/>
        </w:rPr>
        <w:t>plot_cell_trajectory.</w:t>
      </w:r>
    </w:p>
    <w:p>
      <w:pPr>
        <w:widowControl/>
        <w:jc w:val="both"/>
        <w:rPr>
          <w:rFonts w:hint="default" w:ascii="Times New Roman" w:hAnsi="Times New Roman" w:eastAsia="Times New Roman" w:cs="Times New Roman"/>
          <w:b w:val="0"/>
          <w:bCs w:val="0"/>
          <w:i/>
          <w:iCs/>
          <w:kern w:val="0"/>
          <w:sz w:val="24"/>
          <w:szCs w:val="24"/>
        </w:rPr>
      </w:pPr>
      <w:r>
        <w:rPr>
          <w:rFonts w:hint="default" w:ascii="Times New Roman" w:hAnsi="Times New Roman" w:eastAsia="Times New Roman" w:cs="Times New Roman"/>
          <w:b w:val="0"/>
          <w:bCs w:val="0"/>
          <w:i/>
          <w:iCs/>
          <w:kern w:val="0"/>
          <w:sz w:val="24"/>
          <w:szCs w:val="24"/>
        </w:rPr>
        <w:t>RNA velocity</w:t>
      </w:r>
    </w:p>
    <w:p>
      <w:pPr>
        <w:widowControl/>
        <w:jc w:val="both"/>
        <w:rPr>
          <w:rFonts w:hint="default" w:ascii="Times New Roman" w:hAnsi="Times New Roman" w:eastAsia="Times New Roman" w:cs="Times New Roman"/>
          <w:kern w:val="0"/>
          <w:sz w:val="24"/>
          <w:szCs w:val="24"/>
        </w:rPr>
      </w:pPr>
      <w:r>
        <w:rPr>
          <w:rFonts w:hint="default" w:ascii="Times New Roman" w:hAnsi="Times New Roman" w:eastAsia="Times New Roman" w:cs="Times New Roman"/>
          <w:kern w:val="0"/>
          <w:sz w:val="24"/>
          <w:szCs w:val="24"/>
        </w:rPr>
        <w:t>For RNA velocity, BAM file containing</w:t>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cells and reference genome</w:t>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were used in the analysis with velocyto</w:t>
      </w:r>
      <w:r>
        <w:rPr>
          <w:rFonts w:hint="default" w:ascii="Times New Roman" w:hAnsi="Times New Roman" w:eastAsia="Times New Roman" w:cs="Times New Roman"/>
          <w:kern w:val="0"/>
          <w:sz w:val="24"/>
          <w:szCs w:val="24"/>
        </w:rPr>
        <w:fldChar w:fldCharType="begin"/>
      </w:r>
      <w:r>
        <w:rPr>
          <w:rFonts w:hint="eastAsia" w:cs="Times New Roman"/>
          <w:kern w:val="0"/>
          <w:sz w:val="24"/>
          <w:szCs w:val="24"/>
          <w:lang w:eastAsia="zh-CN"/>
        </w:rPr>
        <w:instrText xml:space="preserve"> ADDIN NE.Ref.{870AE21F-30E8-476F-91F3-DDB0B97AA6E0}</w:instrText>
      </w:r>
      <w:r>
        <w:rPr>
          <w:rFonts w:hint="default" w:ascii="Times New Roman" w:hAnsi="Times New Roman" w:eastAsia="Times New Roman" w:cs="Times New Roman"/>
          <w:kern w:val="0"/>
          <w:sz w:val="24"/>
          <w:szCs w:val="24"/>
        </w:rPr>
        <w:fldChar w:fldCharType="separate"/>
      </w:r>
      <w:r>
        <w:rPr>
          <w:rFonts w:hint="eastAsia" w:ascii="宋体" w:hAnsi="宋体"/>
          <w:color w:val="000000"/>
          <w:sz w:val="21"/>
          <w:szCs w:val="24"/>
        </w:rPr>
        <w:t>[3]</w:t>
      </w:r>
      <w:r>
        <w:rPr>
          <w:rFonts w:hint="default" w:ascii="Times New Roman" w:hAnsi="Times New Roman" w:eastAsia="Times New Roman" w:cs="Times New Roman"/>
          <w:kern w:val="0"/>
          <w:sz w:val="24"/>
          <w:szCs w:val="24"/>
        </w:rPr>
        <w:fldChar w:fldCharType="end"/>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and scVelo</w:t>
      </w:r>
      <w:r>
        <w:rPr>
          <w:rFonts w:hint="default" w:ascii="Times New Roman" w:hAnsi="Times New Roman" w:eastAsia="Times New Roman" w:cs="Times New Roman"/>
          <w:kern w:val="0"/>
          <w:sz w:val="24"/>
          <w:szCs w:val="24"/>
        </w:rPr>
        <w:fldChar w:fldCharType="begin"/>
      </w:r>
      <w:r>
        <w:rPr>
          <w:rFonts w:hint="eastAsia" w:cs="Times New Roman"/>
          <w:kern w:val="0"/>
          <w:sz w:val="24"/>
          <w:szCs w:val="24"/>
          <w:lang w:eastAsia="zh-CN"/>
        </w:rPr>
        <w:instrText xml:space="preserve"> ADDIN NE.Ref.{6681C9D9-7753-41C3-95FF-63143AA13AEF}</w:instrText>
      </w:r>
      <w:r>
        <w:rPr>
          <w:rFonts w:hint="default" w:ascii="Times New Roman" w:hAnsi="Times New Roman" w:eastAsia="Times New Roman" w:cs="Times New Roman"/>
          <w:kern w:val="0"/>
          <w:sz w:val="24"/>
          <w:szCs w:val="24"/>
        </w:rPr>
        <w:fldChar w:fldCharType="separate"/>
      </w:r>
      <w:r>
        <w:rPr>
          <w:rFonts w:hint="eastAsia" w:ascii="宋体" w:hAnsi="宋体"/>
          <w:color w:val="000000"/>
          <w:sz w:val="21"/>
          <w:szCs w:val="24"/>
        </w:rPr>
        <w:t>[4]</w:t>
      </w:r>
      <w:r>
        <w:rPr>
          <w:rFonts w:hint="default" w:ascii="Times New Roman" w:hAnsi="Times New Roman" w:eastAsia="Times New Roman" w:cs="Times New Roman"/>
          <w:kern w:val="0"/>
          <w:sz w:val="24"/>
          <w:szCs w:val="24"/>
        </w:rPr>
        <w:fldChar w:fldCharType="end"/>
      </w:r>
      <w:r>
        <w:rPr>
          <w:rFonts w:hint="eastAsia" w:cs="Times New Roman"/>
          <w:kern w:val="0"/>
          <w:sz w:val="24"/>
          <w:szCs w:val="24"/>
          <w:lang w:val="en-US" w:eastAsia="zh-CN"/>
        </w:rPr>
        <w:t xml:space="preserve"> </w:t>
      </w:r>
      <w:r>
        <w:rPr>
          <w:rFonts w:hint="default" w:ascii="Times New Roman" w:hAnsi="Times New Roman" w:eastAsia="Times New Roman" w:cs="Times New Roman"/>
          <w:kern w:val="0"/>
          <w:sz w:val="24"/>
          <w:szCs w:val="24"/>
        </w:rPr>
        <w:t>in python with default parameters</w:t>
      </w:r>
      <w:r>
        <w:rPr>
          <w:rFonts w:hint="default" w:ascii="Times New Roman" w:hAnsi="Times New Roman" w:eastAsia="Times New Roman" w:cs="Times New Roman"/>
          <w:kern w:val="0"/>
          <w:sz w:val="24"/>
          <w:szCs w:val="24"/>
        </w:rPr>
        <w:fldChar w:fldCharType="begin"/>
      </w:r>
      <w:r>
        <w:rPr>
          <w:rFonts w:hint="eastAsia" w:cs="Times New Roman"/>
          <w:kern w:val="0"/>
          <w:sz w:val="24"/>
          <w:szCs w:val="24"/>
          <w:lang w:eastAsia="zh-CN"/>
        </w:rPr>
        <w:instrText xml:space="preserve"> ADDIN NE.Ref.{3DBCF2DF-087C-4672-801D-654C0A1643BB}</w:instrText>
      </w:r>
      <w:r>
        <w:rPr>
          <w:rFonts w:hint="default" w:ascii="Times New Roman" w:hAnsi="Times New Roman" w:eastAsia="Times New Roman" w:cs="Times New Roman"/>
          <w:kern w:val="0"/>
          <w:sz w:val="24"/>
          <w:szCs w:val="24"/>
        </w:rPr>
        <w:fldChar w:fldCharType="separate"/>
      </w:r>
      <w:r>
        <w:rPr>
          <w:rFonts w:hint="eastAsia" w:ascii="宋体" w:hAnsi="宋体"/>
          <w:color w:val="000000"/>
          <w:sz w:val="21"/>
          <w:szCs w:val="24"/>
        </w:rPr>
        <w:t>[5]</w:t>
      </w:r>
      <w:r>
        <w:rPr>
          <w:rFonts w:hint="default" w:ascii="Times New Roman" w:hAnsi="Times New Roman" w:eastAsia="Times New Roman" w:cs="Times New Roman"/>
          <w:kern w:val="0"/>
          <w:sz w:val="24"/>
          <w:szCs w:val="24"/>
        </w:rPr>
        <w:fldChar w:fldCharType="end"/>
      </w:r>
      <w:r>
        <w:rPr>
          <w:rFonts w:hint="default" w:ascii="Times New Roman" w:hAnsi="Times New Roman" w:eastAsia="Times New Roman" w:cs="Times New Roman"/>
          <w:kern w:val="0"/>
          <w:sz w:val="24"/>
          <w:szCs w:val="24"/>
        </w:rPr>
        <w:t>. The result was projected to the UMAP plot from Seurat clustering analysis for visualization consistency.</w:t>
      </w:r>
    </w:p>
    <w:p>
      <w:pPr>
        <w:widowControl/>
        <w:tabs>
          <w:tab w:val="left" w:pos="6095"/>
        </w:tabs>
        <w:spacing w:before="50" w:after="50"/>
        <w:jc w:val="both"/>
        <w:rPr>
          <w:rFonts w:hint="default" w:ascii="Times New Roman" w:hAnsi="Times New Roman" w:eastAsia="宋体" w:cs="Times New Roman"/>
          <w:b w:val="0"/>
          <w:bCs/>
          <w:i/>
          <w:iCs/>
          <w:kern w:val="0"/>
          <w:sz w:val="24"/>
          <w:szCs w:val="24"/>
        </w:rPr>
      </w:pPr>
      <w:r>
        <w:rPr>
          <w:rFonts w:hint="default" w:ascii="Times New Roman" w:hAnsi="Times New Roman" w:eastAsia="宋体" w:cs="Times New Roman"/>
          <w:b w:val="0"/>
          <w:bCs/>
          <w:i/>
          <w:iCs/>
          <w:kern w:val="0"/>
          <w:sz w:val="24"/>
          <w:szCs w:val="24"/>
        </w:rPr>
        <w:t>Single-cell entropy analysis</w:t>
      </w:r>
    </w:p>
    <w:p>
      <w:pPr>
        <w:widowControl/>
        <w:tabs>
          <w:tab w:val="left" w:pos="6095"/>
        </w:tabs>
        <w:spacing w:before="50" w:after="50"/>
        <w:jc w:val="both"/>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SLICE (version 0.99.0)</w:t>
      </w:r>
      <w:r>
        <w:rPr>
          <w:rFonts w:hint="eastAsia" w:eastAsia="等线" w:cs="Times New Roman"/>
          <w:kern w:val="2"/>
          <w:sz w:val="16"/>
          <w:szCs w:val="16"/>
          <w:lang w:val="en-US" w:eastAsia="zh-CN"/>
        </w:rPr>
        <w:t xml:space="preserve"> </w:t>
      </w:r>
      <w:r>
        <w:rPr>
          <w:rFonts w:hint="default" w:ascii="Times New Roman" w:hAnsi="Times New Roman" w:eastAsia="宋体" w:cs="Times New Roman"/>
          <w:kern w:val="0"/>
          <w:sz w:val="24"/>
          <w:szCs w:val="24"/>
        </w:rPr>
        <w:t>was used to evaluate the stemness of cells by the entropy of gene expression based on single-cell expression profiles. After removing ERCC spike-ins and ribosomal genes, a SLICE object was created to perform bootstrap calculation of single-cell gene entropy values by getEntropy</w:t>
      </w:r>
      <w:r>
        <w:rPr>
          <w:rFonts w:hint="eastAsia" w:cs="Times New Roman"/>
          <w:kern w:val="0"/>
          <w:sz w:val="24"/>
          <w:szCs w:val="24"/>
          <w:lang w:val="en-US" w:eastAsia="zh-CN"/>
        </w:rPr>
        <w:t xml:space="preserve"> </w:t>
      </w:r>
      <w:r>
        <w:rPr>
          <w:rFonts w:hint="default" w:ascii="Times New Roman" w:hAnsi="Times New Roman" w:eastAsia="宋体" w:cs="Times New Roman"/>
          <w:kern w:val="0"/>
          <w:sz w:val="24"/>
          <w:szCs w:val="24"/>
        </w:rPr>
        <w:t>function.</w:t>
      </w:r>
    </w:p>
    <w:p>
      <w:pPr>
        <w:widowControl/>
        <w:jc w:val="both"/>
        <w:rPr>
          <w:rFonts w:hint="default" w:ascii="Times New Roman" w:hAnsi="Times New Roman" w:eastAsia="Times New Roman" w:cs="Times New Roman"/>
          <w:b w:val="0"/>
          <w:bCs w:val="0"/>
          <w:i/>
          <w:iCs/>
          <w:kern w:val="0"/>
          <w:sz w:val="24"/>
          <w:szCs w:val="24"/>
        </w:rPr>
      </w:pPr>
      <w:r>
        <w:rPr>
          <w:rFonts w:hint="default" w:ascii="Times New Roman" w:hAnsi="Times New Roman" w:eastAsia="Times New Roman" w:cs="Times New Roman"/>
          <w:b w:val="0"/>
          <w:bCs w:val="0"/>
          <w:i/>
          <w:iCs/>
          <w:kern w:val="0"/>
          <w:sz w:val="24"/>
          <w:szCs w:val="24"/>
        </w:rPr>
        <w:t>scRNA-seq based CN</w:t>
      </w:r>
      <w:r>
        <w:rPr>
          <w:rFonts w:hint="eastAsia" w:cs="Times New Roman"/>
          <w:b w:val="0"/>
          <w:bCs w:val="0"/>
          <w:i/>
          <w:iCs/>
          <w:kern w:val="0"/>
          <w:sz w:val="24"/>
          <w:szCs w:val="24"/>
          <w:lang w:val="en-US" w:eastAsia="zh-CN"/>
        </w:rPr>
        <w:t>V</w:t>
      </w:r>
      <w:r>
        <w:rPr>
          <w:rFonts w:hint="default" w:ascii="Times New Roman" w:hAnsi="Times New Roman" w:eastAsia="Times New Roman" w:cs="Times New Roman"/>
          <w:b w:val="0"/>
          <w:bCs w:val="0"/>
          <w:i/>
          <w:iCs/>
          <w:kern w:val="0"/>
          <w:sz w:val="24"/>
          <w:szCs w:val="24"/>
        </w:rPr>
        <w:t xml:space="preserve"> detection</w:t>
      </w:r>
    </w:p>
    <w:p>
      <w:pPr>
        <w:widowControl/>
        <w:jc w:val="both"/>
        <w:rPr>
          <w:rFonts w:hint="default" w:ascii="Times New Roman" w:hAnsi="Times New Roman" w:eastAsia="Times New Roman" w:cs="Times New Roman"/>
          <w:bCs/>
          <w:kern w:val="0"/>
          <w:sz w:val="24"/>
          <w:szCs w:val="24"/>
        </w:rPr>
      </w:pPr>
      <w:r>
        <w:rPr>
          <w:rFonts w:hint="default" w:ascii="Times New Roman" w:hAnsi="Times New Roman" w:eastAsia="Times New Roman" w:cs="Times New Roman"/>
          <w:bCs/>
          <w:kern w:val="0"/>
          <w:sz w:val="24"/>
          <w:szCs w:val="24"/>
        </w:rPr>
        <w:t>The InferCNV package</w:t>
      </w:r>
      <w:r>
        <w:rPr>
          <w:rFonts w:hint="default" w:ascii="Times New Roman" w:hAnsi="Times New Roman" w:eastAsia="Times New Roman" w:cs="Times New Roman"/>
          <w:bCs/>
          <w:kern w:val="0"/>
          <w:sz w:val="24"/>
          <w:szCs w:val="24"/>
        </w:rPr>
        <w:fldChar w:fldCharType="begin"/>
      </w:r>
      <w:r>
        <w:rPr>
          <w:rFonts w:hint="eastAsia" w:cs="Times New Roman"/>
          <w:bCs/>
          <w:kern w:val="0"/>
          <w:sz w:val="24"/>
          <w:szCs w:val="24"/>
          <w:lang w:eastAsia="zh-CN"/>
        </w:rPr>
        <w:instrText xml:space="preserve"> ADDIN NE.Ref.{16B16F94-DCB0-49BB-8402-C4AB7FC622BE}</w:instrText>
      </w:r>
      <w:r>
        <w:rPr>
          <w:rFonts w:hint="default" w:ascii="Times New Roman" w:hAnsi="Times New Roman" w:eastAsia="Times New Roman" w:cs="Times New Roman"/>
          <w:bCs/>
          <w:kern w:val="0"/>
          <w:sz w:val="24"/>
          <w:szCs w:val="24"/>
        </w:rPr>
        <w:fldChar w:fldCharType="separate"/>
      </w:r>
      <w:r>
        <w:rPr>
          <w:rFonts w:hint="eastAsia" w:ascii="宋体" w:hAnsi="宋体"/>
          <w:color w:val="000000"/>
          <w:sz w:val="21"/>
          <w:szCs w:val="24"/>
        </w:rPr>
        <w:t>[6]</w:t>
      </w:r>
      <w:r>
        <w:rPr>
          <w:rFonts w:hint="default" w:ascii="Times New Roman" w:hAnsi="Times New Roman" w:eastAsia="Times New Roman" w:cs="Times New Roman"/>
          <w:bCs/>
          <w:kern w:val="0"/>
          <w:sz w:val="24"/>
          <w:szCs w:val="24"/>
        </w:rPr>
        <w:fldChar w:fldCharType="end"/>
      </w:r>
      <w:r>
        <w:rPr>
          <w:rFonts w:hint="eastAsia" w:cs="Times New Roman"/>
          <w:bCs/>
          <w:kern w:val="0"/>
          <w:sz w:val="24"/>
          <w:szCs w:val="24"/>
          <w:lang w:val="en-US" w:eastAsia="zh-CN"/>
        </w:rPr>
        <w:t xml:space="preserve"> </w:t>
      </w:r>
      <w:r>
        <w:rPr>
          <w:rFonts w:hint="default" w:ascii="Times New Roman" w:hAnsi="Times New Roman" w:eastAsia="Times New Roman" w:cs="Times New Roman"/>
          <w:bCs/>
          <w:kern w:val="0"/>
          <w:sz w:val="24"/>
          <w:szCs w:val="24"/>
        </w:rPr>
        <w:t>was used to detect the CNAs in</w:t>
      </w:r>
      <w:r>
        <w:rPr>
          <w:rFonts w:hint="eastAsia" w:cs="Times New Roman"/>
          <w:bCs/>
          <w:kern w:val="0"/>
          <w:sz w:val="24"/>
          <w:szCs w:val="24"/>
          <w:lang w:val="en-US" w:eastAsia="zh-CN"/>
        </w:rPr>
        <w:t xml:space="preserve"> </w:t>
      </w:r>
      <w:r>
        <w:rPr>
          <w:rFonts w:hint="default" w:ascii="Times New Roman" w:hAnsi="Times New Roman" w:eastAsia="Times New Roman" w:cs="Times New Roman"/>
          <w:bCs/>
          <w:kern w:val="0"/>
          <w:sz w:val="24"/>
          <w:szCs w:val="24"/>
        </w:rPr>
        <w:t xml:space="preserve">malignant cells </w:t>
      </w:r>
      <w:r>
        <w:rPr>
          <w:rFonts w:hint="default" w:ascii="Times New Roman" w:hAnsi="Times New Roman" w:eastAsia="等线" w:cs="Times New Roman"/>
          <w:kern w:val="2"/>
          <w:sz w:val="16"/>
          <w:szCs w:val="16"/>
        </w:rPr>
        <w:fldChar w:fldCharType="begin"/>
      </w:r>
      <w:r>
        <w:rPr>
          <w:rFonts w:hint="eastAsia" w:eastAsia="等线" w:cs="Times New Roman"/>
          <w:kern w:val="2"/>
          <w:sz w:val="16"/>
          <w:szCs w:val="16"/>
          <w:lang w:eastAsia="zh-CN"/>
        </w:rPr>
        <w:instrText xml:space="preserve"> ADDIN NE.Ref.{83008E96-559E-405B-AF4F-8C43B2BB72E9}</w:instrText>
      </w:r>
      <w:r>
        <w:rPr>
          <w:rFonts w:hint="default" w:ascii="Times New Roman" w:hAnsi="Times New Roman" w:eastAsia="等线" w:cs="Times New Roman"/>
          <w:kern w:val="2"/>
          <w:sz w:val="16"/>
          <w:szCs w:val="16"/>
        </w:rPr>
        <w:fldChar w:fldCharType="separate"/>
      </w:r>
      <w:r>
        <w:rPr>
          <w:rFonts w:hint="eastAsia" w:ascii="宋体" w:hAnsi="宋体"/>
          <w:color w:val="000000"/>
          <w:sz w:val="21"/>
          <w:szCs w:val="24"/>
        </w:rPr>
        <w:t>[7]</w:t>
      </w:r>
      <w:r>
        <w:rPr>
          <w:rFonts w:hint="default" w:ascii="Times New Roman" w:hAnsi="Times New Roman" w:eastAsia="等线" w:cs="Times New Roman"/>
          <w:kern w:val="2"/>
          <w:sz w:val="16"/>
          <w:szCs w:val="16"/>
        </w:rPr>
        <w:fldChar w:fldCharType="end"/>
      </w:r>
      <w:r>
        <w:rPr>
          <w:rFonts w:hint="default" w:ascii="Times New Roman" w:hAnsi="Times New Roman" w:eastAsia="Times New Roman" w:cs="Times New Roman"/>
          <w:bCs/>
          <w:kern w:val="0"/>
          <w:sz w:val="24"/>
          <w:szCs w:val="24"/>
        </w:rPr>
        <w:t xml:space="preserve">. </w:t>
      </w:r>
      <w:r>
        <w:rPr>
          <w:rFonts w:hint="eastAsia" w:cs="Times New Roman"/>
          <w:bCs/>
          <w:color w:val="FF0000"/>
          <w:kern w:val="0"/>
          <w:sz w:val="24"/>
          <w:szCs w:val="24"/>
          <w:lang w:val="en-US" w:eastAsia="zh-CN"/>
        </w:rPr>
        <w:t xml:space="preserve"> </w:t>
      </w:r>
      <w:r>
        <w:rPr>
          <w:rFonts w:hint="default" w:ascii="Times New Roman" w:hAnsi="Times New Roman" w:eastAsia="Times New Roman" w:cs="Times New Roman"/>
          <w:bCs/>
          <w:kern w:val="0"/>
          <w:sz w:val="24"/>
          <w:szCs w:val="24"/>
        </w:rPr>
        <w:t xml:space="preserve">non-malignant cells were used as baselines to estimate the CNAs of malignant cells. Genes expressed in more than 20 cells were sorted based on their loci on each chromosome. The relative expression values were centered to 1, using 1.5 standard deviation from the residual-normalized expression values as the ceiling. A slide window size of 101 genes was used to smoothen the relative expression on each chromosome, to remove the effect of gene-specific expression.  </w:t>
      </w:r>
    </w:p>
    <w:p>
      <w:pPr>
        <w:widowControl/>
        <w:jc w:val="both"/>
        <w:rPr>
          <w:rFonts w:hint="default" w:ascii="Times New Roman" w:hAnsi="Times New Roman" w:eastAsia="Times New Roman" w:cs="Times New Roman"/>
          <w:b w:val="0"/>
          <w:bCs/>
          <w:i/>
          <w:iCs/>
          <w:kern w:val="0"/>
          <w:sz w:val="24"/>
          <w:szCs w:val="24"/>
        </w:rPr>
      </w:pPr>
      <w:r>
        <w:rPr>
          <w:rFonts w:hint="default" w:ascii="Times New Roman" w:hAnsi="Times New Roman" w:eastAsia="Times New Roman" w:cs="Times New Roman"/>
          <w:b w:val="0"/>
          <w:bCs/>
          <w:i/>
          <w:iCs/>
          <w:kern w:val="0"/>
          <w:sz w:val="24"/>
          <w:szCs w:val="24"/>
        </w:rPr>
        <w:t>Intra-tumoral heterogeneity (ITH) score calculation</w:t>
      </w:r>
    </w:p>
    <w:p>
      <w:pPr>
        <w:widowControl/>
        <w:autoSpaceDE w:val="0"/>
        <w:autoSpaceDN w:val="0"/>
        <w:adjustRightInd w:val="0"/>
        <w:jc w:val="both"/>
        <w:rPr>
          <w:rFonts w:hint="default" w:ascii="Times New Roman" w:hAnsi="Times New Roman" w:eastAsia="Times New Roman" w:cs="Times New Roman"/>
          <w:bCs/>
          <w:kern w:val="0"/>
          <w:sz w:val="24"/>
          <w:szCs w:val="24"/>
        </w:rPr>
      </w:pPr>
      <w:r>
        <w:rPr>
          <w:rFonts w:hint="default" w:ascii="Times New Roman" w:hAnsi="Times New Roman" w:eastAsia="Times New Roman" w:cs="Times New Roman"/>
          <w:bCs/>
          <w:kern w:val="0"/>
          <w:sz w:val="24"/>
          <w:szCs w:val="24"/>
        </w:rPr>
        <w:t xml:space="preserve">The ITH score was calculated by the algorithm described in. </w:t>
      </w:r>
      <w:r>
        <w:rPr>
          <w:rFonts w:hint="default" w:ascii="Times New Roman" w:hAnsi="Times New Roman" w:eastAsia="Times New Roman" w:cs="Times New Roman"/>
          <w:color w:val="000000"/>
          <w:kern w:val="0"/>
          <w:sz w:val="24"/>
          <w:szCs w:val="24"/>
          <w:shd w:val="clear" w:color="auto" w:fill="FFFFFF"/>
        </w:rPr>
        <w:t xml:space="preserve">The ITH score was defined as </w:t>
      </w:r>
      <w:r>
        <w:rPr>
          <w:rFonts w:hint="default" w:ascii="Times New Roman" w:hAnsi="Times New Roman" w:eastAsia="Times New Roman" w:cs="Times New Roman"/>
          <w:bCs/>
          <w:kern w:val="0"/>
          <w:sz w:val="24"/>
          <w:szCs w:val="24"/>
        </w:rPr>
        <w:t>the average Euclidean distance between the individual cells and all other cells, in terms of the first 20 principal components derived from the normalized expression levels of highly variable genes. The highly variable gene was identified using the FindVariableFeatures() function in the Seurat package, with default parameters.</w:t>
      </w:r>
    </w:p>
    <w:p>
      <w:pPr>
        <w:widowControl/>
        <w:tabs>
          <w:tab w:val="left" w:pos="6095"/>
        </w:tabs>
        <w:spacing w:before="50" w:after="50"/>
        <w:jc w:val="both"/>
        <w:rPr>
          <w:rFonts w:hint="default" w:ascii="Times New Roman" w:hAnsi="Times New Roman" w:eastAsia="宋体" w:cs="Times New Roman"/>
          <w:bCs/>
          <w:i/>
          <w:iCs/>
          <w:kern w:val="0"/>
          <w:sz w:val="24"/>
          <w:szCs w:val="24"/>
        </w:rPr>
      </w:pPr>
      <w:r>
        <w:rPr>
          <w:rFonts w:hint="default" w:ascii="Times New Roman" w:hAnsi="Times New Roman" w:eastAsia="宋体" w:cs="Times New Roman"/>
          <w:b w:val="0"/>
          <w:bCs/>
          <w:i/>
          <w:iCs/>
          <w:kern w:val="0"/>
          <w:sz w:val="24"/>
          <w:szCs w:val="24"/>
        </w:rPr>
        <w:t xml:space="preserve">Cell-cell interaction analysis </w:t>
      </w:r>
      <w:r>
        <w:rPr>
          <w:rFonts w:hint="default" w:ascii="Times New Roman" w:hAnsi="Times New Roman" w:eastAsia="宋体" w:cs="Times New Roman"/>
          <w:bCs/>
          <w:i/>
          <w:iCs/>
          <w:kern w:val="0"/>
          <w:sz w:val="24"/>
          <w:szCs w:val="24"/>
        </w:rPr>
        <w:t>(CellPhoneDB)</w:t>
      </w:r>
    </w:p>
    <w:p>
      <w:pPr>
        <w:widowControl/>
        <w:tabs>
          <w:tab w:val="left" w:pos="6095"/>
        </w:tabs>
        <w:spacing w:before="50" w:after="50"/>
        <w:jc w:val="both"/>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Cell-cell interaction (CCI) between</w:t>
      </w:r>
      <w:r>
        <w:rPr>
          <w:rFonts w:hint="eastAsia" w:cs="Times New Roman"/>
          <w:kern w:val="0"/>
          <w:sz w:val="24"/>
          <w:szCs w:val="24"/>
          <w:lang w:val="en-US" w:eastAsia="zh-CN"/>
        </w:rPr>
        <w:t xml:space="preserve"> </w:t>
      </w:r>
      <w:r>
        <w:rPr>
          <w:rFonts w:hint="default" w:ascii="Times New Roman" w:hAnsi="Times New Roman" w:eastAsia="宋体" w:cs="Times New Roman"/>
          <w:kern w:val="0"/>
          <w:sz w:val="24"/>
          <w:szCs w:val="24"/>
        </w:rPr>
        <w:t>cell types</w:t>
      </w:r>
      <w:r>
        <w:rPr>
          <w:rFonts w:hint="default" w:ascii="Times New Roman" w:hAnsi="Times New Roman" w:eastAsia="等线" w:cs="Times New Roman"/>
          <w:kern w:val="2"/>
          <w:sz w:val="16"/>
          <w:szCs w:val="16"/>
        </w:rPr>
        <w:fldChar w:fldCharType="begin"/>
      </w:r>
      <w:r>
        <w:rPr>
          <w:rFonts w:hint="eastAsia" w:eastAsia="等线" w:cs="Times New Roman"/>
          <w:kern w:val="2"/>
          <w:sz w:val="16"/>
          <w:szCs w:val="16"/>
          <w:lang w:eastAsia="zh-CN"/>
        </w:rPr>
        <w:instrText xml:space="preserve"> ADDIN NE.Ref.{96173FEC-1C64-44D6-9F8F-12B50C4B6B44}</w:instrText>
      </w:r>
      <w:r>
        <w:rPr>
          <w:rFonts w:hint="default" w:ascii="Times New Roman" w:hAnsi="Times New Roman" w:eastAsia="等线" w:cs="Times New Roman"/>
          <w:kern w:val="2"/>
          <w:sz w:val="16"/>
          <w:szCs w:val="16"/>
        </w:rPr>
        <w:fldChar w:fldCharType="separate"/>
      </w:r>
      <w:r>
        <w:rPr>
          <w:rFonts w:hint="eastAsia" w:ascii="宋体" w:hAnsi="宋体"/>
          <w:color w:val="000000"/>
          <w:sz w:val="21"/>
          <w:szCs w:val="24"/>
        </w:rPr>
        <w:t>[8]</w:t>
      </w:r>
      <w:r>
        <w:rPr>
          <w:rFonts w:hint="default" w:ascii="Times New Roman" w:hAnsi="Times New Roman" w:eastAsia="等线" w:cs="Times New Roman"/>
          <w:kern w:val="2"/>
          <w:sz w:val="16"/>
          <w:szCs w:val="16"/>
        </w:rPr>
        <w:fldChar w:fldCharType="end"/>
      </w:r>
      <w:r>
        <w:rPr>
          <w:rFonts w:hint="default" w:ascii="Times New Roman" w:hAnsi="Times New Roman" w:eastAsia="宋体" w:cs="Times New Roman"/>
          <w:kern w:val="0"/>
          <w:sz w:val="24"/>
          <w:szCs w:val="24"/>
        </w:rPr>
        <w:t xml:space="preserve"> were predicted based on known ligand–receptor pairs by Cellphone DB</w:t>
      </w:r>
      <w:r>
        <w:rPr>
          <w:rFonts w:hint="eastAsia" w:cs="Times New Roman"/>
          <w:kern w:val="0"/>
          <w:sz w:val="24"/>
          <w:szCs w:val="24"/>
          <w:lang w:val="en-US" w:eastAsia="zh-CN"/>
        </w:rPr>
        <w:t xml:space="preserve"> </w:t>
      </w:r>
      <w:r>
        <w:rPr>
          <w:rFonts w:hint="default" w:ascii="Times New Roman" w:hAnsi="Times New Roman" w:eastAsia="宋体" w:cs="Times New Roman"/>
          <w:kern w:val="0"/>
          <w:sz w:val="24"/>
          <w:szCs w:val="24"/>
        </w:rPr>
        <w:t>v2.1.0</w:t>
      </w:r>
      <w:r>
        <w:rPr>
          <w:rFonts w:hint="default" w:ascii="Times New Roman" w:hAnsi="Times New Roman" w:eastAsia="等线" w:cs="Times New Roman"/>
          <w:kern w:val="2"/>
          <w:sz w:val="16"/>
          <w:szCs w:val="16"/>
        </w:rPr>
        <w:fldChar w:fldCharType="begin"/>
      </w:r>
      <w:r>
        <w:rPr>
          <w:rFonts w:hint="eastAsia" w:eastAsia="等线" w:cs="Times New Roman"/>
          <w:kern w:val="2"/>
          <w:sz w:val="16"/>
          <w:szCs w:val="16"/>
          <w:lang w:eastAsia="zh-CN"/>
        </w:rPr>
        <w:instrText xml:space="preserve"> ADDIN NE.Ref.{175378CC-3CEC-4536-8E52-0CC1D30B46AE}</w:instrText>
      </w:r>
      <w:r>
        <w:rPr>
          <w:rFonts w:hint="default" w:ascii="Times New Roman" w:hAnsi="Times New Roman" w:eastAsia="等线" w:cs="Times New Roman"/>
          <w:kern w:val="2"/>
          <w:sz w:val="16"/>
          <w:szCs w:val="16"/>
        </w:rPr>
        <w:fldChar w:fldCharType="separate"/>
      </w:r>
      <w:r>
        <w:rPr>
          <w:rFonts w:hint="eastAsia" w:ascii="宋体" w:hAnsi="宋体"/>
          <w:color w:val="000000"/>
          <w:sz w:val="21"/>
          <w:szCs w:val="24"/>
        </w:rPr>
        <w:t>[9]</w:t>
      </w:r>
      <w:r>
        <w:rPr>
          <w:rFonts w:hint="default" w:ascii="Times New Roman" w:hAnsi="Times New Roman" w:eastAsia="等线" w:cs="Times New Roman"/>
          <w:kern w:val="2"/>
          <w:sz w:val="16"/>
          <w:szCs w:val="16"/>
        </w:rPr>
        <w:fldChar w:fldCharType="end"/>
      </w:r>
      <w:r>
        <w:rPr>
          <w:rFonts w:hint="default" w:ascii="Times New Roman" w:hAnsi="Times New Roman" w:eastAsia="宋体" w:cs="Times New Roman"/>
          <w:kern w:val="0"/>
          <w:sz w:val="24"/>
          <w:szCs w:val="24"/>
        </w:rPr>
        <w:t>. Permutation number for calculating the null distribution of average ligand-receptor pair expression in randomized cell identities was set to 1000. Individual ligand or receptor expression was thresholded by a cutoff based on the average log gene expression distribution for all genes across each cell type. Predicted interaction pairs with p value &lt; 0.05 and of average log expression &gt; 0.1 were considered as significant.</w:t>
      </w:r>
    </w:p>
    <w:p>
      <w:pPr>
        <w:widowControl/>
        <w:spacing w:before="156" w:beforeLines="50"/>
        <w:jc w:val="left"/>
        <w:rPr>
          <w:rFonts w:hint="default" w:ascii="Times New Roman" w:hAnsi="Times New Roman" w:eastAsia="Times New Roman" w:cs="Times New Roman"/>
          <w:b w:val="0"/>
          <w:bCs w:val="0"/>
          <w:i/>
          <w:iCs/>
          <w:kern w:val="0"/>
          <w:sz w:val="24"/>
          <w:szCs w:val="21"/>
        </w:rPr>
      </w:pPr>
      <w:r>
        <w:rPr>
          <w:rFonts w:hint="default" w:ascii="Times New Roman" w:hAnsi="Times New Roman" w:eastAsia="Times New Roman" w:cs="Times New Roman"/>
          <w:b w:val="0"/>
          <w:bCs w:val="0"/>
          <w:i/>
          <w:iCs/>
          <w:kern w:val="0"/>
          <w:sz w:val="24"/>
          <w:szCs w:val="21"/>
        </w:rPr>
        <w:t>Cell-cell interaction analysis （CellCall）</w:t>
      </w:r>
    </w:p>
    <w:p>
      <w:pPr>
        <w:widowControl/>
        <w:spacing w:before="156" w:beforeLines="50"/>
        <w:jc w:val="left"/>
        <w:rPr>
          <w:rFonts w:hint="default" w:ascii="Times New Roman" w:hAnsi="Times New Roman" w:eastAsia="宋体" w:cs="Times New Roman"/>
          <w:bCs/>
          <w:kern w:val="0"/>
          <w:sz w:val="24"/>
          <w:szCs w:val="24"/>
        </w:rPr>
      </w:pPr>
      <w:r>
        <w:rPr>
          <w:rFonts w:hint="default" w:ascii="Times New Roman" w:hAnsi="Times New Roman" w:eastAsia="Times New Roman" w:cs="Times New Roman"/>
          <w:kern w:val="0"/>
          <w:sz w:val="24"/>
          <w:szCs w:val="21"/>
        </w:rPr>
        <w:t>CellCall v0.0.0.9000</w:t>
      </w:r>
      <w:r>
        <w:rPr>
          <w:rFonts w:hint="default" w:ascii="Times New Roman" w:hAnsi="Times New Roman" w:eastAsia="Times New Roman" w:cs="Times New Roman"/>
          <w:kern w:val="0"/>
          <w:sz w:val="24"/>
          <w:szCs w:val="21"/>
        </w:rPr>
        <w:fldChar w:fldCharType="begin"/>
      </w:r>
      <w:r>
        <w:rPr>
          <w:rFonts w:hint="eastAsia" w:cs="Times New Roman"/>
          <w:kern w:val="0"/>
          <w:sz w:val="24"/>
          <w:szCs w:val="21"/>
          <w:lang w:eastAsia="zh-CN"/>
        </w:rPr>
        <w:instrText xml:space="preserve"> ADDIN NE.Ref.{FB632638-9B12-481F-97E5-3281822D0C62}</w:instrText>
      </w:r>
      <w:r>
        <w:rPr>
          <w:rFonts w:hint="default" w:ascii="Times New Roman" w:hAnsi="Times New Roman" w:eastAsia="Times New Roman" w:cs="Times New Roman"/>
          <w:kern w:val="0"/>
          <w:sz w:val="24"/>
          <w:szCs w:val="21"/>
        </w:rPr>
        <w:fldChar w:fldCharType="separate"/>
      </w:r>
      <w:r>
        <w:rPr>
          <w:rFonts w:hint="eastAsia" w:ascii="宋体" w:hAnsi="宋体"/>
          <w:color w:val="000000"/>
          <w:sz w:val="21"/>
          <w:szCs w:val="24"/>
        </w:rPr>
        <w:t>[10]</w:t>
      </w:r>
      <w:r>
        <w:rPr>
          <w:rFonts w:hint="default" w:ascii="Times New Roman" w:hAnsi="Times New Roman" w:eastAsia="Times New Roman" w:cs="Times New Roman"/>
          <w:kern w:val="0"/>
          <w:sz w:val="24"/>
          <w:szCs w:val="21"/>
        </w:rPr>
        <w:fldChar w:fldCharType="end"/>
      </w:r>
      <w:r>
        <w:rPr>
          <w:rFonts w:hint="eastAsia" w:cs="Times New Roman"/>
          <w:kern w:val="0"/>
          <w:sz w:val="24"/>
          <w:szCs w:val="21"/>
          <w:lang w:val="en-US" w:eastAsia="zh-CN"/>
        </w:rPr>
        <w:t xml:space="preserve"> </w:t>
      </w:r>
      <w:r>
        <w:rPr>
          <w:rFonts w:hint="default" w:ascii="Times New Roman" w:hAnsi="Times New Roman" w:eastAsia="Times New Roman" w:cs="Times New Roman"/>
          <w:kern w:val="0"/>
          <w:sz w:val="24"/>
          <w:szCs w:val="21"/>
        </w:rPr>
        <w:t>was used to analyze the intercellular interaction based on the receptor-ligand interaction between two cell types/subtypes, and inferred the signaling pathways of the internal regulation. The fraction of ligand-receptor genes interactions between cell types was assessed by integrating the L2 norm of the ligand-receptor interaction and the activity fraction of downstream TFs, which was calculated by the inbuilt GSEA algorithm. Finally, Ligand-receptor-TFs with a significant interaction between cell types was selected by using hypergeometric test and a p-value less than 0.05. Visualization was performed by using the inbuilt plotting functions from CellCall.</w:t>
      </w:r>
    </w:p>
    <w:p>
      <w:pPr>
        <w:widowControl/>
        <w:tabs>
          <w:tab w:val="left" w:pos="6095"/>
        </w:tabs>
        <w:spacing w:before="50" w:after="50"/>
        <w:jc w:val="both"/>
        <w:rPr>
          <w:rFonts w:hint="default" w:ascii="Times New Roman" w:hAnsi="Times New Roman" w:eastAsia="宋体" w:cs="Times New Roman"/>
          <w:b w:val="0"/>
          <w:bCs/>
          <w:i/>
          <w:iCs/>
          <w:kern w:val="0"/>
          <w:sz w:val="24"/>
          <w:szCs w:val="24"/>
        </w:rPr>
      </w:pPr>
      <w:r>
        <w:rPr>
          <w:rFonts w:hint="default" w:ascii="Times New Roman" w:hAnsi="Times New Roman" w:eastAsia="宋体" w:cs="Times New Roman"/>
          <w:b w:val="0"/>
          <w:bCs/>
          <w:i/>
          <w:iCs/>
          <w:kern w:val="0"/>
          <w:sz w:val="24"/>
          <w:szCs w:val="24"/>
        </w:rPr>
        <w:t>Transcription factor regulatory network analysis</w:t>
      </w:r>
    </w:p>
    <w:p>
      <w:pPr>
        <w:widowControl/>
        <w:tabs>
          <w:tab w:val="left" w:pos="6095"/>
        </w:tabs>
        <w:spacing w:before="50" w:after="50"/>
        <w:jc w:val="both"/>
        <w:rPr>
          <w:rFonts w:hint="default" w:ascii="Times New Roman" w:hAnsi="Times New Roman" w:eastAsia="宋体" w:cs="Times New Roman"/>
          <w:bCs/>
          <w:kern w:val="0"/>
          <w:sz w:val="24"/>
          <w:szCs w:val="24"/>
        </w:rPr>
      </w:pPr>
      <w:r>
        <w:rPr>
          <w:rFonts w:hint="default" w:ascii="Times New Roman" w:hAnsi="Times New Roman" w:eastAsia="Times New Roman" w:cs="Times New Roman"/>
          <w:color w:val="000000"/>
          <w:kern w:val="0"/>
          <w:sz w:val="24"/>
          <w:szCs w:val="24"/>
          <w:shd w:val="clear" w:color="auto" w:fill="FFFFFF"/>
        </w:rPr>
        <w:t>Transcription factor network was constructed by SCENIC R toolkit</w:t>
      </w:r>
      <w:r>
        <w:rPr>
          <w:rFonts w:hint="eastAsia" w:cs="Times New Roman"/>
          <w:color w:val="000000"/>
          <w:kern w:val="0"/>
          <w:sz w:val="24"/>
          <w:szCs w:val="24"/>
          <w:shd w:val="clear" w:color="auto" w:fill="FFFFFF"/>
          <w:lang w:val="en-US" w:eastAsia="zh-CN"/>
        </w:rPr>
        <w:t xml:space="preserve"> </w:t>
      </w:r>
      <w:r>
        <w:rPr>
          <w:rFonts w:hint="default" w:ascii="Times New Roman" w:hAnsi="Times New Roman" w:eastAsia="宋体" w:cs="Times New Roman"/>
          <w:bCs/>
          <w:kern w:val="0"/>
          <w:sz w:val="24"/>
          <w:szCs w:val="24"/>
        </w:rPr>
        <w:t xml:space="preserve">using scRNA expression matrix and </w:t>
      </w:r>
      <w:r>
        <w:rPr>
          <w:rFonts w:hint="default" w:ascii="Times New Roman" w:hAnsi="Times New Roman" w:eastAsia="Times New Roman" w:cs="Times New Roman"/>
          <w:color w:val="000000"/>
          <w:kern w:val="0"/>
          <w:sz w:val="24"/>
          <w:szCs w:val="24"/>
          <w:shd w:val="clear" w:color="auto" w:fill="FFFFFF"/>
        </w:rPr>
        <w:t>transcription factors in AnimalTFDB</w:t>
      </w:r>
      <w:r>
        <w:rPr>
          <w:rFonts w:hint="default" w:ascii="Times New Roman" w:hAnsi="Times New Roman" w:eastAsia="Times New Roman" w:cs="Times New Roman"/>
          <w:color w:val="000000"/>
          <w:kern w:val="0"/>
          <w:sz w:val="24"/>
          <w:szCs w:val="24"/>
          <w:shd w:val="clear" w:color="auto" w:fill="FFFFFF"/>
        </w:rPr>
        <w:fldChar w:fldCharType="begin"/>
      </w:r>
      <w:r>
        <w:rPr>
          <w:rFonts w:hint="eastAsia" w:cs="Times New Roman"/>
          <w:color w:val="000000"/>
          <w:kern w:val="0"/>
          <w:sz w:val="24"/>
          <w:szCs w:val="24"/>
          <w:shd w:val="clear" w:color="auto" w:fill="FFFFFF"/>
          <w:lang w:eastAsia="zh-CN"/>
        </w:rPr>
        <w:instrText xml:space="preserve"> ADDIN NE.Ref.{3726FB4A-2559-43D8-BBD0-0663DAC44EB7}</w:instrText>
      </w:r>
      <w:r>
        <w:rPr>
          <w:rFonts w:hint="default" w:ascii="Times New Roman" w:hAnsi="Times New Roman" w:eastAsia="Times New Roman" w:cs="Times New Roman"/>
          <w:color w:val="000000"/>
          <w:kern w:val="0"/>
          <w:sz w:val="24"/>
          <w:szCs w:val="24"/>
          <w:shd w:val="clear" w:color="auto" w:fill="FFFFFF"/>
        </w:rPr>
        <w:fldChar w:fldCharType="separate"/>
      </w:r>
      <w:r>
        <w:rPr>
          <w:rFonts w:hint="eastAsia" w:ascii="宋体" w:hAnsi="宋体"/>
          <w:color w:val="000000"/>
          <w:sz w:val="21"/>
          <w:szCs w:val="24"/>
        </w:rPr>
        <w:t>[11]</w:t>
      </w:r>
      <w:r>
        <w:rPr>
          <w:rFonts w:hint="default" w:ascii="Times New Roman" w:hAnsi="Times New Roman" w:eastAsia="Times New Roman" w:cs="Times New Roman"/>
          <w:color w:val="000000"/>
          <w:kern w:val="0"/>
          <w:sz w:val="24"/>
          <w:szCs w:val="24"/>
          <w:shd w:val="clear" w:color="auto" w:fill="FFFFFF"/>
        </w:rPr>
        <w:fldChar w:fldCharType="end"/>
      </w:r>
      <w:r>
        <w:rPr>
          <w:rFonts w:hint="default" w:ascii="Times New Roman" w:hAnsi="Times New Roman" w:eastAsia="Times New Roman" w:cs="Times New Roman"/>
          <w:color w:val="000000"/>
          <w:kern w:val="0"/>
          <w:sz w:val="24"/>
          <w:szCs w:val="24"/>
          <w:shd w:val="clear" w:color="auto" w:fill="FFFFFF"/>
        </w:rPr>
        <w:t xml:space="preserve">. The GENIE3 package predicted a regulatory network based on the co-expression of regulators and targets. RcisTarget package searched for transcription factor binding motifs in the given data. Genes involved in the predicted regulatory network were defined as a gene set, and AUCell package calculated the auc value of the gene set to assess the activity of regulatory network in cells. </w:t>
      </w:r>
    </w:p>
    <w:p>
      <w:pPr>
        <w:widowControl/>
        <w:autoSpaceDE w:val="0"/>
        <w:autoSpaceDN w:val="0"/>
        <w:adjustRightInd w:val="0"/>
        <w:jc w:val="both"/>
        <w:rPr>
          <w:rFonts w:hint="default" w:ascii="Times New Roman" w:hAnsi="Times New Roman" w:eastAsia="等线" w:cs="Times New Roman"/>
          <w:b w:val="0"/>
          <w:bCs/>
          <w:i/>
          <w:iCs/>
          <w:kern w:val="0"/>
          <w:sz w:val="24"/>
          <w:szCs w:val="24"/>
        </w:rPr>
      </w:pPr>
      <w:r>
        <w:rPr>
          <w:rFonts w:hint="default" w:ascii="Times New Roman" w:hAnsi="Times New Roman" w:eastAsia="等线" w:cs="Times New Roman"/>
          <w:b w:val="0"/>
          <w:bCs/>
          <w:i/>
          <w:iCs/>
          <w:kern w:val="0"/>
          <w:sz w:val="24"/>
          <w:szCs w:val="24"/>
        </w:rPr>
        <w:t>Expression programs analysis</w:t>
      </w:r>
    </w:p>
    <w:p>
      <w:pPr>
        <w:widowControl/>
        <w:autoSpaceDE w:val="0"/>
        <w:autoSpaceDN w:val="0"/>
        <w:adjustRightInd w:val="0"/>
        <w:jc w:val="both"/>
        <w:rPr>
          <w:rFonts w:hint="default" w:ascii="Times New Roman" w:hAnsi="Times New Roman" w:eastAsia="等线" w:cs="Times New Roman"/>
          <w:bCs/>
          <w:kern w:val="0"/>
          <w:sz w:val="24"/>
          <w:szCs w:val="24"/>
        </w:rPr>
      </w:pPr>
      <w:r>
        <w:rPr>
          <w:rFonts w:hint="default" w:ascii="Times New Roman" w:hAnsi="Times New Roman" w:eastAsia="等线" w:cs="Times New Roman"/>
          <w:bCs/>
          <w:kern w:val="0"/>
          <w:sz w:val="24"/>
          <w:szCs w:val="24"/>
        </w:rPr>
        <w:t>The transcriptional programs were extracted by cNMF algorithm, take the gene of top 50 as the meta-signature, and calculate the score of each program for each cell by meta-signature. The</w:t>
      </w:r>
      <w:r>
        <w:rPr>
          <w:rFonts w:hint="eastAsia" w:eastAsia="等线" w:cs="Times New Roman"/>
          <w:bCs/>
          <w:kern w:val="0"/>
          <w:sz w:val="24"/>
          <w:szCs w:val="24"/>
          <w:lang w:val="en-US" w:eastAsia="zh-CN"/>
        </w:rPr>
        <w:t xml:space="preserve"> </w:t>
      </w:r>
      <w:r>
        <w:rPr>
          <w:rFonts w:hint="default" w:ascii="Times New Roman" w:hAnsi="Times New Roman" w:eastAsia="等线" w:cs="Times New Roman"/>
          <w:bCs/>
          <w:kern w:val="0"/>
          <w:sz w:val="24"/>
          <w:szCs w:val="24"/>
        </w:rPr>
        <w:t>meta-program calculated and hierarchical clusteringed according to the person correlation between each program</w:t>
      </w:r>
      <w:r>
        <w:rPr>
          <w:rFonts w:hint="default" w:ascii="Times New Roman" w:hAnsi="Times New Roman" w:eastAsia="等线" w:cs="Times New Roman"/>
          <w:bCs/>
          <w:kern w:val="0"/>
          <w:sz w:val="24"/>
          <w:szCs w:val="24"/>
        </w:rPr>
        <w:fldChar w:fldCharType="begin"/>
      </w:r>
      <w:r>
        <w:rPr>
          <w:rFonts w:hint="eastAsia" w:eastAsia="等线" w:cs="Times New Roman"/>
          <w:bCs/>
          <w:kern w:val="0"/>
          <w:sz w:val="24"/>
          <w:szCs w:val="24"/>
          <w:lang w:eastAsia="zh-CN"/>
        </w:rPr>
        <w:instrText xml:space="preserve"> ADDIN NE.Ref.{CD191884-5B99-44BD-AB0E-DABFEBEA2579}</w:instrText>
      </w:r>
      <w:r>
        <w:rPr>
          <w:rFonts w:hint="default" w:ascii="Times New Roman" w:hAnsi="Times New Roman" w:eastAsia="等线" w:cs="Times New Roman"/>
          <w:bCs/>
          <w:kern w:val="0"/>
          <w:sz w:val="24"/>
          <w:szCs w:val="24"/>
        </w:rPr>
        <w:fldChar w:fldCharType="separate"/>
      </w:r>
      <w:r>
        <w:rPr>
          <w:rFonts w:hint="eastAsia" w:ascii="宋体" w:hAnsi="宋体"/>
          <w:color w:val="000000"/>
          <w:sz w:val="21"/>
          <w:szCs w:val="24"/>
        </w:rPr>
        <w:t>[12]</w:t>
      </w:r>
      <w:r>
        <w:rPr>
          <w:rFonts w:hint="default" w:ascii="Times New Roman" w:hAnsi="Times New Roman" w:eastAsia="等线" w:cs="Times New Roman"/>
          <w:bCs/>
          <w:kern w:val="0"/>
          <w:sz w:val="24"/>
          <w:szCs w:val="24"/>
        </w:rPr>
        <w:fldChar w:fldCharType="end"/>
      </w:r>
      <w:r>
        <w:rPr>
          <w:rFonts w:hint="default" w:ascii="Times New Roman" w:hAnsi="Times New Roman" w:eastAsia="等线" w:cs="Times New Roman"/>
          <w:bCs/>
          <w:kern w:val="0"/>
          <w:sz w:val="24"/>
          <w:szCs w:val="24"/>
        </w:rPr>
        <w:t>.</w:t>
      </w:r>
    </w:p>
    <w:p>
      <w:pPr>
        <w:widowControl/>
        <w:autoSpaceDE w:val="0"/>
        <w:autoSpaceDN w:val="0"/>
        <w:adjustRightInd w:val="0"/>
        <w:jc w:val="both"/>
        <w:rPr>
          <w:rFonts w:hint="default" w:ascii="Times New Roman" w:hAnsi="Times New Roman" w:eastAsia="等线" w:cs="Times New Roman"/>
          <w:bCs/>
          <w:kern w:val="0"/>
          <w:sz w:val="24"/>
          <w:szCs w:val="24"/>
        </w:rPr>
      </w:pPr>
    </w:p>
    <w:p>
      <w:pPr>
        <w:jc w:val="left"/>
        <w:rPr>
          <w:b/>
          <w:bCs/>
          <w:sz w:val="24"/>
          <w:szCs w:val="28"/>
        </w:rPr>
      </w:pPr>
      <w:r>
        <w:rPr>
          <w:b/>
          <w:bCs/>
          <w:sz w:val="24"/>
          <w:szCs w:val="28"/>
        </w:rPr>
        <w:t>Proteomics</w:t>
      </w:r>
    </w:p>
    <w:p>
      <w:pPr>
        <w:widowControl/>
        <w:jc w:val="left"/>
        <w:rPr>
          <w:i/>
          <w:iCs/>
          <w:sz w:val="24"/>
          <w:szCs w:val="24"/>
        </w:rPr>
      </w:pPr>
      <w:r>
        <w:rPr>
          <w:i/>
          <w:iCs/>
          <w:sz w:val="24"/>
          <w:szCs w:val="24"/>
        </w:rPr>
        <w:t>Protein extraction and digestion</w:t>
      </w:r>
    </w:p>
    <w:p>
      <w:pPr>
        <w:widowControl/>
        <w:jc w:val="left"/>
        <w:rPr>
          <w:sz w:val="24"/>
          <w:szCs w:val="24"/>
        </w:rPr>
      </w:pPr>
      <w:r>
        <w:rPr>
          <w:sz w:val="24"/>
          <w:szCs w:val="24"/>
        </w:rPr>
        <w:t>Frozen tissues were homogenized by a PowerLyzer™ bead-based homogenizer (MO BIO Laboratories Inc.) in lysis buffer containing 2% (w/v) SDS, 1% (v/v) Triton-X 100, 100 mM Tris-HCl, pH 7.8, then further disrupted by a ultrasonic probe</w:t>
      </w:r>
      <w:r>
        <w:rPr>
          <w:rFonts w:hint="eastAsia"/>
          <w:sz w:val="24"/>
          <w:szCs w:val="24"/>
        </w:rPr>
        <w:t xml:space="preserve"> </w:t>
      </w:r>
      <w:r>
        <w:rPr>
          <w:sz w:val="24"/>
          <w:szCs w:val="24"/>
        </w:rPr>
        <w:t>(Ningbo Scientz Biotechnology). Tissue debris was removed by centrifugation to collect the supernatant. Protein concentration was determined by BCA method (Thermo scientific). Proteins were digested using an in-solution digestion protocol. In brief, proteins were reduced by 10 mM dithiothreitol in 95℃ for 10 min, and alkylated by 30 mM iodoacetamide (IAA) for 30 min at room temperature. Proteins were then purified by methanol-chloroform precipitation. The protein pellet was dissolved in 8 M urea buffer containing 50 mM ammonium bicarbonate. After diluting the urea concentration to 1 M by 50 mM ABC, proteins were digested overnight with sequencing-grade trypsin (Promega). Peptides were desalted by C18 SPE column (Waters), dried by SpeedVac and stored at -20 oC before LC-MS analysis.</w:t>
      </w:r>
      <w:bookmarkStart w:id="0" w:name="_Toc42673186"/>
    </w:p>
    <w:p>
      <w:pPr>
        <w:widowControl/>
        <w:jc w:val="left"/>
        <w:rPr>
          <w:i/>
          <w:iCs/>
          <w:sz w:val="24"/>
          <w:szCs w:val="24"/>
        </w:rPr>
      </w:pPr>
      <w:r>
        <w:rPr>
          <w:i/>
          <w:iCs/>
          <w:sz w:val="24"/>
          <w:szCs w:val="24"/>
        </w:rPr>
        <w:t>LC–MS/MS analysis</w:t>
      </w:r>
      <w:bookmarkEnd w:id="0"/>
      <w:r>
        <w:rPr>
          <w:i/>
          <w:iCs/>
          <w:sz w:val="24"/>
          <w:szCs w:val="24"/>
        </w:rPr>
        <w:t xml:space="preserve"> </w:t>
      </w:r>
    </w:p>
    <w:p>
      <w:pPr>
        <w:widowControl/>
        <w:jc w:val="left"/>
        <w:rPr>
          <w:sz w:val="24"/>
          <w:szCs w:val="24"/>
        </w:rPr>
      </w:pPr>
      <w:r>
        <w:rPr>
          <w:sz w:val="24"/>
          <w:szCs w:val="24"/>
        </w:rPr>
        <w:t>Peptides were analyzed by an Easy-nLC 1200 chromatography system coupled to a Q Exactive HF-X mass spectrometer via electrospray ionization (Thermo Fisher Scientific). Peptides were separated by a home-made analytical column with 100 μm i.d. and packed with 20 cm of 1.9 μm C18 beads (Dr. Maisch GmbH). The flow rate was 250 μL</w:t>
      </w:r>
      <w:r>
        <w:rPr>
          <w:rFonts w:hint="eastAsia"/>
          <w:sz w:val="24"/>
          <w:szCs w:val="24"/>
        </w:rPr>
        <w:t>/</w:t>
      </w:r>
      <w:r>
        <w:rPr>
          <w:sz w:val="24"/>
          <w:szCs w:val="24"/>
        </w:rPr>
        <w:t xml:space="preserve">min, with mobile phase A as 0.1% (v/v) formic acid in water, and mobile phase B as 0.1% (v/v) formic acid and 90% acetonitrile in water. </w:t>
      </w:r>
      <w:r>
        <w:rPr>
          <w:rFonts w:hint="eastAsia"/>
          <w:sz w:val="24"/>
          <w:szCs w:val="24"/>
        </w:rPr>
        <w:t>T</w:t>
      </w:r>
      <w:r>
        <w:rPr>
          <w:sz w:val="24"/>
          <w:szCs w:val="24"/>
        </w:rPr>
        <w:t>he effective gradient went from 8% to 25% phase B over 100 min, then to 40% over 20 min. For DIA analysis, the MS1 scan was performed in the Orbitrap analyzer, with m/z range of 350 to 1550, resolution of 120,000, AGC target value of 3e6, and maximum injection time of 50 ms. Each MS1 was followed by 40 MS/MS scans using variable isolation windows with 0.5 Da overlap (Supplement Table 4). Precursors isolated by each window were fragmented using stepwise collection energy of 25%, 27%, and 30%. The fragment ions were recorded in profile mode at orbitrap resolution of 30,000 with AGC target value of 3e6 and auto ion injection time.</w:t>
      </w:r>
    </w:p>
    <w:p>
      <w:pPr>
        <w:widowControl/>
        <w:jc w:val="left"/>
        <w:rPr>
          <w:i/>
          <w:iCs/>
          <w:sz w:val="24"/>
          <w:szCs w:val="24"/>
        </w:rPr>
      </w:pPr>
      <w:r>
        <w:rPr>
          <w:i/>
          <w:iCs/>
          <w:sz w:val="24"/>
          <w:szCs w:val="24"/>
        </w:rPr>
        <w:t>Data analysis</w:t>
      </w:r>
    </w:p>
    <w:p>
      <w:pPr>
        <w:widowControl/>
        <w:jc w:val="left"/>
        <w:rPr>
          <w:sz w:val="24"/>
          <w:szCs w:val="24"/>
        </w:rPr>
      </w:pPr>
      <w:r>
        <w:rPr>
          <w:sz w:val="24"/>
          <w:szCs w:val="24"/>
        </w:rPr>
        <w:t xml:space="preserve">The DIA raw files were loaded into Spectronaut 11.0 (Biognosys) for data extraction using a project specific library containing 13,515 protein groups, 141,452 peptides, and 1,340,982 fragment ions. Default settings were applied with FDR cutoff of 0.01 for both peptides and proteins. The protein quantification results from Spectronaut were imported into Perseus for statistical analysis . Protein abundances were log2 transformed. Missing values were imputed based on a normal distribution (width, 0.3; downshift, 1.8). Significantly different proteins were calculated using two-sample student’s t-test (FDR of 1% and p value </w:t>
      </w:r>
      <w:r>
        <w:rPr>
          <w:rFonts w:hint="eastAsia"/>
          <w:sz w:val="24"/>
          <w:szCs w:val="24"/>
        </w:rPr>
        <w:t xml:space="preserve">&lt; </w:t>
      </w:r>
      <w:r>
        <w:rPr>
          <w:sz w:val="24"/>
          <w:szCs w:val="24"/>
        </w:rPr>
        <w:t>0.05). Gene ontology (GO) annotation and Kyoto Encyclopedia of Genes and Genomes (KEGG) pathway analysis of significant proteins was performed using DAVID Bioinformatics Database (version 6.8) . Fisher’s Exact test was performed to calculate significant clusters.</w:t>
      </w:r>
    </w:p>
    <w:p>
      <w:pPr>
        <w:widowControl/>
        <w:jc w:val="left"/>
        <w:rPr>
          <w:sz w:val="24"/>
          <w:szCs w:val="24"/>
          <w:lang w:val="en-GB"/>
        </w:rPr>
      </w:pPr>
    </w:p>
    <w:p>
      <w:pPr>
        <w:widowControl/>
        <w:jc w:val="left"/>
        <w:rPr>
          <w:b/>
          <w:bCs/>
          <w:sz w:val="24"/>
          <w:szCs w:val="24"/>
          <w:lang w:val="en-GB"/>
        </w:rPr>
      </w:pPr>
      <w:r>
        <w:rPr>
          <w:b/>
          <w:bCs/>
          <w:sz w:val="24"/>
          <w:szCs w:val="24"/>
          <w:lang w:val="en-GB"/>
        </w:rPr>
        <w:t>Immunohistochemistry</w:t>
      </w:r>
    </w:p>
    <w:p>
      <w:pPr>
        <w:widowControl/>
        <w:jc w:val="left"/>
        <w:rPr>
          <w:sz w:val="24"/>
          <w:szCs w:val="24"/>
        </w:rPr>
      </w:pPr>
      <w:r>
        <w:rPr>
          <w:sz w:val="24"/>
          <w:szCs w:val="24"/>
        </w:rPr>
        <w:t>Three-micrometer-thick paraffin-embedded sections</w:t>
      </w:r>
      <w:r>
        <w:rPr>
          <w:rFonts w:hint="eastAsia"/>
          <w:sz w:val="24"/>
          <w:szCs w:val="24"/>
        </w:rPr>
        <w:t xml:space="preserve"> </w:t>
      </w:r>
      <w:r>
        <w:rPr>
          <w:sz w:val="24"/>
          <w:szCs w:val="24"/>
        </w:rPr>
        <w:t>were incubated overnight at 4°C with primary antibodies</w:t>
      </w:r>
      <w:r>
        <w:rPr>
          <w:rFonts w:hint="eastAsia"/>
          <w:sz w:val="24"/>
          <w:szCs w:val="24"/>
        </w:rPr>
        <w:t xml:space="preserve"> </w:t>
      </w:r>
      <w:r>
        <w:rPr>
          <w:sz w:val="24"/>
          <w:szCs w:val="24"/>
        </w:rPr>
        <w:t xml:space="preserve">against </w:t>
      </w:r>
      <w:r>
        <w:rPr>
          <w:rFonts w:hint="eastAsia"/>
          <w:sz w:val="24"/>
          <w:szCs w:val="24"/>
        </w:rPr>
        <w:t>PIN1</w:t>
      </w:r>
      <w:r>
        <w:rPr>
          <w:sz w:val="24"/>
          <w:szCs w:val="24"/>
        </w:rPr>
        <w:t xml:space="preserve"> (</w:t>
      </w:r>
      <w:r>
        <w:rPr>
          <w:rFonts w:hint="eastAsia"/>
          <w:sz w:val="24"/>
          <w:szCs w:val="24"/>
        </w:rPr>
        <w:t>proteintech, USA</w:t>
      </w:r>
      <w:r>
        <w:rPr>
          <w:sz w:val="24"/>
          <w:szCs w:val="24"/>
        </w:rPr>
        <w:t>; 1:</w:t>
      </w:r>
      <w:r>
        <w:rPr>
          <w:rFonts w:hint="eastAsia"/>
          <w:sz w:val="24"/>
          <w:szCs w:val="24"/>
        </w:rPr>
        <w:t>5</w:t>
      </w:r>
      <w:r>
        <w:rPr>
          <w:sz w:val="24"/>
          <w:szCs w:val="24"/>
        </w:rPr>
        <w:t xml:space="preserve">0), </w:t>
      </w:r>
      <w:bookmarkStart w:id="1" w:name="OLE_LINK1"/>
      <w:r>
        <w:rPr>
          <w:rFonts w:hint="eastAsia"/>
          <w:sz w:val="24"/>
          <w:szCs w:val="24"/>
        </w:rPr>
        <w:t>SEMA4F</w:t>
      </w:r>
      <w:bookmarkEnd w:id="1"/>
      <w:r>
        <w:rPr>
          <w:sz w:val="24"/>
          <w:szCs w:val="24"/>
        </w:rPr>
        <w:t xml:space="preserve"> (</w:t>
      </w:r>
      <w:r>
        <w:rPr>
          <w:rFonts w:hint="eastAsia"/>
          <w:sz w:val="24"/>
          <w:szCs w:val="24"/>
        </w:rPr>
        <w:t>proteintech</w:t>
      </w:r>
      <w:r>
        <w:rPr>
          <w:sz w:val="24"/>
          <w:szCs w:val="24"/>
        </w:rPr>
        <w:t>; 1:</w:t>
      </w:r>
      <w:r>
        <w:rPr>
          <w:rFonts w:hint="eastAsia"/>
          <w:sz w:val="24"/>
          <w:szCs w:val="24"/>
        </w:rPr>
        <w:t>20</w:t>
      </w:r>
      <w:r>
        <w:rPr>
          <w:sz w:val="24"/>
          <w:szCs w:val="24"/>
        </w:rPr>
        <w:t>0)</w:t>
      </w:r>
      <w:r>
        <w:rPr>
          <w:rFonts w:hint="eastAsia"/>
          <w:sz w:val="24"/>
          <w:szCs w:val="24"/>
        </w:rPr>
        <w:t>, ASPN</w:t>
      </w:r>
      <w:r>
        <w:rPr>
          <w:sz w:val="24"/>
          <w:szCs w:val="24"/>
        </w:rPr>
        <w:t xml:space="preserve"> (</w:t>
      </w:r>
      <w:r>
        <w:rPr>
          <w:rFonts w:hint="eastAsia"/>
          <w:sz w:val="24"/>
          <w:szCs w:val="24"/>
        </w:rPr>
        <w:t>abcam</w:t>
      </w:r>
      <w:r>
        <w:rPr>
          <w:sz w:val="24"/>
          <w:szCs w:val="24"/>
        </w:rPr>
        <w:t>,</w:t>
      </w:r>
      <w:r>
        <w:rPr>
          <w:rFonts w:hint="eastAsia"/>
          <w:sz w:val="24"/>
          <w:szCs w:val="24"/>
        </w:rPr>
        <w:t xml:space="preserve"> USA</w:t>
      </w:r>
      <w:r>
        <w:rPr>
          <w:sz w:val="24"/>
          <w:szCs w:val="24"/>
        </w:rPr>
        <w:t>;</w:t>
      </w:r>
      <w:r>
        <w:rPr>
          <w:rFonts w:hint="eastAsia"/>
          <w:sz w:val="24"/>
          <w:szCs w:val="24"/>
        </w:rPr>
        <w:t xml:space="preserve"> </w:t>
      </w:r>
      <w:r>
        <w:rPr>
          <w:sz w:val="24"/>
          <w:szCs w:val="24"/>
        </w:rPr>
        <w:t>8 µg/m</w:t>
      </w:r>
      <w:r>
        <w:rPr>
          <w:rFonts w:hint="eastAsia"/>
          <w:sz w:val="24"/>
          <w:szCs w:val="24"/>
        </w:rPr>
        <w:t>L</w:t>
      </w:r>
      <w:r>
        <w:rPr>
          <w:sz w:val="24"/>
          <w:szCs w:val="24"/>
        </w:rPr>
        <w:t xml:space="preserve">), </w:t>
      </w:r>
      <w:bookmarkStart w:id="2" w:name="OLE_LINK2"/>
      <w:r>
        <w:rPr>
          <w:rFonts w:hint="eastAsia"/>
          <w:sz w:val="24"/>
          <w:szCs w:val="24"/>
        </w:rPr>
        <w:t>KCDT12</w:t>
      </w:r>
      <w:bookmarkEnd w:id="2"/>
      <w:r>
        <w:rPr>
          <w:sz w:val="24"/>
          <w:szCs w:val="24"/>
        </w:rPr>
        <w:t xml:space="preserve"> (</w:t>
      </w:r>
      <w:r>
        <w:rPr>
          <w:rFonts w:hint="eastAsia"/>
          <w:sz w:val="24"/>
          <w:szCs w:val="24"/>
        </w:rPr>
        <w:t>proteintech</w:t>
      </w:r>
      <w:r>
        <w:rPr>
          <w:sz w:val="24"/>
          <w:szCs w:val="24"/>
        </w:rPr>
        <w:t>; 1:</w:t>
      </w:r>
      <w:r>
        <w:rPr>
          <w:rFonts w:hint="eastAsia"/>
          <w:sz w:val="24"/>
          <w:szCs w:val="24"/>
        </w:rPr>
        <w:t>20</w:t>
      </w:r>
      <w:r>
        <w:rPr>
          <w:sz w:val="24"/>
          <w:szCs w:val="24"/>
        </w:rPr>
        <w:t>0)</w:t>
      </w:r>
      <w:r>
        <w:rPr>
          <w:rFonts w:hint="eastAsia"/>
          <w:sz w:val="24"/>
          <w:szCs w:val="24"/>
        </w:rPr>
        <w:t xml:space="preserve"> </w:t>
      </w:r>
      <w:r>
        <w:rPr>
          <w:sz w:val="24"/>
          <w:szCs w:val="24"/>
        </w:rPr>
        <w:t xml:space="preserve">and </w:t>
      </w:r>
      <w:r>
        <w:rPr>
          <w:rFonts w:hint="eastAsia"/>
          <w:sz w:val="24"/>
          <w:szCs w:val="24"/>
        </w:rPr>
        <w:t>POSTN</w:t>
      </w:r>
      <w:r>
        <w:rPr>
          <w:sz w:val="24"/>
          <w:szCs w:val="24"/>
        </w:rPr>
        <w:t xml:space="preserve"> (</w:t>
      </w:r>
      <w:r>
        <w:rPr>
          <w:rFonts w:hint="eastAsia"/>
          <w:sz w:val="24"/>
          <w:szCs w:val="24"/>
        </w:rPr>
        <w:t>proteintech</w:t>
      </w:r>
      <w:r>
        <w:rPr>
          <w:sz w:val="24"/>
          <w:szCs w:val="24"/>
        </w:rPr>
        <w:t>; 1:100) and then were</w:t>
      </w:r>
      <w:r>
        <w:rPr>
          <w:rFonts w:hint="eastAsia"/>
          <w:sz w:val="24"/>
          <w:szCs w:val="24"/>
        </w:rPr>
        <w:t xml:space="preserve"> </w:t>
      </w:r>
      <w:r>
        <w:rPr>
          <w:sz w:val="24"/>
          <w:szCs w:val="24"/>
        </w:rPr>
        <w:t>washed and incubated for 30 minutes with biotinylated goat</w:t>
      </w:r>
      <w:r>
        <w:rPr>
          <w:rFonts w:hint="eastAsia"/>
          <w:sz w:val="24"/>
          <w:szCs w:val="24"/>
        </w:rPr>
        <w:t xml:space="preserve"> </w:t>
      </w:r>
      <w:r>
        <w:rPr>
          <w:sz w:val="24"/>
          <w:szCs w:val="24"/>
        </w:rPr>
        <w:t>anti-rabbit Ig</w:t>
      </w:r>
      <w:bookmarkStart w:id="15" w:name="_GoBack"/>
      <w:bookmarkEnd w:id="15"/>
      <w:r>
        <w:rPr>
          <w:sz w:val="24"/>
          <w:szCs w:val="24"/>
        </w:rPr>
        <w:t>G. The sections were washed thoroughly,</w:t>
      </w:r>
      <w:r>
        <w:rPr>
          <w:rFonts w:hint="eastAsia"/>
          <w:sz w:val="24"/>
          <w:szCs w:val="24"/>
        </w:rPr>
        <w:t xml:space="preserve"> </w:t>
      </w:r>
      <w:r>
        <w:rPr>
          <w:sz w:val="24"/>
          <w:szCs w:val="24"/>
        </w:rPr>
        <w:t>stained with diaminobenzidine, and examined by</w:t>
      </w:r>
      <w:r>
        <w:rPr>
          <w:rFonts w:hint="eastAsia"/>
          <w:sz w:val="24"/>
          <w:szCs w:val="24"/>
        </w:rPr>
        <w:t xml:space="preserve"> </w:t>
      </w:r>
      <w:r>
        <w:rPr>
          <w:sz w:val="24"/>
          <w:szCs w:val="24"/>
        </w:rPr>
        <w:t>Olympus</w:t>
      </w:r>
      <w:r>
        <w:rPr>
          <w:rFonts w:hint="eastAsia"/>
          <w:sz w:val="24"/>
          <w:szCs w:val="24"/>
        </w:rPr>
        <w:t xml:space="preserve"> </w:t>
      </w:r>
      <w:r>
        <w:rPr>
          <w:sz w:val="24"/>
          <w:szCs w:val="24"/>
        </w:rPr>
        <w:t>BX41 microscope.</w:t>
      </w:r>
    </w:p>
    <w:p>
      <w:pPr>
        <w:jc w:val="left"/>
      </w:pPr>
    </w:p>
    <w:p>
      <w:pPr>
        <w:widowControl/>
        <w:autoSpaceDE w:val="0"/>
        <w:autoSpaceDN w:val="0"/>
        <w:adjustRightInd w:val="0"/>
        <w:jc w:val="both"/>
        <w:rPr>
          <w:rFonts w:hint="default" w:ascii="Times New Roman" w:hAnsi="Times New Roman" w:eastAsia="等线" w:cs="Times New Roman"/>
          <w:bCs/>
          <w:kern w:val="0"/>
          <w:sz w:val="24"/>
          <w:szCs w:val="24"/>
        </w:rPr>
      </w:pPr>
    </w:p>
    <w:p>
      <w:pPr>
        <w:widowControl/>
        <w:autoSpaceDE w:val="0"/>
        <w:autoSpaceDN w:val="0"/>
        <w:adjustRightInd w:val="0"/>
        <w:jc w:val="both"/>
        <w:rPr>
          <w:rFonts w:hint="default" w:ascii="Times New Roman" w:hAnsi="Times New Roman" w:eastAsia="等线" w:cs="Times New Roman"/>
          <w:bCs/>
          <w:kern w:val="0"/>
          <w:sz w:val="24"/>
          <w:szCs w:val="24"/>
        </w:rPr>
      </w:pPr>
    </w:p>
    <w:p>
      <w:pPr>
        <w:widowControl/>
        <w:autoSpaceDE w:val="0"/>
        <w:autoSpaceDN w:val="0"/>
        <w:adjustRightInd w:val="0"/>
        <w:jc w:val="both"/>
        <w:rPr>
          <w:rFonts w:hint="default" w:ascii="Times New Roman" w:hAnsi="Times New Roman" w:eastAsia="等线" w:cs="Times New Roman"/>
          <w:bCs/>
          <w:kern w:val="0"/>
          <w:sz w:val="24"/>
          <w:szCs w:val="24"/>
        </w:rPr>
      </w:pPr>
    </w:p>
    <w:p>
      <w:pPr>
        <w:spacing w:beforeLines="0" w:afterLines="0"/>
        <w:jc w:val="left"/>
        <w:rPr>
          <w:rFonts w:hint="default"/>
          <w:sz w:val="24"/>
          <w:szCs w:val="24"/>
        </w:rPr>
      </w:pPr>
      <w:r>
        <w:rPr>
          <w:rFonts w:hint="default" w:ascii="Times New Roman" w:hAnsi="Times New Roman" w:eastAsia="宋体" w:cs="Times New Roman"/>
          <w:sz w:val="24"/>
          <w:szCs w:val="28"/>
        </w:rPr>
        <w:fldChar w:fldCharType="begin"/>
      </w:r>
      <w:r>
        <w:rPr>
          <w:rFonts w:hint="eastAsia" w:cs="Times New Roman"/>
          <w:sz w:val="24"/>
          <w:szCs w:val="28"/>
          <w:lang w:eastAsia="zh-CN"/>
        </w:rPr>
        <w:instrText xml:space="preserve"> ADDIN NE.Bib</w:instrText>
      </w:r>
      <w:r>
        <w:rPr>
          <w:rFonts w:hint="default" w:ascii="Times New Roman" w:hAnsi="Times New Roman" w:eastAsia="宋体" w:cs="Times New Roman"/>
          <w:sz w:val="24"/>
          <w:szCs w:val="28"/>
        </w:rPr>
        <w:fldChar w:fldCharType="separate"/>
      </w:r>
    </w:p>
    <w:p>
      <w:pPr>
        <w:widowControl/>
        <w:tabs>
          <w:tab w:val="left" w:pos="6095"/>
        </w:tabs>
        <w:spacing w:before="50" w:after="50"/>
        <w:jc w:val="both"/>
        <w:rPr>
          <w:rFonts w:hint="default" w:ascii="Times New Roman" w:hAnsi="Times New Roman" w:eastAsia="Times New Roman" w:cs="Times New Roman"/>
          <w:color w:val="000000"/>
          <w:kern w:val="0"/>
          <w:sz w:val="24"/>
          <w:szCs w:val="24"/>
          <w:shd w:val="clear" w:color="auto" w:fill="FFFFFF"/>
        </w:rPr>
      </w:pPr>
      <w:r>
        <w:rPr>
          <w:rFonts w:hint="default" w:ascii="Times New Roman" w:hAnsi="Times New Roman" w:eastAsia="Times New Roman" w:cs="Times New Roman"/>
          <w:color w:val="000000"/>
          <w:kern w:val="0"/>
          <w:sz w:val="24"/>
          <w:szCs w:val="24"/>
          <w:shd w:val="clear" w:color="auto" w:fill="FFFFFF"/>
        </w:rPr>
        <w:t>References:</w:t>
      </w:r>
    </w:p>
    <w:p>
      <w:pPr>
        <w:spacing w:beforeLines="0" w:afterLines="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3" w:name="_nebE0E38E59_A131_4900_A99A_8469C0095C7E"/>
      <w:r>
        <w:rPr>
          <w:rFonts w:hint="default" w:ascii="Times New Roman" w:hAnsi="Times New Roman" w:eastAsia="Times New Roman"/>
          <w:color w:val="000000"/>
          <w:sz w:val="20"/>
          <w:szCs w:val="24"/>
        </w:rPr>
        <w:t>Satija, R., et al., Spatial reconstruction of single-cell gene expression data. Nat Biotechnol, 2015. 33(5): p. 495-502.</w:t>
      </w:r>
      <w:bookmarkEnd w:id="3"/>
    </w:p>
    <w:p>
      <w:pPr>
        <w:spacing w:beforeLines="0" w:afterLines="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4" w:name="_nebB9C2E99B_DF0E_49AE_9A89_9C8F6DA46289"/>
      <w:r>
        <w:rPr>
          <w:rFonts w:hint="default" w:ascii="Times New Roman" w:hAnsi="Times New Roman" w:eastAsia="Times New Roman"/>
          <w:color w:val="000000"/>
          <w:sz w:val="20"/>
          <w:szCs w:val="24"/>
        </w:rPr>
        <w:t>Yu, G., et al., clusterProfiler: an R package for comparing biological themes among gene clusters. OMICS, 2012. 16(5): p. 284-7.</w:t>
      </w:r>
      <w:bookmarkEnd w:id="4"/>
    </w:p>
    <w:p>
      <w:pPr>
        <w:spacing w:beforeLines="0" w:afterLines="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5" w:name="_neb603DA711_DA9F_4ED3_B79E_23DA2DCB07C4"/>
      <w:r>
        <w:rPr>
          <w:rFonts w:hint="default" w:ascii="Times New Roman" w:hAnsi="Times New Roman" w:eastAsia="Times New Roman"/>
          <w:color w:val="000000"/>
          <w:sz w:val="20"/>
          <w:szCs w:val="24"/>
        </w:rPr>
        <w:t>Subramanian, A., et al., Gene set enrichment analysis: a knowledge-based approach for interpreting genome-wide expression profiles. Proc Natl Acad Sci U S A, 2005. 102(43): p. 15545-50.</w:t>
      </w:r>
      <w:bookmarkEnd w:id="5"/>
    </w:p>
    <w:p>
      <w:pPr>
        <w:spacing w:beforeLines="0" w:afterLines="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6" w:name="_neb8DC3AF67_8271_4035_9E23_437931DC02A3"/>
      <w:r>
        <w:rPr>
          <w:rFonts w:hint="default" w:ascii="Times New Roman" w:hAnsi="Times New Roman" w:eastAsia="Times New Roman"/>
          <w:color w:val="000000"/>
          <w:sz w:val="20"/>
          <w:szCs w:val="24"/>
        </w:rPr>
        <w:t>La Manno, G., et al., RNA velocity of single cells. Nature, 2018. 560(7719): p. 494-498.</w:t>
      </w:r>
      <w:bookmarkEnd w:id="6"/>
    </w:p>
    <w:p>
      <w:pPr>
        <w:spacing w:beforeLines="0" w:afterLines="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7" w:name="_nebD96A47F7_9645_40EC_8DE2_513963B070B3"/>
      <w:r>
        <w:rPr>
          <w:rFonts w:hint="default" w:ascii="Times New Roman" w:hAnsi="Times New Roman" w:eastAsia="Times New Roman"/>
          <w:color w:val="000000"/>
          <w:sz w:val="20"/>
          <w:szCs w:val="24"/>
        </w:rPr>
        <w:t>Bergen, V., et al., Generalizing RNA velocity to transient cell states through dynamical modeling. Nat Biotechnol, 2020. 38(12): p. 1408-1414.</w:t>
      </w:r>
      <w:bookmarkEnd w:id="7"/>
    </w:p>
    <w:p>
      <w:pPr>
        <w:spacing w:beforeLines="0" w:afterLines="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8" w:name="_neb739CAA3A_FA44_4CED_9C0C_3D81D91E1149"/>
      <w:r>
        <w:rPr>
          <w:rFonts w:hint="default" w:ascii="Times New Roman" w:hAnsi="Times New Roman" w:eastAsia="Times New Roman"/>
          <w:color w:val="000000"/>
          <w:sz w:val="20"/>
          <w:szCs w:val="24"/>
        </w:rPr>
        <w:t>Guo, M., et al., SLICE: determining cell differentiation and lineage based on single cell entropy. Nucleic Acids Res, 2017. 45(7): p. e54.</w:t>
      </w:r>
      <w:bookmarkEnd w:id="8"/>
    </w:p>
    <w:p>
      <w:pPr>
        <w:spacing w:beforeLines="0" w:afterLines="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9" w:name="_nebB7D506D5_7BBB_4B35_ADEA_BB650BDA13D9"/>
      <w:r>
        <w:rPr>
          <w:rFonts w:hint="default" w:ascii="Times New Roman" w:hAnsi="Times New Roman" w:eastAsia="Times New Roman"/>
          <w:color w:val="000000"/>
          <w:sz w:val="20"/>
          <w:szCs w:val="24"/>
        </w:rPr>
        <w:t>Hanzelmann, S., R. Castelo and J. Guinney, GSVA: gene set variation analysis for microarray and RNA-seq data. BMC Bioinformatics, 2013. 14: p. 7.</w:t>
      </w:r>
      <w:bookmarkEnd w:id="9"/>
    </w:p>
    <w:p>
      <w:pPr>
        <w:spacing w:beforeLines="0" w:afterLines="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10" w:name="_neb169690C3_DB0E_4BA7_9C2C_0A4C3C35EEBB"/>
      <w:r>
        <w:rPr>
          <w:rFonts w:hint="default" w:ascii="Times New Roman" w:hAnsi="Times New Roman" w:eastAsia="Times New Roman"/>
          <w:color w:val="000000"/>
          <w:sz w:val="20"/>
          <w:szCs w:val="24"/>
        </w:rPr>
        <w:t>Stewart, C.A., et al., Single-cell analyses reveal increased intratumoral heterogeneity after the onset  of therapy resistance in small-cell lung cancer. Nat Cancer, 2020. 1: p. 423-436.</w:t>
      </w:r>
      <w:bookmarkEnd w:id="10"/>
    </w:p>
    <w:p>
      <w:pPr>
        <w:spacing w:beforeLines="0" w:afterLines="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11" w:name="_nebB66FDBDD_6993_4273_BFF5_75DA4BFB95F8"/>
      <w:r>
        <w:rPr>
          <w:rFonts w:hint="default" w:ascii="Times New Roman" w:hAnsi="Times New Roman" w:eastAsia="Times New Roman"/>
          <w:color w:val="000000"/>
          <w:sz w:val="20"/>
          <w:szCs w:val="24"/>
        </w:rPr>
        <w:t>Qiu, X., et al., Single-cell mRNA quantification and differential analysis with Census. Nat Methods, 2017. 14(3): p. 309-315.</w:t>
      </w:r>
      <w:bookmarkEnd w:id="11"/>
    </w:p>
    <w:p>
      <w:pPr>
        <w:spacing w:beforeLines="0" w:afterLines="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12" w:name="_neb70F4C2C5_EA3E_45F4_9DE9_963917C931E0"/>
      <w:r>
        <w:rPr>
          <w:rFonts w:hint="default" w:ascii="Times New Roman" w:hAnsi="Times New Roman" w:eastAsia="Times New Roman"/>
          <w:color w:val="000000"/>
          <w:sz w:val="20"/>
          <w:szCs w:val="24"/>
        </w:rPr>
        <w:t>Zhang, Y., et al., CellCall: integrating paired ligand-receptor and transcription factor activities  for cell-cell communication. Nucleic Acids Res, 2021. 49(15): p. 8520-8534.</w:t>
      </w:r>
      <w:bookmarkEnd w:id="12"/>
    </w:p>
    <w:p>
      <w:pPr>
        <w:spacing w:beforeLines="0" w:afterLines="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13" w:name="_nebAA964F67_A242_41B7_BBCD_79560A9AC74E"/>
      <w:r>
        <w:rPr>
          <w:rFonts w:hint="default" w:ascii="Times New Roman" w:hAnsi="Times New Roman" w:eastAsia="Times New Roman"/>
          <w:color w:val="000000"/>
          <w:sz w:val="20"/>
          <w:szCs w:val="24"/>
        </w:rPr>
        <w:t>Tirosh, I., et al., Single-cell RNA-seq supports a developmental hierarchy in human oligodendroglioma. Nature, 2016. 539(7628): p. 309-313.</w:t>
      </w:r>
      <w:bookmarkEnd w:id="13"/>
    </w:p>
    <w:p>
      <w:pPr>
        <w:spacing w:beforeLines="0" w:afterLines="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14" w:name="_neb89E02F4C_2E78_4448_979E_7433A88C393E"/>
      <w:r>
        <w:rPr>
          <w:rFonts w:hint="default" w:ascii="Times New Roman" w:hAnsi="Times New Roman" w:eastAsia="Times New Roman"/>
          <w:color w:val="000000"/>
          <w:sz w:val="20"/>
          <w:szCs w:val="24"/>
        </w:rPr>
        <w:t>Pope, S.D. and R. Medzhitov, Emerging Principles of Gene Expression Programs and Their Regulation. Mol Cell, 2018. 71(3): p. 389-397.</w:t>
      </w:r>
      <w:bookmarkEnd w:id="14"/>
    </w:p>
    <w:p>
      <w:pPr>
        <w:rPr>
          <w:rFonts w:hint="default" w:ascii="Times New Roman" w:hAnsi="Times New Roman" w:eastAsia="宋体" w:cs="Times New Roman"/>
          <w:sz w:val="24"/>
          <w:szCs w:val="28"/>
        </w:rPr>
      </w:pPr>
      <w:r>
        <w:rPr>
          <w:rFonts w:hint="default" w:ascii="Times New Roman" w:hAnsi="Times New Roman" w:eastAsia="宋体" w:cs="Times New Roman"/>
          <w:sz w:val="24"/>
          <w:szCs w:val="28"/>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Njc2NGQzZTcyYzQ2YmQ5M2U3MDA5ZDI2MGMyMWEifQ=="/>
    <w:docVar w:name="NE.Ref{08C40198-381A-438E-A273-9006A187DBBB}" w:val=" ADDIN NE.Ref.{08C40198-381A-438E-A273-9006A187DBBB}&lt;Citation&gt;&lt;Group&gt;&lt;References&gt;&lt;Item&gt;&lt;ID&gt;606&lt;/ID&gt;&lt;UID&gt;{AA964F67-A242-41B7-BBCD-79560A9AC74E}&lt;/UID&gt;&lt;Title&gt;Single-cell RNA-seq supports a developmental hierarchy in human oligodendroglioma&lt;/Title&gt;&lt;Template&gt;Journal Article&lt;/Template&gt;&lt;Star&gt;0&lt;/Star&gt;&lt;Tag&gt;0&lt;/Tag&gt;&lt;Author&gt;Tirosh, I; Venteicher, A S; Hebert, C; Escalante, L E; Patel, A P; Yizhak, K; Fisher, J M; Rodman, C; Mount, C; Filbin, M G; Neftel, C; Desai, N; Nyman, J; Izar, B; Luo, C C; Francis, J M; Patel, A A; Onozato, M L; Riggi, N; Livak, K J; Gennert, D; Satija, R; Nahed, B V; Curry, W T; Martuza, R L; Mylvaganam, R; Iafrate, A J; Frosch, M P; Golub, T R; Rivera, M N; Getz, G; Rozenblatt-Rosen, O; Cahill, D P; Monje, M; Bernstein, B E; Louis, D N; Regev, A; Suva, M L&lt;/Author&gt;&lt;Year&gt;2016&lt;/Year&gt;&lt;Details&gt;&lt;_accession_num&gt;27806376&lt;/_accession_num&gt;&lt;_author_adr&gt;Broad Institute of Harvard and MIT, Cambridge, Massachusetts 02142, USA.; Broad Institute of Harvard and MIT, Cambridge, Massachusetts 02142, USA.; Department of Pathology and Center for Cancer Research, Massachusetts General Hospital and Harvard Medical School, Boston, Massachusetts 02114, USA.; Department of Neurosurgery,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Department of Neurosurgery,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Departments of Neurology, Neurosurgery, Pediatrics and Pathology, Stanford University School of Medicine, Stanford, California 94305, USA.; Broad Institute of Harvard and MIT, Cambridge, Massachusetts 02142, USA.; Department of Pathology and Center for Cancer Research, Massachusetts General Hospital and Harvard Medical School, Boston, Massachusetts 02114, USA.; Department of Pediatric Oncology, Dana-Farber Cancer Institute and Children&amp;apos;s Hospital Cancer Center, Boston, Massachusetts 02215, USA.; Broad Institute of Harvard and MIT, Cambridge, Massachusetts 02142,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Medical Oncology, Dana-Farber Cancer Institute, Boston, Massachusetts 02215,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Broad Institute of Harvard and MIT, Cambridge, Massachusetts 02142, USA.; Department of Neurosurgery, Massachusetts General Hospital and Harvard Medical School, Boston, Massachusetts 02114, USA.; Department of Neurosurgery, Massachusetts General Hospital and Harvard Medical School, Boston, Massachusetts 02114, USA.; Department of Neurosurgery,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Department of Pediatric Oncology, Dana-Farber Cancer Institute and Children&amp;apos;s Hospital Cancer Center, Boston, Massachusetts 02215, USA.; Howard Hughes Medical Institute, Koch Institute, Department of Biology, MIT, Cambridge, Massachusetts 02139,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Neurosurgery, Massachusetts General Hospital and Harvard Medical School, Boston, Massachusetts 02114, USA.; Departments of Neurology, Neurosurgery, Pediatrics and Pathology, Stanford University School of Medicine, Stanford, California 94305, USA.; Broad Institute of Harvard and MIT, Cambridge, Massachusetts 02142,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Howard Hughes Medical Institute, Koch Institute, Department of Biology, MIT, Cambridge, Massachusetts 02139, USA.; Broad Institute of Harvard and MIT, Cambridge, Massachusetts 02142, USA.; Department of Pathology and Center for Cancer Research, Massachusetts General Hospital and Harvard Medical School, Boston, Massachusetts 02114, USA.&lt;/_author_adr&gt;&lt;_date_display&gt;2016 Nov 10&lt;/_date_display&gt;&lt;_date&gt;2016-11-10&lt;/_date&gt;&lt;_doi&gt;10.1038/nature20123&lt;/_doi&gt;&lt;_isbn&gt;1476-4687 (Electronic); 0028-0836 (Linking)&lt;/_isbn&gt;&lt;_issue&gt;7628&lt;/_issue&gt;&lt;_journal&gt;Nature&lt;/_journal&gt;&lt;_language&gt;eng&lt;/_language&gt;&lt;_pages&gt;309-313&lt;/_pages&gt;&lt;_subject_headings&gt;Cell Differentiation; Cell Proliferation; DNA Copy Number Variations/genetics; Humans; Isocitrate Dehydrogenase/genetics; Neoplastic Stem Cells/metabolism/*pathology; Neural Stem Cells/metabolism/pathology; Neuroglia/metabolism/pathology; Oligodendroglioma/*genetics/*pathology; Phylogeny; Point Mutation; *Sequence Analysis, RNA; *Single-Cell Analysis&lt;/_subject_headings&gt;&lt;_tertiary_title&gt;Nature&lt;/_tertiary_title&gt;&lt;_type_work&gt;Journal Article; Research Support, N.I.H., Extramural; Research Support, Non-U.S. Gov&amp;apos;t&lt;/_type_work&gt;&lt;_url&gt;http://www.ncbi.nlm.nih.gov/entrez/query.fcgi?cmd=Retrieve&amp;amp;db=pubmed&amp;amp;dopt=Abstract&amp;amp;list_uids=27806376&amp;amp;query_hl=1&lt;/_url&gt;&lt;_volume&gt;539&lt;/_volume&gt;&lt;_created&gt;64573015&lt;/_created&gt;&lt;_modified&gt;64573015&lt;/_modified&gt;&lt;_db_updated&gt;PubMed&lt;/_db_updated&gt;&lt;_impact_factor&gt;  49.962&lt;/_impact_factor&gt;&lt;_collection_scope&gt;SCI;SCIE&lt;/_collection_scope&gt;&lt;/Details&gt;&lt;Extra&gt;&lt;DBUID&gt;{F96A950B-833F-4880-A151-76DA2D6A2879}&lt;/DBUID&gt;&lt;/Extra&gt;&lt;/Item&gt;&lt;/References&gt;&lt;/Group&gt;&lt;/Citation&gt;_x000a_"/>
    <w:docVar w:name="NE.Ref{16B16F94-DCB0-49BB-8402-C4AB7FC622BE}" w:val=" ADDIN NE.Ref.{16B16F94-DCB0-49BB-8402-C4AB7FC622BE}&lt;Citation&gt;&lt;Group&gt;&lt;References&gt;&lt;Item&gt;&lt;ID&gt;601&lt;/ID&gt;&lt;UID&gt;{739CAA3A-FA44-4CED-9C0C-3D81D91E1149}&lt;/UID&gt;&lt;Title&gt;SLICE: determining cell differentiation and lineage based on single cell entropy&lt;/Title&gt;&lt;Template&gt;Journal Article&lt;/Template&gt;&lt;Star&gt;0&lt;/Star&gt;&lt;Tag&gt;0&lt;/Tag&gt;&lt;Author&gt;Guo, M; Bao, E L; Wagner, M; Whitsett, J A; Xu, Y&lt;/Author&gt;&lt;Year&gt;2017&lt;/Year&gt;&lt;Details&gt;&lt;_accession_num&gt;27998929&lt;/_accession_num&gt;&lt;_author_adr&gt;The Perinatal Institute, Section of Neonatology, Perinatal and Pulmonary Biology, Cincinnati Children&amp;apos;s Hospital Medical Center, Cincinnati, OH 45229, USA.; Harvard Medical School, Boston, MA 02115, USA.; Division of Biomedical Informatics, Cincinnati Children&amp;apos;s Hospital Medical Center, Cincinnati, OH 45229, USA.; The Perinatal Institute, Section of Neonatology, Perinatal and Pulmonary Biology, Cincinnati Children&amp;apos;s Hospital Medical Center, Cincinnati, OH 45229, USA.; The Perinatal Institute, Section of Neonatology, Perinatal and Pulmonary Biology, Cincinnati Children&amp;apos;s Hospital Medical Center, Cincinnati, OH 45229, USA.; Division of Biomedical Informatics, Cincinnati Children&amp;apos;s Hospital Medical Center, Cincinnati, OH 45229, USA.&lt;/_author_adr&gt;&lt;_date_display&gt;2017 Apr 20&lt;/_date_display&gt;&lt;_date&gt;2017-04-20&lt;/_date&gt;&lt;_doi&gt;10.1093/nar/gkw1278&lt;/_doi&gt;&lt;_isbn&gt;1362-4962 (Electronic); 0305-1048 (Linking)&lt;/_isbn&gt;&lt;_issue&gt;7&lt;/_issue&gt;&lt;_journal&gt;Nucleic Acids Res&lt;/_journal&gt;&lt;_language&gt;eng&lt;/_language&gt;&lt;_ori_publication&gt;(c) The Author(s) 2016. Published by Oxford University Press on behalf of Nucleic_x000d__x000a_      Acids Research.&lt;/_ori_publication&gt;&lt;_pages&gt;e54&lt;/_pages&gt;&lt;_subject_headings&gt;*Algorithms; Alveolar Epithelial Cells/cytology; Animals; Cell Differentiation/*genetics; Cell Lineage/*genetics; Embryo, Mammalian/cytology; Embryonic Development; Fibroblasts/cytology; *Gene Expression Profiling; Humans; Lung/cytology/embryology; Mice; Myoblasts, Skeletal/cytology; *Sequence Analysis, RNA; Single-Cell Analysis&lt;/_subject_headings&gt;&lt;_tertiary_title&gt;Nucleic acids research&lt;/_tertiary_title&gt;&lt;_type_work&gt;Journal Article; Research Support, N.I.H., Extramural&lt;/_type_work&gt;&lt;_url&gt;http://www.ncbi.nlm.nih.gov/entrez/query.fcgi?cmd=Retrieve&amp;amp;db=pubmed&amp;amp;dopt=Abstract&amp;amp;list_uids=27998929&amp;amp;query_hl=1&lt;/_url&gt;&lt;_volume&gt;45&lt;/_volume&gt;&lt;_created&gt;64573011&lt;/_created&gt;&lt;_modified&gt;64573011&lt;/_modified&gt;&lt;_db_updated&gt;PubMed&lt;/_db_updated&gt;&lt;_impact_factor&gt;  16.971&lt;/_impact_factor&gt;&lt;_collection_scope&gt;SCI;SCIE&lt;/_collection_scope&gt;&lt;/Details&gt;&lt;Extra&gt;&lt;DBUID&gt;{F96A950B-833F-4880-A151-76DA2D6A2879}&lt;/DBUID&gt;&lt;/Extra&gt;&lt;/Item&gt;&lt;/References&gt;&lt;/Group&gt;&lt;/Citation&gt;_x000a_"/>
    <w:docVar w:name="NE.Ref{175378CC-3CEC-4536-8E52-0CC1D30B46AE}" w:val=" ADDIN NE.Ref.{175378CC-3CEC-4536-8E52-0CC1D30B46AE}&lt;Citation&gt;&lt;Group&gt;&lt;References&gt;&lt;Item&gt;&lt;ID&gt;604&lt;/ID&gt;&lt;UID&gt;{B66FDBDD-6993-4273-BFF5-75DA4BFB95F8}&lt;/UID&gt;&lt;Title&gt;Single-cell mRNA quantification and differential analysis with Census&lt;/Title&gt;&lt;Template&gt;Journal Article&lt;/Template&gt;&lt;Star&gt;0&lt;/Star&gt;&lt;Tag&gt;0&lt;/Tag&gt;&lt;Author&gt;Qiu, X; Hill, A; Packer, J; Lin, D; Ma, Y A; Trapnell, C&lt;/Author&gt;&lt;Year&gt;2017&lt;/Year&gt;&lt;Details&gt;&lt;_accession_num&gt;28114287&lt;/_accession_num&gt;&lt;_author_adr&gt;Department of Genome Sciences, University of Washington, Seattle, Washington, USA.; Molecular and Cellular Biology Program, University of Washington, Seattle, Washington, USA.; Department of Genome Sciences, University of Washington, Seattle, Washington, USA.; Department of Genome Sciences, University of Washington, Seattle, Washington, USA.; Department of Genome Sciences, University of Washington, Seattle, Washington, USA.; Department of Applied Mathematics, University of Washington, Seattle, Washington, USA.; Department of Genome Sciences, University of Washington, Seattle, Washington, USA.; Molecular and Cellular Biology Program, University of Washington, Seattle, Washington, USA.&lt;/_author_adr&gt;&lt;_date_display&gt;2017 Mar&lt;/_date_display&gt;&lt;_date&gt;2017-03-01&lt;/_date&gt;&lt;_doi&gt;10.1038/nmeth.4150&lt;/_doi&gt;&lt;_isbn&gt;1548-7105 (Electronic); 1548-7091 (Linking)&lt;/_isbn&gt;&lt;_issue&gt;3&lt;/_issue&gt;&lt;_journal&gt;Nat Methods&lt;/_journal&gt;&lt;_language&gt;eng&lt;/_language&gt;&lt;_pages&gt;309-315&lt;/_pages&gt;&lt;_subject_headings&gt;Algorithms; Gene Expression Profiling/*methods; Gene Expression Regulation; High-Throughput Nucleotide Sequencing/*methods; RNA/*genetics; Sequence Analysis, RNA/*methods; Single-Cell Analysis/*methods; Transcriptome/genetics&lt;/_subject_headings&gt;&lt;_tertiary_title&gt;Nature methods&lt;/_tertiary_title&gt;&lt;_type_work&gt;Journal Article; Research Support, N.I.H., Extramural; Research Support, Non-U.S. Gov&amp;apos;t; Research Support, U.S. Gov&amp;apos;t, Non-P.H.S.&lt;/_type_work&gt;&lt;_url&gt;http://www.ncbi.nlm.nih.gov/entrez/query.fcgi?cmd=Retrieve&amp;amp;db=pubmed&amp;amp;dopt=Abstract&amp;amp;list_uids=28114287&amp;amp;query_hl=1&lt;/_url&gt;&lt;_volume&gt;14&lt;/_volume&gt;&lt;_created&gt;64573014&lt;/_created&gt;&lt;_modified&gt;64573014&lt;/_modified&gt;&lt;_db_updated&gt;PubMed&lt;/_db_updated&gt;&lt;_impact_factor&gt;  28.547&lt;/_impact_factor&gt;&lt;_collection_scope&gt;SCI;SCIE&lt;/_collection_scope&gt;&lt;/Details&gt;&lt;Extra&gt;&lt;DBUID&gt;{F96A950B-833F-4880-A151-76DA2D6A2879}&lt;/DBUID&gt;&lt;/Extra&gt;&lt;/Item&gt;&lt;/References&gt;&lt;/Group&gt;&lt;/Citation&gt;_x000a_"/>
    <w:docVar w:name="NE.Ref{3726FB4A-2559-43D8-BBD0-0663DAC44EB7}" w:val=" ADDIN NE.Ref.{3726FB4A-2559-43D8-BBD0-0663DAC44EB7}&lt;Citation&gt;&lt;Group&gt;&lt;References&gt;&lt;Item&gt;&lt;ID&gt;606&lt;/ID&gt;&lt;UID&gt;{AA964F67-A242-41B7-BBCD-79560A9AC74E}&lt;/UID&gt;&lt;Title&gt;Single-cell RNA-seq supports a developmental hierarchy in human oligodendroglioma&lt;/Title&gt;&lt;Template&gt;Journal Article&lt;/Template&gt;&lt;Star&gt;0&lt;/Star&gt;&lt;Tag&gt;0&lt;/Tag&gt;&lt;Author&gt;Tirosh, I; Venteicher, A S; Hebert, C; Escalante, L E; Patel, A P; Yizhak, K; Fisher, J M; Rodman, C; Mount, C; Filbin, M G; Neftel, C; Desai, N; Nyman, J; Izar, B; Luo, C C; Francis, J M; Patel, A A; Onozato, M L; Riggi, N; Livak, K J; Gennert, D; Satija, R; Nahed, B V; Curry, W T; Martuza, R L; Mylvaganam, R; Iafrate, A J; Frosch, M P; Golub, T R; Rivera, M N; Getz, G; Rozenblatt-Rosen, O; Cahill, D P; Monje, M; Bernstein, B E; Louis, D N; Regev, A; Suva, M L&lt;/Author&gt;&lt;Year&gt;2016&lt;/Year&gt;&lt;Details&gt;&lt;_accession_num&gt;27806376&lt;/_accession_num&gt;&lt;_author_adr&gt;Broad Institute of Harvard and MIT, Cambridge, Massachusetts 02142, USA.; Broad Institute of Harvard and MIT, Cambridge, Massachusetts 02142, USA.; Department of Pathology and Center for Cancer Research, Massachusetts General Hospital and Harvard Medical School, Boston, Massachusetts 02114, USA.; Department of Neurosurgery,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Department of Neurosurgery,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Departments of Neurology, Neurosurgery, Pediatrics and Pathology, Stanford University School of Medicine, Stanford, California 94305, USA.; Broad Institute of Harvard and MIT, Cambridge, Massachusetts 02142, USA.; Department of Pathology and Center for Cancer Research, Massachusetts General Hospital and Harvard Medical School, Boston, Massachusetts 02114, USA.; Department of Pediatric Oncology, Dana-Farber Cancer Institute and Children&amp;apos;s Hospital Cancer Center, Boston, Massachusetts 02215, USA.; Broad Institute of Harvard and MIT, Cambridge, Massachusetts 02142,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Medical Oncology, Dana-Farber Cancer Institute, Boston, Massachusetts 02215,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Broad Institute of Harvard and MIT, Cambridge, Massachusetts 02142, USA.; Broad Institute of Harvard and MIT, Cambridge, Massachusetts 02142, USA.; Department of Neurosurgery, Massachusetts General Hospital and Harvard Medical School, Boston, Massachusetts 02114, USA.; Department of Neurosurgery, Massachusetts General Hospital and Harvard Medical School, Boston, Massachusetts 02114, USA.; Department of Neurosurgery,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Department of Pediatric Oncology, Dana-Farber Cancer Institute and Children&amp;apos;s Hospital Cancer Center, Boston, Massachusetts 02215, USA.; Howard Hughes Medical Institute, Koch Institute, Department of Biology, MIT, Cambridge, Massachusetts 02139,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Pathology and Center for Cancer Research, Massachusetts General Hospital and Harvard Medical School, Boston, Massachusetts 02114, USA.; Broad Institute of Harvard and MIT, Cambridge, Massachusetts 02142, USA.; Department of Neurosurgery, Massachusetts General Hospital and Harvard Medical School, Boston, Massachusetts 02114, USA.; Departments of Neurology, Neurosurgery, Pediatrics and Pathology, Stanford University School of Medicine, Stanford, California 94305, USA.; Broad Institute of Harvard and MIT, Cambridge, Massachusetts 02142, USA.; Department of Pathology and Center for Cancer Research, Massachusetts General Hospital and Harvard Medical School, Boston, Massachusetts 02114, USA.; Department of Pathology and Center for Cancer Research, Massachusetts General Hospital and Harvard Medical School, Boston, Massachusetts 02114, USA.; Broad Institute of Harvard and MIT, Cambridge, Massachusetts 02142, USA.; Howard Hughes Medical Institute, Koch Institute, Department of Biology, MIT, Cambridge, Massachusetts 02139, USA.; Broad Institute of Harvard and MIT, Cambridge, Massachusetts 02142, USA.; Department of Pathology and Center for Cancer Research, Massachusetts General Hospital and Harvard Medical School, Boston, Massachusetts 02114, USA.&lt;/_author_adr&gt;&lt;_date_display&gt;2016 Nov 10&lt;/_date_display&gt;&lt;_date&gt;2016-11-10&lt;/_date&gt;&lt;_doi&gt;10.1038/nature20123&lt;/_doi&gt;&lt;_isbn&gt;1476-4687 (Electronic); 0028-0836 (Linking)&lt;/_isbn&gt;&lt;_issue&gt;7628&lt;/_issue&gt;&lt;_journal&gt;Nature&lt;/_journal&gt;&lt;_language&gt;eng&lt;/_language&gt;&lt;_pages&gt;309-313&lt;/_pages&gt;&lt;_subject_headings&gt;Cell Differentiation; Cell Proliferation; DNA Copy Number Variations/genetics; Humans; Isocitrate Dehydrogenase/genetics; Neoplastic Stem Cells/metabolism/*pathology; Neural Stem Cells/metabolism/pathology; Neuroglia/metabolism/pathology; Oligodendroglioma/*genetics/*pathology; Phylogeny; Point Mutation; *Sequence Analysis, RNA; *Single-Cell Analysis&lt;/_subject_headings&gt;&lt;_tertiary_title&gt;Nature&lt;/_tertiary_title&gt;&lt;_type_work&gt;Journal Article; Research Support, N.I.H., Extramural; Research Support, Non-U.S. Gov&amp;apos;t&lt;/_type_work&gt;&lt;_url&gt;http://www.ncbi.nlm.nih.gov/entrez/query.fcgi?cmd=Retrieve&amp;amp;db=pubmed&amp;amp;dopt=Abstract&amp;amp;list_uids=27806376&amp;amp;query_hl=1&lt;/_url&gt;&lt;_volume&gt;539&lt;/_volume&gt;&lt;_created&gt;64573015&lt;/_created&gt;&lt;_modified&gt;64573015&lt;/_modified&gt;&lt;_db_updated&gt;PubMed&lt;/_db_updated&gt;&lt;_impact_factor&gt;  49.962&lt;/_impact_factor&gt;&lt;_collection_scope&gt;SCI;SCIE&lt;/_collection_scope&gt;&lt;/Details&gt;&lt;Extra&gt;&lt;DBUID&gt;{F96A950B-833F-4880-A151-76DA2D6A2879}&lt;/DBUID&gt;&lt;/Extra&gt;&lt;/Item&gt;&lt;/References&gt;&lt;/Group&gt;&lt;/Citation&gt;_x000a_"/>
    <w:docVar w:name="NE.Ref{3DBCF2DF-087C-4672-801D-654C0A1643BB}" w:val=" ADDIN NE.Ref.{3DBCF2DF-087C-4672-801D-654C0A1643BB}&lt;Citation&gt;&lt;Group&gt;&lt;References&gt;&lt;Item&gt;&lt;ID&gt;600&lt;/ID&gt;&lt;UID&gt;{D96A47F7-9645-40EC-8DE2-513963B070B3}&lt;/UID&gt;&lt;Title&gt;Generalizing RNA velocity to transient cell states through dynamical modeling&lt;/Title&gt;&lt;Template&gt;Journal Article&lt;/Template&gt;&lt;Star&gt;0&lt;/Star&gt;&lt;Tag&gt;0&lt;/Tag&gt;&lt;Author&gt;Bergen, V; Lange, M; Peidli, S; Wolf, F A; Theis, F J&lt;/Author&gt;&lt;Year&gt;2020&lt;/Year&gt;&lt;Details&gt;&lt;_accession_num&gt;32747759&lt;/_accession_num&gt;&lt;_author_adr&gt;Institute of Computational Biology, Helmholtz Center Munich, Munich, Germany.; Department of Mathematics, Technical University of Munich, Munich, Germany.; Institute of Computational Biology, Helmholtz Center Munich, Munich, Germany.; Department of Mathematics, Technical University of Munich, Munich, Germany.; Department of Mathematics, Technical University of Munich, Munich, Germany.; Institute of Computational Biology, Helmholtz Center Munich, Munich, Germany. alex.wolf@helmholtz-muenchen.de.; Institute of Computational Biology, Helmholtz Center Munich, Munich, Germany. fabian.theis@helmholtz-muenchen.de.; Department of Mathematics, Technical University of Munich, Munich, Germany. fabian.theis@helmholtz-muenchen.de.&lt;/_author_adr&gt;&lt;_date_display&gt;2020 Dec&lt;/_date_display&gt;&lt;_date&gt;2020-12-01&lt;/_date&gt;&lt;_doi&gt;10.1038/s41587-020-0591-3&lt;/_doi&gt;&lt;_isbn&gt;1546-1696 (Electronic); 1087-0156 (Linking)&lt;/_isbn&gt;&lt;_issue&gt;12&lt;/_issue&gt;&lt;_journal&gt;Nat Biotechnol&lt;/_journal&gt;&lt;_language&gt;eng&lt;/_language&gt;&lt;_pages&gt;1408-1414&lt;/_pages&gt;&lt;_subject_headings&gt;Animals; Cell Cycle; Cell Lineage; Dentate Gyrus/metabolism; Endocrine System/metabolism; Humans; Kinetics; Mice; *Models, Genetic; Neurogenesis/genetics; RNA/*genetics; RNA Splicing/genetics; Single-Cell Analysis; Stem Cells/metabolism; Stochastic Processes; Transcription, Genetic&lt;/_subject_headings&gt;&lt;_tertiary_title&gt;Nature biotechnology&lt;/_tertiary_title&gt;&lt;_type_work&gt;Journal Article; Research Support, Non-U.S. Gov&amp;apos;t&lt;/_type_work&gt;&lt;_url&gt;http://www.ncbi.nlm.nih.gov/entrez/query.fcgi?cmd=Retrieve&amp;amp;db=pubmed&amp;amp;dopt=Abstract&amp;amp;list_uids=32747759&amp;amp;query_hl=1&lt;/_url&gt;&lt;_volume&gt;38&lt;/_volume&gt;&lt;_created&gt;64573006&lt;/_created&gt;&lt;_modified&gt;64573006&lt;/_modified&gt;&lt;_db_updated&gt;PubMed&lt;/_db_updated&gt;&lt;_impact_factor&gt;  54.908&lt;/_impact_factor&gt;&lt;_collection_scope&gt;SCI;SCIE;EI&lt;/_collection_scope&gt;&lt;/Details&gt;&lt;Extra&gt;&lt;DBUID&gt;{F96A950B-833F-4880-A151-76DA2D6A2879}&lt;/DBUID&gt;&lt;/Extra&gt;&lt;/Item&gt;&lt;/References&gt;&lt;/Group&gt;&lt;/Citation&gt;_x000a_"/>
    <w:docVar w:name="NE.Ref{5FF0C1E4-115F-4015-8154-B0F6309E0B18}" w:val=" ADDIN NE.Ref.{5FF0C1E4-115F-4015-8154-B0F6309E0B18} ADDIN NE.Ref.{5FF0C1E4-115F-4015-8154-B0F6309E0B18}&lt;Citation&gt;&lt;Group&gt;&lt;References&gt;&lt;Item&gt;&lt;ID&gt;896&lt;/ID&gt;&lt;UID&gt;{04DBBF89-F479-4148-B169-38B0F71C175A}&lt;/UID&gt;&lt;Title&gt;Systematic and integrative analysis of large gene lists using DAVID bioinformatics resources&lt;/Title&gt;&lt;Template&gt;Journal Article&lt;/Template&gt;&lt;Star&gt;0&lt;/Star&gt;&lt;Tag&gt;0&lt;/Tag&gt;&lt;Author&gt;Huang, Da W; Sherman, B T; Lempicki, R A&lt;/Author&gt;&lt;Year&gt;2009&lt;/Year&gt;&lt;Details&gt;&lt;_accession_num&gt;19131956&lt;/_accession_num&gt;&lt;_author_adr&gt;Laboratory of Immunopathogenesis and Bioinformatics, Clinical Services Program, SAIC-Frederick Inc., National Cancer Institute at Frederick, Frederick, Maryland  21702, USA.&lt;/_author_adr&gt;&lt;_collection_scope&gt;SCIE&lt;/_collection_scope&gt;&lt;_created&gt;63366380&lt;/_created&gt;&lt;_date&gt;2009-01-20&lt;/_date&gt;&lt;_date_display&gt;2009&lt;/_date_display&gt;&lt;_db_updated&gt;PubMed&lt;/_db_updated&gt;&lt;_doi&gt;10.1038/nprot.2008.211&lt;/_doi&gt;&lt;_impact_factor&gt;  10.419&lt;/_impact_factor&gt;&lt;_isbn&gt;1750-2799 (Electronic); 1750-2799 (Linking)&lt;/_isbn&gt;&lt;_issue&gt;1&lt;/_issue&gt;&lt;_journal&gt;Nat Protoc&lt;/_journal&gt;&lt;_language&gt;eng&lt;/_language&gt;&lt;_modified&gt;63366380&lt;/_modified&gt;&lt;_pages&gt;44-57&lt;/_pages&gt;&lt;_subject_headings&gt;Computational Biology/*methods; Data Interpretation, Statistical; Genes/*genetics; Genomics/*methods; *Internet; *Software&lt;/_subject_headings&gt;&lt;_tertiary_title&gt;Nature protocols&lt;/_tertiary_title&gt;&lt;_type_work&gt;Journal Article; Research Support, N.I.H., Extramural&lt;/_type_work&gt;&lt;_url&gt;http://www.ncbi.nlm.nih.gov/entrez/query.fcgi?cmd=Retrieve&amp;amp;db=pubmed&amp;amp;dopt=Abstract&amp;amp;list_uids=19131956&amp;amp;query_hl=1&lt;/_url&gt;&lt;_volume&gt;4&lt;/_volume&gt;&lt;/Details&gt;&lt;Extra&gt;&lt;DBUID&gt;{F96A950B-833F-4880-A151-76DA2D6A2879}&lt;/DBUID&gt;&lt;/Extra&gt;&lt;/Item&gt;&lt;/References&gt;&lt;/Group&gt;&lt;/Citation&gt;_x000a_"/>
    <w:docVar w:name="NE.Ref{6681C9D9-7753-41C3-95FF-63143AA13AEF}" w:val=" ADDIN NE.Ref.{6681C9D9-7753-41C3-95FF-63143AA13AEF}&lt;Citation&gt;&lt;Group&gt;&lt;References&gt;&lt;Item&gt;&lt;ID&gt;599&lt;/ID&gt;&lt;UID&gt;{8DC3AF67-8271-4035-9E23-437931DC02A3}&lt;/UID&gt;&lt;Title&gt;RNA velocity of single cells&lt;/Title&gt;&lt;Template&gt;Journal Article&lt;/Template&gt;&lt;Star&gt;0&lt;/Star&gt;&lt;Tag&gt;0&lt;/Tag&gt;&lt;Author&gt;La Manno, G; Soldatov, R; Zeisel, A; Braun, E; Hochgerner, H; Petukhov, V; Lidschreiber, K; Kastriti, M E; Lonnerberg, P; Furlan, A; Fan, J; Borm, L E; Liu, Z; van Bruggen, D; Guo, J; He, X; Barker, R; Sundstrom, E; Castelo-Branco, G; Cramer, P; Adameyko, I; Linnarsson, S; Kharchenko, P V&lt;/Author&gt;&lt;Year&gt;2018&lt;/Year&gt;&lt;Details&gt;&lt;_accession_num&gt;30089906&lt;/_accession_num&gt;&lt;_author_adr&gt;Laboratory of Molecular Neurobiology, Department of Medical Biochemistry and Biophysics, Karolinska Institutet, Stockholm, Sweden.; Science for Life Laboratory, Solna, Sweden.; Department of Biomedical Informatics, Harvard Medical School, Boston, MA, USA.; Laboratory of Molecular Neurobiology, Department of Medical Biochemistry and Biophysics, Karolinska Institutet, Stockholm, Sweden.; Science for Life Laboratory, Solna, Sweden.; Laboratory of Molecular Neurobiology, Department of Medical Biochemistry and Biophysics, Karolinska Institutet, Stockholm, Sweden.; Science for Life Laboratory, Solna, Sweden.; Laboratory of Molecular Neurobiology, Department of Medical Biochemistry and Biophysics, Karolinska Institutet, Stockholm, Sweden.; Science for Life Laboratory, Solna, Sweden.; Department of Biomedical Informatics, Harvard Medical School, Boston, MA, USA.; Department of Applied Mathematics, Peter The Great St. Petersburg Polytechnic University, St, Petersburg, Russia.; Department of Biosciences and Nutrition, Karolinska Institutet, Stockholm, Sweden.; Department of Physiology and Pharmacology, Karolinska Institutet, Stockholm, Sweden.; Laboratory of Molecular Neurobiology, Department of Medical Biochemistry and Biophysics, Karolinska Institutet, Stockholm, Sweden.; Science for Life Laboratory, Solna, Sweden.; Laboratory of Molecular Neurobiology, Department of Medical Biochemistry and Biophysics, Karolinska Institutet, Stockholm, Sweden.; Department of Biomedical Informatics, Harvard Medical School, Boston, MA, USA.; Laboratory of Molecular Neurobiology, Department of Medical Biochemistry and Biophysics, Karolinska Institutet, Stockholm, Sweden.; Science for Life Laboratory, Solna, Sweden.; Department of Biomedical Informatics, Harvard Medical School, Boston, MA, USA.; Laboratory of Molecular Neurobiology, Department of Medical Biochemistry and Biophysics, Karolinska Institutet, Stockholm, Sweden.; Department of Biomedical Informatics, Harvard Medical School, Boston, MA, USA.; John van Geest Centre for Brain Repair, Department of Clinical Neurosciences, University of Cambridge, Cambridge, UK.; John van Geest Centre for Brain Repair, Department of Clinical Neurosciences, University of Cambridge, Cambridge, UK.; Division of Neurodegeneration, Department of Neurobiology, Care Sciences and Society, Karolinska Institutet, Stockholm, Sweden.; Laboratory of Molecular Neurobiology, Department of Medical Biochemistry and Biophysics, Karolinska Institutet, Stockholm, Sweden.; Department of Biosciences and Nutrition, Karolinska Institutet, Stockholm, Sweden.; Max Planck Institute for Biophysical Chemistry, Department of Molecular Biology,  Gottingen, Germany.; Department of Physiology and Pharmacology, Karolinska Institutet, Stockholm, Sweden.; Laboratory of Molecular Neurobiology, Department of Medical Biochemistry and Biophysics, Karolinska Institutet, Stockholm, Sweden. sten.linnarsson@ki.se.; Science for Life Laboratory, Solna, Sweden. sten.linnarsson@ki.se.; Department of Biomedical Informatics, Harvard Medical School, Boston, MA, USA. peter_kharchenko@hms.harvard.edu.; Harvard Stem Cell Institute, Cambridge, MA, USA. peter_kharchenko@hms.harvard.edu.&lt;/_author_adr&gt;&lt;_date_display&gt;2018 Aug&lt;/_date_display&gt;&lt;_date&gt;2018-08-01&lt;/_date&gt;&lt;_doi&gt;10.1038/s41586-018-0414-6&lt;/_doi&gt;&lt;_isbn&gt;1476-4687 (Electronic); 0028-0836 (Linking)&lt;/_isbn&gt;&lt;_issue&gt;7719&lt;/_issue&gt;&lt;_journal&gt;Nature&lt;/_journal&gt;&lt;_language&gt;eng&lt;/_language&gt;&lt;_pages&gt;494-498&lt;/_pages&gt;&lt;_subject_headings&gt;Animals; Brain/*cytology/embryology/metabolism; Cell Lineage/genetics; Chromaffin Cells/cytology/metabolism; Datasets as Topic; Female; Glutamic Acid/metabolism; Hippocampus/cytology/embryology/metabolism; Kinetics; Male; Mice; Neural Crest/cytology/*metabolism; Neurons/*cytology/metabolism; RNA/*analysis/*genetics; RNA Splicing/*genetics; Reproducibility of Results; *Sequence Analysis, RNA; *Single-Cell Analysis; Time Factors; Transcription, Genetic/genetics&lt;/_subject_headings&gt;&lt;_tertiary_title&gt;Nature&lt;/_tertiary_title&gt;&lt;_type_work&gt;Journal Article; Research Support, N.I.H., Extramural; Research Support, Non-U.S. Gov&amp;apos;t; Research Support, U.S. Gov&amp;apos;t, Non-P.H.S.; Validation Study&lt;/_type_work&gt;&lt;_url&gt;http://www.ncbi.nlm.nih.gov/entrez/query.fcgi?cmd=Retrieve&amp;amp;db=pubmed&amp;amp;dopt=Abstract&amp;amp;list_uids=30089906&amp;amp;query_hl=1&lt;/_url&gt;&lt;_volume&gt;560&lt;/_volume&gt;&lt;_created&gt;64573005&lt;/_created&gt;&lt;_modified&gt;64573005&lt;/_modified&gt;&lt;_db_updated&gt;PubMed&lt;/_db_updated&gt;&lt;_impact_factor&gt;  49.962&lt;/_impact_factor&gt;&lt;_collection_scope&gt;SCI;SCIE&lt;/_collection_scope&gt;&lt;/Details&gt;&lt;Extra&gt;&lt;DBUID&gt;{F96A950B-833F-4880-A151-76DA2D6A2879}&lt;/DBUID&gt;&lt;/Extra&gt;&lt;/Item&gt;&lt;/References&gt;&lt;/Group&gt;&lt;/Citation&gt;_x000a_"/>
    <w:docVar w:name="NE.Ref{776C509F-FDE3-4E57-866D-15B865F6C6BF}" w:val=" ADDIN NE.Ref.{776C509F-FDE3-4E57-866D-15B865F6C6BF} ADDIN NE.Ref.{776C509F-FDE3-4E57-866D-15B865F6C6BF}&lt;Citation&gt;&lt;Group&gt;&lt;References&gt;&lt;Item&gt;&lt;ID&gt;895&lt;/ID&gt;&lt;UID&gt;{B6D2EEE6-B21E-4460-95BD-B3F359021195}&lt;/UID&gt;&lt;Title&gt;The Perseus computational platform for comprehensive analysis of (prote)omics data&lt;/Title&gt;&lt;Template&gt;Journal Article&lt;/Template&gt;&lt;Star&gt;0&lt;/Star&gt;&lt;Tag&gt;0&lt;/Tag&gt;&lt;Author&gt;Tyanova, S; Temu, T; Sinitcyn, P; Carlson, A; Hein, M Y; Geiger, T; Mann, M; Cox, J&lt;/Author&gt;&lt;Year&gt;2016&lt;/Year&gt;&lt;Details&gt;&lt;_accession_num&gt;27348712&lt;/_accession_num&gt;&lt;_author_adr&gt;Computational Systems Biochemistry, Max Planck Institute of Biochemistry, Martinsried, Germany.; Computational Systems Biochemistry, Max Planck Institute of Biochemistry, Martinsried, Germany.; Computational Systems Biochemistry, Max Planck Institute of Biochemistry, Martinsried, Germany.; Computational Systems Biochemistry, Max Planck Institute of Biochemistry, Martinsried, Germany.; Cellular and Molecular Pharmacology, University of California, San Francisco, San Francisco, California, USA.; Human Molecular Genetics and Biochemistry, Sackler Faculty of Medicine, Tel Aviv  University, Tel Aviv, Israel.; Proteomics and Signal Transduction, Max Planck Institute of Biochemistry, Martinsried, Germany.; Computational Systems Biochemistry, Max Planck Institute of Biochemistry, Martinsried, Germany.&lt;/_author_adr&gt;&lt;_collection_scope&gt;SCI;SCIE&lt;/_collection_scope&gt;&lt;_created&gt;63366379&lt;/_created&gt;&lt;_date&gt;2016-09-01&lt;/_date&gt;&lt;_date_display&gt;2016 Sep&lt;/_date_display&gt;&lt;_db_updated&gt;PubMed&lt;/_db_updated&gt;&lt;_doi&gt;10.1038/nmeth.3901&lt;/_doi&gt;&lt;_impact_factor&gt;  30.822&lt;/_impact_factor&gt;&lt;_isbn&gt;1548-7105 (Electronic); 1548-7091 (Linking)&lt;/_isbn&gt;&lt;_issue&gt;9&lt;/_issue&gt;&lt;_journal&gt;Nat Methods&lt;/_journal&gt;&lt;_language&gt;eng&lt;/_language&gt;&lt;_modified&gt;63366379&lt;/_modified&gt;&lt;_pages&gt;731-40&lt;/_pages&gt;&lt;_subject_headings&gt;Computational Biology/*methods; Computer Graphics; Databases, Protein; Machine Learning; Mass Spectrometry/*methods; Protein Processing, Post-Translational; Proteins/*chemistry; Proteomics/*methods; *Software; Workflow&lt;/_subject_headings&gt;&lt;_tertiary_title&gt;Nature methods&lt;/_tertiary_title&gt;&lt;_type_work&gt;Journal Article; Research Support, Non-U.S. Gov&amp;apos;t&lt;/_type_work&gt;&lt;_url&gt;http://www.ncbi.nlm.nih.gov/entrez/query.fcgi?cmd=Retrieve&amp;amp;db=pubmed&amp;amp;dopt=Abstract&amp;amp;list_uids=27348712&amp;amp;query_hl=1&lt;/_url&gt;&lt;_volume&gt;13&lt;/_volume&gt;&lt;/Details&gt;&lt;Extra&gt;&lt;DBUID&gt;{F96A950B-833F-4880-A151-76DA2D6A2879}&lt;/DBUID&gt;&lt;/Extra&gt;&lt;/Item&gt;&lt;/References&gt;&lt;/Group&gt;&lt;/Citation&gt;_x000a_"/>
    <w:docVar w:name="NE.Ref{83008E96-559E-405B-AF4F-8C43B2BB72E9}" w:val=" ADDIN NE.Ref.{83008E96-559E-405B-AF4F-8C43B2BB72E9}&lt;Citation&gt;&lt;Group&gt;&lt;References&gt;&lt;Item&gt;&lt;ID&gt;602&lt;/ID&gt;&lt;UID&gt;{B7D506D5-7BBB-4B35-ADEA-BB650BDA13D9}&lt;/UID&gt;&lt;Title&gt;GSVA: gene set variation analysis for microarray and RNA-seq data&lt;/Title&gt;&lt;Template&gt;Journal Article&lt;/Template&gt;&lt;Star&gt;0&lt;/Star&gt;&lt;Tag&gt;0&lt;/Tag&gt;&lt;Author&gt;Hanzelmann, S; Castelo, R; Guinney, J&lt;/Author&gt;&lt;Year&gt;2013&lt;/Year&gt;&lt;Details&gt;&lt;_accession_num&gt;23323831&lt;/_accession_num&gt;&lt;_author_adr&gt;Research Program on Biomedical Informatics, Hospital del Mar Medical Research Institute, Barcelona, Catalonia, Spain.&lt;/_author_adr&gt;&lt;_date_display&gt;2013 Jan 16&lt;/_date_display&gt;&lt;_date&gt;2013-01-16&lt;/_date&gt;&lt;_doi&gt;10.1186/1471-2105-14-7&lt;/_doi&gt;&lt;_isbn&gt;1471-2105 (Electronic); 1471-2105 (Linking)&lt;/_isbn&gt;&lt;_journal&gt;BMC Bioinformatics&lt;/_journal&gt;&lt;_language&gt;eng&lt;/_language&gt;&lt;_pages&gt;7&lt;/_pages&gt;&lt;_subject_headings&gt;Analysis of Variance; Female; Gene Expression Profiling/*methods; Genetic Variation; Humans; Leukemia, Biphenotypic, Acute/genetics/metabolism; Oligonucleotide Array Sequence Analysis/*methods; Ovarian Neoplasms/genetics/metabolism/mortality; Precursor Cell Lymphoblastic Leukemia-Lymphoma/genetics/metabolism; Sequence Analysis, RNA/*methods; *Software; Statistics, Nonparametric; Survival Analysis&lt;/_subject_headings&gt;&lt;_tertiary_title&gt;BMC bioinformatics&lt;/_tertiary_title&gt;&lt;_type_work&gt;Journal Article; Research Support, N.I.H., Extramural; Research Support, Non-U.S. Gov&amp;apos;t&lt;/_type_work&gt;&lt;_url&gt;http://www.ncbi.nlm.nih.gov/entrez/query.fcgi?cmd=Retrieve&amp;amp;db=pubmed&amp;amp;dopt=Abstract&amp;amp;list_uids=23323831&amp;amp;query_hl=1&lt;/_url&gt;&lt;_volume&gt;14&lt;/_volume&gt;&lt;_created&gt;64573012&lt;/_created&gt;&lt;_modified&gt;64573012&lt;/_modified&gt;&lt;_db_updated&gt;PubMed&lt;/_db_updated&gt;&lt;_impact_factor&gt;   3.169&lt;/_impact_factor&gt;&lt;_collection_scope&gt;SCIE;EI&lt;/_collection_scope&gt;&lt;/Details&gt;&lt;Extra&gt;&lt;DBUID&gt;{F96A950B-833F-4880-A151-76DA2D6A2879}&lt;/DBUID&gt;&lt;/Extra&gt;&lt;/Item&gt;&lt;/References&gt;&lt;/Group&gt;&lt;/Citation&gt;_x000a_"/>
    <w:docVar w:name="NE.Ref{870AE21F-30E8-476F-91F3-DDB0B97AA6E0}" w:val=" ADDIN NE.Ref.{870AE21F-30E8-476F-91F3-DDB0B97AA6E0}&lt;Citation&gt;&lt;Group&gt;&lt;References&gt;&lt;Item&gt;&lt;ID&gt;598&lt;/ID&gt;&lt;UID&gt;{603DA711-DA9F-4ED3-B79E-23DA2DCB07C4}&lt;/UID&gt;&lt;Title&gt;Gene set enrichment analysis: a knowledge-based approach for interpreting genome-wide expression profiles&lt;/Title&gt;&lt;Template&gt;Journal Article&lt;/Template&gt;&lt;Star&gt;0&lt;/Star&gt;&lt;Tag&gt;0&lt;/Tag&gt;&lt;Author&gt;Subramanian, A; Tamayo, P; Mootha, V K; Mukherjee, S; Ebert, B L; Gillette, M A; Paulovich, A; Pomeroy, S L; Golub, T R; Lander, E S; Mesirov, J P&lt;/Author&gt;&lt;Year&gt;2005&lt;/Year&gt;&lt;Details&gt;&lt;_accession_num&gt;16199517&lt;/_accession_num&gt;&lt;_author_adr&gt;Broad Institute of Massachusetts Institute of Technology and Harvard, 320 Charles Street, Cambridge, MA 02141, USA.&lt;/_author_adr&gt;&lt;_date_display&gt;2005 Oct 25&lt;/_date_display&gt;&lt;_date&gt;2005-10-25&lt;/_date&gt;&lt;_doi&gt;10.1073/pnas.0506580102&lt;/_doi&gt;&lt;_isbn&gt;0027-8424 (Print); 0027-8424 (Linking)&lt;/_isbn&gt;&lt;_issue&gt;43&lt;/_issue&gt;&lt;_journal&gt;Proc Natl Acad Sci U S A&lt;/_journal&gt;&lt;_language&gt;eng&lt;/_language&gt;&lt;_pages&gt;15545-50&lt;/_pages&gt;&lt;_subject_headings&gt;Cell Line, Tumor; Female; Gene Expression Profiling/*methods; Genes, p53/physiology; Genome; Humans; Leukemia, Myeloid, Acute/genetics; Lung Neoplasms/genetics/mortality; Male; *Oligonucleotide Array Sequence Analysis; Precursor Cell Lymphoblastic Leukemia-Lymphoma/genetics&lt;/_subject_headings&gt;&lt;_tertiary_title&gt;Proceedings of the National Academy of Sciences of the United States of America&lt;/_tertiary_title&gt;&lt;_type_work&gt;Journal Article&lt;/_type_work&gt;&lt;_url&gt;http://www.ncbi.nlm.nih.gov/entrez/query.fcgi?cmd=Retrieve&amp;amp;db=pubmed&amp;amp;dopt=Abstract&amp;amp;list_uids=16199517&amp;amp;query_hl=1&lt;/_url&gt;&lt;_volume&gt;102&lt;/_volume&gt;&lt;_created&gt;64573004&lt;/_created&gt;&lt;_modified&gt;64573004&lt;/_modified&gt;&lt;_db_updated&gt;PubMed&lt;/_db_updated&gt;&lt;_impact_factor&gt;  11.205&lt;/_impact_factor&gt;&lt;/Details&gt;&lt;Extra&gt;&lt;DBUID&gt;{F96A950B-833F-4880-A151-76DA2D6A2879}&lt;/DBUID&gt;&lt;/Extra&gt;&lt;/Item&gt;&lt;/References&gt;&lt;/Group&gt;&lt;/Citation&gt;_x000a_"/>
    <w:docVar w:name="NE.Ref{96173FEC-1C64-44D6-9F8F-12B50C4B6B44}" w:val=" ADDIN NE.Ref.{96173FEC-1C64-44D6-9F8F-12B50C4B6B44}&lt;Citation&gt;&lt;Group&gt;&lt;References&gt;&lt;Item&gt;&lt;ID&gt;603&lt;/ID&gt;&lt;UID&gt;{169690C3-DB0E-4BA7-9C2C-0A4C3C35EEBB}&lt;/UID&gt;&lt;Title&gt;Single-cell analyses reveal increased intratumoral heterogeneity after the onset  of therapy resistance in small-cell lung cancer&lt;/Title&gt;&lt;Template&gt;Journal Article&lt;/Template&gt;&lt;Star&gt;0&lt;/Star&gt;&lt;Tag&gt;0&lt;/Tag&gt;&lt;Author&gt;Stewart, C A; Gay, C M; Xi, Y; Sivajothi, S; Sivakamasundari, V; Fujimoto, J; Bolisetty, M; Hartsfield, P M; Balasubramaniyan, V; Chalishazar, M D; Moran, C; Kalhor, N; Stewart, J; Tran, H; Swisher, S G; Roth, J A; Zhang, J; de Groot, J; Glisson, B; Oliver, T G; Heymach, J V; Wistuba, I; Robson, P; Wang, J; Byers, L A&lt;/Author&gt;&lt;Year&gt;2020&lt;/Year&gt;&lt;Details&gt;&lt;_accession_num&gt;33521652&lt;/_accession_num&gt;&lt;_author_adr&gt;Department of Thoracic/Head and Neck Medical Oncology, The University of Texas MD Anderson Cancer Center, Houston, TX, USA.; Department of Thoracic/Head and Neck Medical Oncology, The University of Texas MD Anderson Cancer Center, Houston, TX, USA.; Department of Bioinformatics and Computational Biology, The University of Texas MD Anderson Cancer Center, Houston, TX, USA.; The Jackson Laboratory for Genomic Medicine, Farmington, CT, USA.; The Jackson Laboratory for Genomic Medicine, Farmington, CT, USA.; Department of Translational Molecular Pathology, The University of Texas MD Anderson Cancer Center, Houston, TX, USA.; The Jackson Laboratory for Genomic Medicine, Farmington, CT, USA.; Department of Thoracic/Head and Neck Medical Oncology, The University of Texas MD Anderson Cancer Center, Houston, TX, USA.; Department of Neuro-Oncology, The University of Texas MD Anderson Cancer Center,  Houston, TX, USA.; Department of Oncological Sciences, University of Utah, Huntsman Cancer Institute, Salt Lake City, UT, USA.; Department of Pathology, The University of Texas MD Anderson Cancer Center, Houston, TX, USA.; Department of Pathology, The University of Texas MD Anderson Cancer Center, Houston, TX, USA.; Department of Pathology, The University of Texas MD Anderson Cancer Center, Houston, TX, USA.; Department of Thoracic/Head and Neck Medical Oncology, The University of Texas MD Anderson Cancer Center, Houston, TX, USA.; Department of Thoracic and Cardiovascular Surgery, The University of Texas MD Anderson Cancer Center, Houston, TX, USA.; Department of Thoracic and Cardiovascular Surgery, The University of Texas MD Anderson Cancer Center, Houston, TX, USA.; Department of Thoracic/Head and Neck Medical Oncology, The University of Texas MD Anderson Cancer Center, Houston, TX, USA.; Department of Neuro-Oncology, The University of Texas MD Anderson Cancer Center,  Houston, TX, USA.; Department of Thoracic/Head and Neck Medical Oncology, The University of Texas MD Anderson Cancer Center, Houston, TX, USA.; Department of Oncological Sciences, University of Utah, Huntsman Cancer Institute, Salt Lake City, UT, USA.; Department of Thoracic/Head and Neck Medical Oncology, The University of Texas MD Anderson Cancer Center, Houston, TX, USA.; Department of Translational Molecular Pathology, The University of Texas MD Anderson Cancer Center, Houston, TX, USA.; The Jackson Laboratory for Genomic Medicine, Farmington, CT, USA.; Department of Bioinformatics and Computational Biology, The University of Texas MD Anderson Cancer Center, Houston, TX, USA.; Department of Thoracic/Head and Neck Medical Oncology, The University of Texas MD Anderson Cancer Center, Houston, TX, USA. lbyers@mdanderson.org.&lt;/_author_adr&gt;&lt;_date_display&gt;2020 Apr&lt;/_date_display&gt;&lt;_date&gt;2020-04-01&lt;/_date&gt;&lt;_doi&gt;10.1038/s43018-019-0020-z&lt;/_doi&gt;&lt;_isbn&gt;2662-1347 (Electronic); 2662-1347 (Linking)&lt;/_isbn&gt;&lt;_journal&gt;Nat Cancer&lt;/_journal&gt;&lt;_keywords&gt;*CDX; *CTC; *SCLC; *intratumoral heterogeneity; *single-cell RNAseq&lt;/_keywords&gt;&lt;_language&gt;eng&lt;/_language&gt;&lt;_pages&gt;423-436&lt;/_pages&gt;&lt;_subject_headings&gt;Humans; *Lung Neoplasms/drug therapy; Neoplasm Recurrence, Local/drug therapy; *Neoplastic Cells, Circulating/metabolism; Single-Cell Analysis; *Small Cell Lung Carcinoma/drug therapy&lt;/_subject_headings&gt;&lt;_tertiary_title&gt;Nature cancer&lt;/_tertiary_title&gt;&lt;_type_work&gt;Journal Article; Research Support, N.I.H., Extramural; Research Support, Non-U.S. Gov&amp;apos;t; Research Support, U.S. Gov&amp;apos;t, Non-P.H.S.&lt;/_type_work&gt;&lt;_url&gt;http://www.ncbi.nlm.nih.gov/entrez/query.fcgi?cmd=Retrieve&amp;amp;db=pubmed&amp;amp;dopt=Abstract&amp;amp;list_uids=33521652&amp;amp;query_hl=1&lt;/_url&gt;&lt;_volume&gt;1&lt;/_volume&gt;&lt;_created&gt;64573013&lt;/_created&gt;&lt;_modified&gt;64573013&lt;/_modified&gt;&lt;_db_updated&gt;PubMed&lt;/_db_updated&gt;&lt;/Details&gt;&lt;Extra&gt;&lt;DBUID&gt;{F96A950B-833F-4880-A151-76DA2D6A2879}&lt;/DBUID&gt;&lt;/Extra&gt;&lt;/Item&gt;&lt;/References&gt;&lt;/Group&gt;&lt;/Citation&gt;_x000a_"/>
    <w:docVar w:name="NE.Ref{CD191884-5B99-44BD-AB0E-DABFEBEA2579}" w:val=" ADDIN NE.Ref.{CD191884-5B99-44BD-AB0E-DABFEBEA2579}&lt;Citation&gt;&lt;Group&gt;&lt;References&gt;&lt;Item&gt;&lt;ID&gt;607&lt;/ID&gt;&lt;UID&gt;{89E02F4C-2E78-4448-979E-7433A88C393E}&lt;/UID&gt;&lt;Title&gt;Emerging Principles of Gene Expression Programs and Their Regulation&lt;/Title&gt;&lt;Template&gt;Journal Article&lt;/Template&gt;&lt;Star&gt;0&lt;/Star&gt;&lt;Tag&gt;0&lt;/Tag&gt;&lt;Author&gt;Pope, S D; Medzhitov, R&lt;/Author&gt;&lt;Year&gt;2018&lt;/Year&gt;&lt;Details&gt;&lt;_accession_num&gt;30075140&lt;/_accession_num&gt;&lt;_author_adr&gt;Howard Hughes Medical Institute, Department of Immunobiology, Yale University School of Medicine, New Haven, CT 06510, USA.; Howard Hughes Medical Institute, Department of Immunobiology, Yale University School of Medicine, New Haven, CT 06510, USA. Electronic address: ruslan.medzhitov@yale.edu.&lt;/_author_adr&gt;&lt;_date_display&gt;2018 Aug 2&lt;/_date_display&gt;&lt;_date&gt;2018-08-02&lt;/_date&gt;&lt;_doi&gt;10.1016/j.molcel.2018.07.017&lt;/_doi&gt;&lt;_isbn&gt;1097-4164 (Electronic); 1097-2765 (Linking)&lt;/_isbn&gt;&lt;_issue&gt;3&lt;/_issue&gt;&lt;_journal&gt;Mol Cell&lt;/_journal&gt;&lt;_language&gt;eng&lt;/_language&gt;&lt;_ori_publication&gt;Copyright (c) 2018 Elsevier Inc. All rights reserved.&lt;/_ori_publication&gt;&lt;_pages&gt;389-397&lt;/_pages&gt;&lt;_subject_headings&gt;Animals; Gene Expression Regulation/*genetics/physiology; Humans; Organ Specificity/genetics; Signal Transduction/physiology; Transcription Factors/*metabolism; Transcription, Genetic/genetics; Transcriptome/genetics&lt;/_subject_headings&gt;&lt;_tertiary_title&gt;Molecular cell&lt;/_tertiary_title&gt;&lt;_type_work&gt;Journal Article; Research Support, Non-U.S. Gov&amp;apos;t; Review&lt;/_type_work&gt;&lt;_url&gt;http://www.ncbi.nlm.nih.gov/entrez/query.fcgi?cmd=Retrieve&amp;amp;db=pubmed&amp;amp;dopt=Abstract&amp;amp;list_uids=30075140&amp;amp;query_hl=1&lt;/_url&gt;&lt;_volume&gt;71&lt;/_volume&gt;&lt;_created&gt;64573017&lt;/_created&gt;&lt;_modified&gt;64573017&lt;/_modified&gt;&lt;_db_updated&gt;PubMed&lt;/_db_updated&gt;&lt;_impact_factor&gt;  17.970&lt;/_impact_factor&gt;&lt;_collection_scope&gt;SCI;SCIE&lt;/_collection_scope&gt;&lt;/Details&gt;&lt;Extra&gt;&lt;DBUID&gt;{F96A950B-833F-4880-A151-76DA2D6A2879}&lt;/DBUID&gt;&lt;/Extra&gt;&lt;/Item&gt;&lt;/References&gt;&lt;/Group&gt;&lt;/Citation&gt;_x000a_"/>
    <w:docVar w:name="NE.Ref{DDD29F67-5C05-4EE6-A4AB-4CD40A9EDDCD}" w:val=" ADDIN NE.Ref.{DDD29F67-5C05-4EE6-A4AB-4CD40A9EDDCD}&lt;Citation&gt;&lt;Group&gt;&lt;References&gt;&lt;Item&gt;&lt;ID&gt;596&lt;/ID&gt;&lt;UID&gt;{E0E38E59-A131-4900-A99A-8469C0095C7E}&lt;/UID&gt;&lt;Title&gt;Spatial reconstruction of single-cell gene expression data&lt;/Title&gt;&lt;Template&gt;Journal Article&lt;/Template&gt;&lt;Star&gt;0&lt;/Star&gt;&lt;Tag&gt;0&lt;/Tag&gt;&lt;Author&gt;Satija, R; Farrell, J A; Gennert, D; Schier, A F; Regev, A&lt;/Author&gt;&lt;Year&gt;2015&lt;/Year&gt;&lt;Details&gt;&lt;_accession_num&gt;25867923&lt;/_accession_num&gt;&lt;_author_adr&gt;Broad Institute of MIT and Harvard, Cambridge, Massachusetts, USA.; Department of Molecular and Cellular Biology, Harvard University, Cambridge, Massachusetts, USA.; Broad Institute of MIT and Harvard, Cambridge, Massachusetts, USA.; 1] Broad Institute of MIT and Harvard, Cambridge, Massachusetts, USA. [2] Department of Molecular and Cellular Biology, Harvard University, Cambridge, Massachusetts, USA. [3] Center for Brain Science, Harvard University, Cambridge,  Massachusetts, USA. [4] Harvard Stem Cell Institute, Harvard University, Cambridge, Massachusetts, USA. [5] Center for Systems Biology, Harvard University, Cambridge, Massachusetts, USA.; 1] Broad Institute of MIT and Harvard, Cambridge, Massachusetts, USA. [2] Howard  Hughes Medical Institute, Department of Biology, Massachusetts Institute of Technology, Cambridge, Massachusetts, USA.&lt;/_author_adr&gt;&lt;_date_display&gt;2015 May&lt;/_date_display&gt;&lt;_date&gt;2015-05-01&lt;/_date&gt;&lt;_doi&gt;10.1038/nbt.3192&lt;/_doi&gt;&lt;_isbn&gt;1546-1696 (Electronic); 1087-0156 (Linking)&lt;/_isbn&gt;&lt;_issue&gt;5&lt;/_issue&gt;&lt;_journal&gt;Nat Biotechnol&lt;/_journal&gt;&lt;_language&gt;eng&lt;/_language&gt;&lt;_pages&gt;495-502&lt;/_pages&gt;&lt;_subject_headings&gt;Animals; Gene Expression Regulation, Developmental; High-Throughput Nucleotide Sequencing; Image Processing, Computer-Assisted; In Situ Hybridization, Fluorescence/*methods; Single-Cell Analysis/*methods; Transcriptome/genetics; Zebrafish/genetics/*growth &amp;amp; development&lt;/_subject_headings&gt;&lt;_tertiary_title&gt;Nature biotechnology&lt;/_tertiary_title&gt;&lt;_type_work&gt;Journal Article; Research Support, N.I.H., Extramural; Research Support, Non-U.S. Gov&amp;apos;t&lt;/_type_work&gt;&lt;_url&gt;http://www.ncbi.nlm.nih.gov/entrez/query.fcgi?cmd=Retrieve&amp;amp;db=pubmed&amp;amp;dopt=Abstract&amp;amp;list_uids=25867923&amp;amp;query_hl=1&lt;/_url&gt;&lt;_volume&gt;33&lt;/_volume&gt;&lt;_created&gt;64572996&lt;/_created&gt;&lt;_modified&gt;64572997&lt;/_modified&gt;&lt;_db_updated&gt;PubMed&lt;/_db_updated&gt;&lt;_impact_factor&gt;  54.908&lt;/_impact_factor&gt;&lt;_collection_scope&gt;SCI;SCIE;EI&lt;/_collection_scope&gt;&lt;/Details&gt;&lt;Extra&gt;&lt;DBUID&gt;{F96A950B-833F-4880-A151-76DA2D6A2879}&lt;/DBUID&gt;&lt;/Extra&gt;&lt;/Item&gt;&lt;/References&gt;&lt;/Group&gt;&lt;/Citation&gt;_x000a_"/>
    <w:docVar w:name="NE.Ref{ECC4B853-7186-4667-95A0-77D91D1D9D5A}" w:val=" ADDIN NE.Ref.{ECC4B853-7186-4667-95A0-77D91D1D9D5A}&lt;Citation&gt;&lt;Group&gt;&lt;References&gt;&lt;Item&gt;&lt;ID&gt;597&lt;/ID&gt;&lt;UID&gt;{B9C2E99B-DF0E-49AE-9A89-9C8F6DA46289}&lt;/UID&gt;&lt;Title&gt;clusterProfiler: an R package for comparing biological themes among gene clusters&lt;/Title&gt;&lt;Template&gt;Journal Article&lt;/Template&gt;&lt;Star&gt;0&lt;/Star&gt;&lt;Tag&gt;0&lt;/Tag&gt;&lt;Author&gt;Yu, G; Wang, L G; Han, Y; He, Q Y&lt;/Author&gt;&lt;Year&gt;2012&lt;/Year&gt;&lt;Details&gt;&lt;_accession_num&gt;22455463&lt;/_accession_num&gt;&lt;_author_adr&gt;Institute of Life and Health Engineering, Key Laboratory of Functional Protein Research of Guangdong Higher Education Institutes, Jinan University, Guangzhou, People&amp;apos;s Republic of China.&lt;/_author_adr&gt;&lt;_date_display&gt;2012 May&lt;/_date_display&gt;&lt;_date&gt;2012-05-01&lt;/_date&gt;&lt;_doi&gt;10.1089/omi.2011.0118&lt;/_doi&gt;&lt;_isbn&gt;1557-8100 (Electronic); 1536-2310 (Linking)&lt;/_isbn&gt;&lt;_issue&gt;5&lt;/_issue&gt;&lt;_journal&gt;OMICS&lt;/_journal&gt;&lt;_language&gt;eng&lt;/_language&gt;&lt;_pages&gt;284-7&lt;/_pages&gt;&lt;_subject_headings&gt;Animals; Gene Expression Profiling/*methods; Humans; Mice; *Multigene Family; Programming Languages; Proteomics/*methods; Software; *Transcriptome; Yeasts&lt;/_subject_headings&gt;&lt;_tertiary_title&gt;Omics : a journal of integrative biology&lt;/_tertiary_title&gt;&lt;_type_work&gt;Journal Article; Research Support, Non-U.S. Gov&amp;apos;t&lt;/_type_work&gt;&lt;_url&gt;http://www.ncbi.nlm.nih.gov/entrez/query.fcgi?cmd=Retrieve&amp;amp;db=pubmed&amp;amp;dopt=Abstract&amp;amp;list_uids=22455463&amp;amp;query_hl=1&lt;/_url&gt;&lt;_volume&gt;16&lt;/_volume&gt;&lt;_created&gt;64573002&lt;/_created&gt;&lt;_modified&gt;64573002&lt;/_modified&gt;&lt;_db_updated&gt;PubMed&lt;/_db_updated&gt;&lt;_impact_factor&gt;   3.374&lt;/_impact_factor&gt;&lt;_collection_scope&gt;SCI;SCIE&lt;/_collection_scope&gt;&lt;/Details&gt;&lt;Extra&gt;&lt;DBUID&gt;{F96A950B-833F-4880-A151-76DA2D6A2879}&lt;/DBUID&gt;&lt;/Extra&gt;&lt;/Item&gt;&lt;/References&gt;&lt;/Group&gt;&lt;/Citation&gt;_x000a_"/>
    <w:docVar w:name="NE.Ref{FB632638-9B12-481F-97E5-3281822D0C62}" w:val=" ADDIN NE.Ref.{FB632638-9B12-481F-97E5-3281822D0C62}&lt;Citation&gt;&lt;Group&gt;&lt;References&gt;&lt;Item&gt;&lt;ID&gt;605&lt;/ID&gt;&lt;UID&gt;{70F4C2C5-EA3E-45F4-9DE9-963917C931E0}&lt;/UID&gt;&lt;Title&gt;CellCall: integrating paired ligand-receptor and transcription factor activities  for cell-cell communication&lt;/Title&gt;&lt;Template&gt;Journal Article&lt;/Template&gt;&lt;Star&gt;0&lt;/Star&gt;&lt;Tag&gt;0&lt;/Tag&gt;&lt;Author&gt;Zhang, Y; Liu, T; Hu, X; Wang, M; Wang, J; Zou, B; Tan, P; Cui, T; Dou, Y; Ning, L; Huang, Y; Rao, S; Wang, D; Zhao, X&lt;/Author&gt;&lt;Year&gt;2021&lt;/Year&gt;&lt;Details&gt;&lt;_accession_num&gt;34331449&lt;/_accession_num&gt;&lt;_author_adr&gt;Department of Bioinformatics, School of Basic Medical Sciences, Southern Medical  University, Guangzhou 510515, China.; Department of Bioinformatics, School of Basic Medical Sciences, Southern Medical  University, Guangzhou 510515, China.; State Key Laboratory of Organ Failure Research, Department of Developmental Biology, School of Basic Medical Sciences, Southern Medical University, Guangzhou 510515, China.; State Key Laboratory of Organ Failure Research, Department of Developmental Biology, School of Basic Medical Sciences, Southern Medical University, Guangzhou 510515, China.; Department of Bioinformatics, School of Basic Medical Sciences, Southern Medical  University, Guangzhou 510515, China.; Department of Statistics, University of California Davis, Davis, CA, US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Thoracic Surgery, Nanfang Hospital, Southern Medical University, Guangzhou 510515, China.; Department of Bioinformatics, School of Basic Medical Sciences, Southern Medical  University, Guangzhou 510515, China.; State Key Laboratory of Organ Failure Research, Department of Developmental Biology, School of Basic Medical Sciences, Southern Medical University, Guangzhou 510515, China.; Guangdong Key Laboratory of Construction and Detection in Tissue Engineering, Southern Medical University, Guangzhou 510515, China.; Department of Gynecology, Zhujiang Hospital, Southern Medical University, Guangzhou 510280, China.&lt;/_author_adr&gt;&lt;_date_display&gt;2021 Sep 7&lt;/_date_display&gt;&lt;_date&gt;2021-09-07&lt;/_date&gt;&lt;_doi&gt;10.1093/nar/gkab638&lt;/_doi&gt;&lt;_isbn&gt;1362-4962 (Electronic); 0305-1048 (Linking)&lt;/_isbn&gt;&lt;_issue&gt;15&lt;/_issue&gt;&lt;_journal&gt;Nucleic Acids Res&lt;/_journal&gt;&lt;_language&gt;eng&lt;/_language&gt;&lt;_ori_publication&gt;(c) The Author(s) 2021. Published by Oxford University Press on behalf of Nucleic_x000d__x000a_      Acids Research.&lt;/_ori_publication&gt;&lt;_pages&gt;8520-8534&lt;/_pages&gt;&lt;_subject_headings&gt;Algorithms; Base Sequence/genetics; Cell Communication/*genetics; Computational Biology; Gene Expression Regulation/genetics; Humans; Ligands; RNA, Small Cytoplasmic/*genetics; Sequence Analysis, RNA; *Single-Cell Analysis; *Transcription Factors/genetics&lt;/_subject_headings&gt;&lt;_tertiary_title&gt;Nucleic acids research&lt;/_tertiary_title&gt;&lt;_type_work&gt;Journal Article; Research Support, Non-U.S. Gov&amp;apos;t&lt;/_type_work&gt;&lt;_url&gt;http://www.ncbi.nlm.nih.gov/entrez/query.fcgi?cmd=Retrieve&amp;amp;db=pubmed&amp;amp;dopt=Abstract&amp;amp;list_uids=34331449&amp;amp;query_hl=1&lt;/_url&gt;&lt;_volume&gt;49&lt;/_volume&gt;&lt;_created&gt;64573014&lt;/_created&gt;&lt;_modified&gt;64573014&lt;/_modified&gt;&lt;_db_updated&gt;PubMed&lt;/_db_updated&gt;&lt;_impact_factor&gt;  16.971&lt;/_impact_factor&gt;&lt;_collection_scope&gt;SCI;SCIE&lt;/_collection_scope&gt;&lt;/Details&gt;&lt;Extra&gt;&lt;DBUID&gt;{F96A950B-833F-4880-A151-76DA2D6A2879}&lt;/DBUID&gt;&lt;/Extra&gt;&lt;/Item&gt;&lt;/References&gt;&lt;/Group&gt;&lt;/Citation&gt;_x000a_"/>
    <w:docVar w:name="ne_docsoft" w:val="MSWord"/>
    <w:docVar w:name="ne_docversion" w:val="NoteExpress 2.0"/>
    <w:docVar w:name="ne_stylename" w:val="Numbered(multilingual)"/>
  </w:docVars>
  <w:rsids>
    <w:rsidRoot w:val="00172A27"/>
    <w:rsid w:val="313143CC"/>
    <w:rsid w:val="42ED0856"/>
    <w:rsid w:val="450F40A2"/>
    <w:rsid w:val="5D2D3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2245</Words>
  <Characters>13189</Characters>
  <Lines>0</Lines>
  <Paragraphs>0</Paragraphs>
  <TotalTime>1</TotalTime>
  <ScaleCrop>false</ScaleCrop>
  <LinksUpToDate>false</LinksUpToDate>
  <CharactersWithSpaces>15393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2022-10-06T01:46:00Z</dcterms:created>
  <dc:creator>ROY</dc:creator>
  <cp:lastModifiedBy>guoguo</cp:lastModifiedBy>
  <dcterms:modified xsi:type="dcterms:W3CDTF">2022-10-11T00:31:52Z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BCACD4E25384491BB5173A14FCF55109</vt:lpwstr>
  </property>
</Properties>
</file>