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23A31B" w14:textId="6E44366C" w:rsidR="009D195B" w:rsidRDefault="009D195B" w:rsidP="009D195B">
      <w:pPr>
        <w:pStyle w:val="Heading2"/>
        <w:numPr>
          <w:ilvl w:val="0"/>
          <w:numId w:val="0"/>
        </w:numPr>
        <w:ind w:left="450" w:hanging="450"/>
      </w:pPr>
      <w:bookmarkStart w:id="0" w:name="_Toc69830952"/>
      <w:r>
        <w:t xml:space="preserve">SUPPLEMENT B: </w:t>
      </w:r>
      <w:bookmarkEnd w:id="0"/>
      <w:r w:rsidR="006E63C2">
        <w:t>DETERMINANT FINDINGS IN</w:t>
      </w:r>
      <w:r>
        <w:t xml:space="preserve"> LITERATURE</w:t>
      </w:r>
      <w:r w:rsidR="006E63C2">
        <w:t xml:space="preserve"> CONTEXT</w:t>
      </w:r>
    </w:p>
    <w:p w14:paraId="403512D5" w14:textId="44D3F077" w:rsidR="009D195B" w:rsidRDefault="009D195B" w:rsidP="009D195B">
      <w:pPr>
        <w:ind w:firstLine="720"/>
      </w:pPr>
      <w:r>
        <w:t>Each of the 19 determinants in the R=MC</w:t>
      </w:r>
      <w:r w:rsidRPr="00593083">
        <w:rPr>
          <w:vertAlign w:val="superscript"/>
        </w:rPr>
        <w:t>2</w:t>
      </w:r>
      <w:r>
        <w:t xml:space="preserve"> framework was derived from a vast literature spanning many sectors and disciplines (</w:t>
      </w:r>
      <w:proofErr w:type="spellStart"/>
      <w:r>
        <w:t>Scaccia</w:t>
      </w:r>
      <w:proofErr w:type="spellEnd"/>
      <w:r>
        <w:t>, 2014). Here the author will briefly contrast the findings of salient determinants by what is currently known about each determinant’s definition, related R=MC</w:t>
      </w:r>
      <w:r w:rsidRPr="00593083">
        <w:rPr>
          <w:vertAlign w:val="superscript"/>
        </w:rPr>
        <w:t>2</w:t>
      </w:r>
      <w:r>
        <w:t xml:space="preserve"> determinants, relevance for integrated care, and (if available in the literature) hypothesized importance across implementation stages. The discussion of related determinants is particularly important, given the present study’s suggestion that a challenge to studying the R=MC</w:t>
      </w:r>
      <w:r w:rsidRPr="00593083">
        <w:rPr>
          <w:vertAlign w:val="superscript"/>
        </w:rPr>
        <w:t>2</w:t>
      </w:r>
      <w:r>
        <w:t xml:space="preserve"> framework is the potential mediating or moderating effects between constructs. First determinants with high relevance across stages are discussed, then the one determinant with low relevance across stages. Here – as was done throughout this </w:t>
      </w:r>
      <w:r w:rsidR="006E63C2">
        <w:t>study</w:t>
      </w:r>
      <w:r>
        <w:t>– a capitalized construct (e.g., Leadership) refers to the determinant as defined by R=MC</w:t>
      </w:r>
      <w:r w:rsidRPr="00593083">
        <w:rPr>
          <w:vertAlign w:val="superscript"/>
        </w:rPr>
        <w:t>2</w:t>
      </w:r>
      <w:r>
        <w:rPr>
          <w:vertAlign w:val="superscript"/>
        </w:rPr>
        <w:t xml:space="preserve"> </w:t>
      </w:r>
      <w:r>
        <w:t>(</w:t>
      </w:r>
      <w:proofErr w:type="spellStart"/>
      <w:r>
        <w:t>Scaccia</w:t>
      </w:r>
      <w:proofErr w:type="spellEnd"/>
      <w:r>
        <w:t xml:space="preserve"> et al., 2015; Scott et al., 2017), whereas a lowercase construct (e.g., leadership) refers to a concept broadly or by other definitions. </w:t>
      </w:r>
    </w:p>
    <w:p w14:paraId="4F204EEB" w14:textId="77777777" w:rsidR="009D195B" w:rsidRPr="000B0337" w:rsidRDefault="009D195B" w:rsidP="009D195B">
      <w:pPr>
        <w:pStyle w:val="Heading3"/>
      </w:pPr>
      <w:bookmarkStart w:id="1" w:name="_Toc69830953"/>
      <w:r w:rsidRPr="000B0337">
        <w:t>High Relevan</w:t>
      </w:r>
      <w:r>
        <w:t>ce Determinants</w:t>
      </w:r>
      <w:bookmarkEnd w:id="1"/>
      <w:r w:rsidRPr="000B0337">
        <w:tab/>
      </w:r>
    </w:p>
    <w:p w14:paraId="25806989" w14:textId="77777777" w:rsidR="009D195B" w:rsidRDefault="009D195B" w:rsidP="009D195B">
      <w:pPr>
        <w:ind w:firstLine="720"/>
      </w:pPr>
      <w:r w:rsidRPr="00593083">
        <w:rPr>
          <w:rStyle w:val="Heading4Char"/>
        </w:rPr>
        <w:t>Highest Relevance</w:t>
      </w:r>
      <w:r>
        <w:t xml:space="preserve">. Present study findings show that strong Leadership and the perceived Priority of integrated care are consistently important for integrating behavioral health and primary care across all stages. </w:t>
      </w:r>
    </w:p>
    <w:p w14:paraId="4A5D7048" w14:textId="77777777" w:rsidR="009D195B" w:rsidRDefault="009D195B" w:rsidP="009D195B">
      <w:pPr>
        <w:ind w:firstLine="720"/>
      </w:pPr>
      <w:r w:rsidRPr="00593083">
        <w:rPr>
          <w:rStyle w:val="Heading5Char"/>
        </w:rPr>
        <w:t>Leadership</w:t>
      </w:r>
      <w:r>
        <w:t xml:space="preserve"> is widely studied in organizational science and is commonly cited as a facilitator of integrating care (</w:t>
      </w:r>
      <w:proofErr w:type="spellStart"/>
      <w:r>
        <w:t>Padwa</w:t>
      </w:r>
      <w:proofErr w:type="spellEnd"/>
      <w:r>
        <w:t xml:space="preserve"> et al., 2016; </w:t>
      </w:r>
      <w:proofErr w:type="spellStart"/>
      <w:r>
        <w:t>Busetto</w:t>
      </w:r>
      <w:proofErr w:type="spellEnd"/>
      <w:r>
        <w:t xml:space="preserve"> et al., 2018; Kirst et al., 2017). Yet, leadership development has been posited as a “neglected topic” in integrated care (</w:t>
      </w:r>
      <w:proofErr w:type="spellStart"/>
      <w:r>
        <w:t>Amelung</w:t>
      </w:r>
      <w:proofErr w:type="spellEnd"/>
      <w:r>
        <w:t>, Chase, &amp; Reichert, 2017), perhaps because there are different types of leadership. Different managerial roles may organize personnel, craft vision statements, and manage resources (</w:t>
      </w:r>
      <w:proofErr w:type="spellStart"/>
      <w:r>
        <w:t>Amunarriz</w:t>
      </w:r>
      <w:proofErr w:type="spellEnd"/>
      <w:r>
        <w:t xml:space="preserve"> &amp; Alcalde-Heras, 2020). Per the R=MC</w:t>
      </w:r>
      <w:r w:rsidRPr="007C701B">
        <w:rPr>
          <w:vertAlign w:val="superscript"/>
        </w:rPr>
        <w:t>2</w:t>
      </w:r>
      <w:r>
        <w:t xml:space="preserve"> framework (</w:t>
      </w:r>
      <w:proofErr w:type="spellStart"/>
      <w:r>
        <w:t>Scaccia</w:t>
      </w:r>
      <w:proofErr w:type="spellEnd"/>
      <w:r>
        <w:t xml:space="preserve"> et al., 2015), these </w:t>
      </w:r>
      <w:r>
        <w:lastRenderedPageBreak/>
        <w:t>management types respectively relate to Staff Capacity and Internal Operations, Culture, and Resource Utilization; the present study found these determinants were also highly important across most stages (</w:t>
      </w:r>
      <w:proofErr w:type="gramStart"/>
      <w:r>
        <w:t>with the exception of</w:t>
      </w:r>
      <w:proofErr w:type="gramEnd"/>
      <w:r>
        <w:t xml:space="preserve"> Resource Utilization). In implementation broadly, systems leaders are suggested to be most involved in pre-implementation stages (Chamberlain, Brown, &amp; Saldana, 2011), yet their public demonstration of support is most important during Initial Implementation (NIRN, 2020). In integrated care settings there are strong connections between leadership and organizational culture (Suter et al., 2009). This supports the notion that, when integrating care, different types of leadership are important at different times (</w:t>
      </w:r>
      <w:proofErr w:type="spellStart"/>
      <w:r>
        <w:t>Amunarriz</w:t>
      </w:r>
      <w:proofErr w:type="spellEnd"/>
      <w:r>
        <w:t xml:space="preserve"> &amp; Alcalde-Heras, 2020), and those leadership types respectively affect other determinants. For example, it may be that vision-based leadership (affecting Culture) is more important early in implementation when cohesive organizational identity and goals are salient, while leadership focused on resource allocation (affecting Internal Operations and Staff Capacity) is more important mid-implementation when staff need training and time to adjust to the innovation. The hypothesis of different leadership types also lends credence to the Phase I participants’ suggestion that these determinants are interconnected. In this context, study results are consistent with the broader literature on the importance of leadership for integrating care (</w:t>
      </w:r>
      <w:proofErr w:type="spellStart"/>
      <w:r>
        <w:t>Padwa</w:t>
      </w:r>
      <w:proofErr w:type="spellEnd"/>
      <w:r>
        <w:t xml:space="preserve"> et al., 2016; </w:t>
      </w:r>
      <w:proofErr w:type="spellStart"/>
      <w:r>
        <w:t>Busetto</w:t>
      </w:r>
      <w:proofErr w:type="spellEnd"/>
      <w:r>
        <w:t xml:space="preserve"> et al., 2018; Kirst et al., 2017), but also indicate that leadership may be so important because it affects the salience of other determinants (</w:t>
      </w:r>
      <w:proofErr w:type="spellStart"/>
      <w:r>
        <w:t>Amunarriz</w:t>
      </w:r>
      <w:proofErr w:type="spellEnd"/>
      <w:r>
        <w:t xml:space="preserve"> &amp; Alcalde-Heras, 2020; Suter, 1999).</w:t>
      </w:r>
    </w:p>
    <w:p w14:paraId="7DA946E1" w14:textId="77777777" w:rsidR="009D195B" w:rsidRDefault="009D195B" w:rsidP="009D195B">
      <w:pPr>
        <w:ind w:firstLine="720"/>
      </w:pPr>
      <w:r w:rsidRPr="00593083">
        <w:rPr>
          <w:rStyle w:val="Heading5Char"/>
        </w:rPr>
        <w:t>Priority</w:t>
      </w:r>
      <w:r>
        <w:t xml:space="preserve"> refers to the perceived importance of the innovation and organizational commitment to its enactment (</w:t>
      </w:r>
      <w:proofErr w:type="spellStart"/>
      <w:r>
        <w:t>Scaccia</w:t>
      </w:r>
      <w:proofErr w:type="spellEnd"/>
      <w:r>
        <w:t xml:space="preserve">, 2014). This can be communicated via leadership’s pledged support of the innovation (Donald et al., 2013), confirming again that these constructs are related. Priority in integrated care settings also refers to pressure or competition of other </w:t>
      </w:r>
      <w:r>
        <w:lastRenderedPageBreak/>
        <w:t>commitments competing for organizational staff’s time (Kirst et al., 2017), or the perceived burden of integrating care (</w:t>
      </w:r>
      <w:proofErr w:type="spellStart"/>
      <w:r>
        <w:t>Busetto</w:t>
      </w:r>
      <w:proofErr w:type="spellEnd"/>
      <w:r>
        <w:t xml:space="preserve"> et al., 2018). Commitment to enacting an innovation is classified as an activity for transitioning from the Exploration stage to Installation (NIRN, 2020), yet perceived Priority can also be affected by the status of the innovation within the organization (</w:t>
      </w:r>
      <w:proofErr w:type="spellStart"/>
      <w:r>
        <w:t>Bohanon</w:t>
      </w:r>
      <w:proofErr w:type="spellEnd"/>
      <w:r>
        <w:t xml:space="preserve"> et al., 2006; Richardson et al., 2012; Stenger et al., 2007; Thomas &amp; </w:t>
      </w:r>
      <w:proofErr w:type="spellStart"/>
      <w:r>
        <w:t>Galla</w:t>
      </w:r>
      <w:proofErr w:type="spellEnd"/>
      <w:r>
        <w:t xml:space="preserve">, 2012). When priorities compete, the priority status of integrated care changes. When the perceived priority of an innovation drops, the innovation may slow down or halt its progress towards being adopted and scaled. Therefore, it makes sense that keeping care integration as a high priority would be perceived as continuously relevant. Priority is also affected by the level of support expressed by leadership (Donald et al., 2013), a notion supported by a systematic review of determinants in integrated care that found leadership support is a strong facilitator (Muse et al., 2017). What is surprising is that leadership support is variably conceptualized as most important during pre-implementation (Vax, </w:t>
      </w:r>
      <w:proofErr w:type="spellStart"/>
      <w:r>
        <w:t>Gidugu</w:t>
      </w:r>
      <w:proofErr w:type="spellEnd"/>
      <w:r>
        <w:t xml:space="preserve">, Farkas, &amp; </w:t>
      </w:r>
      <w:proofErr w:type="spellStart"/>
      <w:r>
        <w:t>Drainoni</w:t>
      </w:r>
      <w:proofErr w:type="spellEnd"/>
      <w:r>
        <w:t xml:space="preserve">, 2021) or during Initial Implementation (NIRN, 2020). Since Priority was deemed relevant across all stages, there are likely other related factors that affect its salience. </w:t>
      </w:r>
    </w:p>
    <w:p w14:paraId="621125F0" w14:textId="77777777" w:rsidR="009D195B" w:rsidRDefault="009D195B" w:rsidP="009D195B">
      <w:pPr>
        <w:ind w:firstLine="720"/>
      </w:pPr>
      <w:r w:rsidRPr="00593083">
        <w:rPr>
          <w:rStyle w:val="Heading4Char"/>
        </w:rPr>
        <w:t>High Relevance</w:t>
      </w:r>
      <w:r>
        <w:t>. Study findings revealed that Culture, Innovativeness, and Staff Capacity, a Champion, and Supportive Climate are generally important as well. Like Leadership, an organization’s Culture, Innovativeness, and Staff Capacity are constructs hypothesized to influence an organization’s General Capacity (</w:t>
      </w:r>
      <w:proofErr w:type="spellStart"/>
      <w:r>
        <w:t>Scaccia</w:t>
      </w:r>
      <w:proofErr w:type="spellEnd"/>
      <w:r>
        <w:t xml:space="preserve"> et al., 2015), or its overall functioning independent of integrating care. An innovation Champion and Supportive Climate are both hypothesized to affect an organization’s Innovation-specific Capacity (</w:t>
      </w:r>
      <w:proofErr w:type="spellStart"/>
      <w:r>
        <w:t>Scaccia</w:t>
      </w:r>
      <w:proofErr w:type="spellEnd"/>
      <w:r>
        <w:t xml:space="preserve"> et al., 2015), or its ability to integrate care. </w:t>
      </w:r>
    </w:p>
    <w:p w14:paraId="46E9604C" w14:textId="77777777" w:rsidR="009D195B" w:rsidRPr="00951A2D" w:rsidRDefault="009D195B" w:rsidP="009D195B">
      <w:pPr>
        <w:ind w:firstLine="720"/>
      </w:pPr>
      <w:r w:rsidRPr="00593083">
        <w:rPr>
          <w:rStyle w:val="Heading5Char"/>
        </w:rPr>
        <w:lastRenderedPageBreak/>
        <w:t>Culture</w:t>
      </w:r>
      <w:r>
        <w:t xml:space="preserve"> is the organizational values, beliefs, goals, mission, vision, policies, and expectations (</w:t>
      </w:r>
      <w:proofErr w:type="spellStart"/>
      <w:r>
        <w:t>Scaccia</w:t>
      </w:r>
      <w:proofErr w:type="spellEnd"/>
      <w:r>
        <w:t xml:space="preserve"> et al., 2015). It is rarely mentioned in measures of implementation stages (e.g., Chamberlain et al., 2011; NIRN, 2020), except in relation to initiative planning (Vax et al., 2021), which is likely because it is a general organizational construct, rather than an innovation-related component. In integrated care, organizational culture is </w:t>
      </w:r>
      <w:r w:rsidRPr="00951A2D">
        <w:t>commonly cited as a relevant domain (</w:t>
      </w:r>
      <w:proofErr w:type="spellStart"/>
      <w:r w:rsidRPr="00951A2D">
        <w:t>Busetto</w:t>
      </w:r>
      <w:proofErr w:type="spellEnd"/>
      <w:r w:rsidRPr="00951A2D">
        <w:t xml:space="preserve"> et al., 2018; Kirst et al., 2017; </w:t>
      </w:r>
      <w:proofErr w:type="spellStart"/>
      <w:r w:rsidRPr="00951A2D">
        <w:t>Sheaff</w:t>
      </w:r>
      <w:proofErr w:type="spellEnd"/>
      <w:r w:rsidRPr="00951A2D">
        <w:t xml:space="preserve"> et al., 2018; </w:t>
      </w:r>
      <w:proofErr w:type="spellStart"/>
      <w:r w:rsidRPr="00951A2D">
        <w:t>Staab</w:t>
      </w:r>
      <w:proofErr w:type="spellEnd"/>
      <w:r w:rsidRPr="00951A2D">
        <w:t xml:space="preserve"> et al., 2018; Suter et al., 2009), yet few existing integrated care tools seek to address organizational culture (Suter et al., 2009). This is surprising, given that studies have demonstrated efficacy for quality assurance and quality improvement activities to improve organizational culture (Chin</w:t>
      </w:r>
      <w:r>
        <w:t xml:space="preserve">, Pun, Ho, &amp; Lau, </w:t>
      </w:r>
      <w:r w:rsidRPr="00951A2D">
        <w:t>2002; Sables-</w:t>
      </w:r>
      <w:proofErr w:type="spellStart"/>
      <w:r w:rsidRPr="00951A2D">
        <w:t>Baus</w:t>
      </w:r>
      <w:proofErr w:type="spellEnd"/>
      <w:r w:rsidRPr="00951A2D">
        <w:t xml:space="preserve"> &amp; </w:t>
      </w:r>
      <w:proofErr w:type="spellStart"/>
      <w:r w:rsidRPr="00951A2D">
        <w:t>Zuk</w:t>
      </w:r>
      <w:proofErr w:type="spellEnd"/>
      <w:r w:rsidRPr="00951A2D">
        <w:t>, 2012).</w:t>
      </w:r>
      <w:r>
        <w:t xml:space="preserve"> Per ties to other determinants, as previously noted culture is strongly tied to leadership (Suter et al., 2009), whose managerial actions likely affect changes in practice and cooperation (</w:t>
      </w:r>
      <w:proofErr w:type="spellStart"/>
      <w:r>
        <w:t>Amunarriz</w:t>
      </w:r>
      <w:proofErr w:type="spellEnd"/>
      <w:r>
        <w:t xml:space="preserve"> </w:t>
      </w:r>
      <w:r w:rsidRPr="00951A2D">
        <w:rPr>
          <w:rFonts w:cstheme="minorHAnsi"/>
        </w:rPr>
        <w:t xml:space="preserve">&amp; Alcalde-Heras, 2020). Despite its conceptualization within </w:t>
      </w:r>
      <w:r>
        <w:rPr>
          <w:rFonts w:cstheme="minorHAnsi"/>
        </w:rPr>
        <w:t>G</w:t>
      </w:r>
      <w:r w:rsidRPr="00951A2D">
        <w:rPr>
          <w:rFonts w:cstheme="minorHAnsi"/>
        </w:rPr>
        <w:t xml:space="preserve">eneral </w:t>
      </w:r>
      <w:r>
        <w:rPr>
          <w:rFonts w:cstheme="minorHAnsi"/>
        </w:rPr>
        <w:t>C</w:t>
      </w:r>
      <w:r w:rsidRPr="00951A2D">
        <w:rPr>
          <w:rFonts w:cstheme="minorHAnsi"/>
        </w:rPr>
        <w:t xml:space="preserve">apacity, </w:t>
      </w:r>
      <w:r>
        <w:rPr>
          <w:rFonts w:cstheme="minorHAnsi"/>
        </w:rPr>
        <w:t xml:space="preserve">a component proposed to be relatively stable, </w:t>
      </w:r>
      <w:r w:rsidRPr="00951A2D">
        <w:rPr>
          <w:rFonts w:cstheme="minorHAnsi"/>
        </w:rPr>
        <w:t xml:space="preserve">studies have demonstrated </w:t>
      </w:r>
      <w:r>
        <w:rPr>
          <w:rFonts w:cstheme="minorHAnsi"/>
        </w:rPr>
        <w:t>that organizational c</w:t>
      </w:r>
      <w:r w:rsidRPr="00951A2D">
        <w:rPr>
          <w:rFonts w:cstheme="minorHAnsi"/>
        </w:rPr>
        <w:t xml:space="preserve">ulture can be effectively improved via intervention, albeit it may take several years for outcomes to be evident (Williams &amp; Glisson, 2020). </w:t>
      </w:r>
    </w:p>
    <w:p w14:paraId="022023F9" w14:textId="77777777" w:rsidR="009D195B" w:rsidRPr="00951A2D" w:rsidRDefault="009D195B" w:rsidP="009D195B">
      <w:pPr>
        <w:ind w:firstLine="720"/>
      </w:pPr>
      <w:r w:rsidRPr="00593083">
        <w:rPr>
          <w:rStyle w:val="Heading5Char"/>
        </w:rPr>
        <w:t>Innovativeness</w:t>
      </w:r>
      <w:r w:rsidRPr="00951A2D">
        <w:t xml:space="preserve"> is the organizational norms around change, the degree of risk tolerated, and attitudes towards continuous learning (</w:t>
      </w:r>
      <w:proofErr w:type="spellStart"/>
      <w:r w:rsidRPr="00951A2D">
        <w:t>Scaccia</w:t>
      </w:r>
      <w:proofErr w:type="spellEnd"/>
      <w:r w:rsidRPr="00951A2D">
        <w:t xml:space="preserve"> et al., 2015).</w:t>
      </w:r>
      <w:r>
        <w:t xml:space="preserve"> Although there is a dearth of literature on this specific construct (</w:t>
      </w:r>
      <w:proofErr w:type="spellStart"/>
      <w:r>
        <w:t>Scaccia</w:t>
      </w:r>
      <w:proofErr w:type="spellEnd"/>
      <w:r>
        <w:t>, 2014), I</w:t>
      </w:r>
      <w:r w:rsidRPr="00951A2D">
        <w:t>nnovativeness is demonstrated to be affected by three other determinants: Observability, Climate, and Leadership (</w:t>
      </w:r>
      <w:proofErr w:type="spellStart"/>
      <w:r w:rsidRPr="00951A2D">
        <w:t>Cramm</w:t>
      </w:r>
      <w:proofErr w:type="spellEnd"/>
      <w:r>
        <w:t xml:space="preserve">, </w:t>
      </w:r>
      <w:proofErr w:type="spellStart"/>
      <w:r>
        <w:t>Strating</w:t>
      </w:r>
      <w:proofErr w:type="spellEnd"/>
      <w:r>
        <w:t xml:space="preserve">, Bal, &amp; </w:t>
      </w:r>
      <w:proofErr w:type="spellStart"/>
      <w:r>
        <w:t>Nieboer</w:t>
      </w:r>
      <w:proofErr w:type="spellEnd"/>
      <w:r>
        <w:t xml:space="preserve">, 2013; </w:t>
      </w:r>
      <w:proofErr w:type="spellStart"/>
      <w:r>
        <w:t>Scaccia</w:t>
      </w:r>
      <w:proofErr w:type="spellEnd"/>
      <w:r>
        <w:t>, 2014</w:t>
      </w:r>
      <w:r w:rsidRPr="00951A2D">
        <w:t xml:space="preserve">). There are no clear correlates of general innovativeness in integrated care tools, however innovation-specific flexibility is a hypothesized barrier to successful care integration (Kirst et al., 2017). General innovativeness may be a prerequisite </w:t>
      </w:r>
      <w:r w:rsidRPr="00951A2D">
        <w:lastRenderedPageBreak/>
        <w:t xml:space="preserve">quality necessary to both conceptualize a transformative change such as integrated care, and to enact the long, resource-intensive process of its realization. </w:t>
      </w:r>
    </w:p>
    <w:p w14:paraId="2610AB33" w14:textId="77777777" w:rsidR="009D195B" w:rsidRDefault="009D195B" w:rsidP="009D195B">
      <w:pPr>
        <w:ind w:firstLine="720"/>
      </w:pPr>
      <w:r w:rsidRPr="00593083">
        <w:rPr>
          <w:rStyle w:val="Heading5Char"/>
        </w:rPr>
        <w:t>Staff Capacity</w:t>
      </w:r>
      <w:r w:rsidRPr="00951A2D">
        <w:t xml:space="preserve"> refers broadly to the general skills and capabilities of organizational staff to conduct the activities inherent </w:t>
      </w:r>
      <w:r>
        <w:t>in</w:t>
      </w:r>
      <w:r w:rsidRPr="00951A2D">
        <w:t xml:space="preserve"> their roles (</w:t>
      </w:r>
      <w:proofErr w:type="spellStart"/>
      <w:r w:rsidRPr="00951A2D">
        <w:t>Scaccia</w:t>
      </w:r>
      <w:proofErr w:type="spellEnd"/>
      <w:r w:rsidRPr="00951A2D">
        <w:t xml:space="preserve"> et al., 2015). Training and quality improvement are effective strategies for building </w:t>
      </w:r>
      <w:r>
        <w:t xml:space="preserve">overall </w:t>
      </w:r>
      <w:r w:rsidRPr="00951A2D">
        <w:t xml:space="preserve">staff capacity (Ramos &amp; Ferreira-Pinto, 2009; </w:t>
      </w:r>
      <w:proofErr w:type="spellStart"/>
      <w:r>
        <w:t>Scaccia</w:t>
      </w:r>
      <w:proofErr w:type="spellEnd"/>
      <w:r>
        <w:t xml:space="preserve">, 2014; </w:t>
      </w:r>
      <w:r w:rsidRPr="00951A2D">
        <w:t>Watson-Thompson</w:t>
      </w:r>
      <w:r>
        <w:t xml:space="preserve">, Woods, Schober, &amp; Schultz, </w:t>
      </w:r>
      <w:r w:rsidRPr="00951A2D">
        <w:t>2013). However, there is little mention of this in the integrated care literature because (</w:t>
      </w:r>
      <w:proofErr w:type="gramStart"/>
      <w:r w:rsidRPr="00951A2D">
        <w:t>similar to</w:t>
      </w:r>
      <w:proofErr w:type="gramEnd"/>
      <w:r w:rsidRPr="00951A2D">
        <w:t xml:space="preserve"> Innovativeness) it is a construct beyond the scope</w:t>
      </w:r>
      <w:r>
        <w:t xml:space="preserve"> of a specific innovation. For example, one study suggests recognition of staff skills is important during early implementation but only as those skills relate to the specific practice being implemented (Vax et al., 2021).</w:t>
      </w:r>
    </w:p>
    <w:p w14:paraId="68848FA8" w14:textId="77777777" w:rsidR="009D195B" w:rsidRDefault="009D195B" w:rsidP="009D195B">
      <w:pPr>
        <w:ind w:firstLine="720"/>
      </w:pPr>
      <w:r w:rsidRPr="00593083">
        <w:rPr>
          <w:rStyle w:val="Heading5Char"/>
        </w:rPr>
        <w:t>Champions</w:t>
      </w:r>
      <w:r>
        <w:t xml:space="preserve"> are generally influential or notable individuals who either lead implementation projects or model the innovation (</w:t>
      </w:r>
      <w:proofErr w:type="spellStart"/>
      <w:r>
        <w:t>Beeri</w:t>
      </w:r>
      <w:proofErr w:type="spellEnd"/>
      <w:r>
        <w:t xml:space="preserve">, Dayan, Vigoda-Gadot, &amp; Werner, 2013; Donald et al., 2013; </w:t>
      </w:r>
      <w:proofErr w:type="spellStart"/>
      <w:r>
        <w:t>Scaccia</w:t>
      </w:r>
      <w:proofErr w:type="spellEnd"/>
      <w:r>
        <w:t xml:space="preserve"> et al., 2015; Yancey et al., 2006). Presence of a champion is unsurprisingly noted as a facilitator for integrating care (</w:t>
      </w:r>
      <w:proofErr w:type="spellStart"/>
      <w:r>
        <w:t>Busetto</w:t>
      </w:r>
      <w:proofErr w:type="spellEnd"/>
      <w:r>
        <w:t xml:space="preserve"> et al., 2018). In contrast to findings that Champions are important throughout integrating care, in the literature these individuals are often noted as necessary early in implementation (Albers et al., 2021; Mayer et al., 2011; Vax et al., 2021) or to lead the process (Donald et al., 2013; Metz &amp; Bartley, 2012). An existing integrated care tool recommends identifying a champion early in the process of integration and ensuring that they have leadership support and </w:t>
      </w:r>
      <w:proofErr w:type="gramStart"/>
      <w:r>
        <w:t>are able to</w:t>
      </w:r>
      <w:proofErr w:type="gramEnd"/>
      <w:r>
        <w:t xml:space="preserve"> implement best practices (</w:t>
      </w:r>
      <w:r w:rsidRPr="0028663F">
        <w:t>UW AIMS</w:t>
      </w:r>
      <w:r>
        <w:t>, n.d.</w:t>
      </w:r>
      <w:r w:rsidRPr="0028663F">
        <w:t>).</w:t>
      </w:r>
      <w:r>
        <w:t xml:space="preserve"> Therefore, the published literature may be suggesting that </w:t>
      </w:r>
      <w:r>
        <w:rPr>
          <w:i/>
          <w:iCs/>
        </w:rPr>
        <w:t>selecting</w:t>
      </w:r>
      <w:r>
        <w:t xml:space="preserve"> a champion is important early, not necessarily implying that their role is only important in early stages. Per other determinants, one study found that presence of a Champion may improve Supportive Climate and overall Climate (</w:t>
      </w:r>
      <w:proofErr w:type="spellStart"/>
      <w:r>
        <w:t>Beeri</w:t>
      </w:r>
      <w:proofErr w:type="spellEnd"/>
      <w:r>
        <w:t xml:space="preserve"> et al., 2013; </w:t>
      </w:r>
      <w:proofErr w:type="spellStart"/>
      <w:r>
        <w:t>Scaccia</w:t>
      </w:r>
      <w:proofErr w:type="spellEnd"/>
      <w:r>
        <w:t xml:space="preserve">, 2014). </w:t>
      </w:r>
    </w:p>
    <w:p w14:paraId="4087FF7D" w14:textId="77777777" w:rsidR="009D195B" w:rsidRDefault="009D195B" w:rsidP="009D195B">
      <w:pPr>
        <w:ind w:firstLine="720"/>
      </w:pPr>
      <w:r w:rsidRPr="00593083">
        <w:rPr>
          <w:rStyle w:val="Heading5Char"/>
        </w:rPr>
        <w:lastRenderedPageBreak/>
        <w:t>Supportive Climate</w:t>
      </w:r>
      <w:r>
        <w:t xml:space="preserve"> is a broad construct capturing the general organizational climate for the specific innovation (</w:t>
      </w:r>
      <w:proofErr w:type="spellStart"/>
      <w:r>
        <w:t>Scaccia</w:t>
      </w:r>
      <w:proofErr w:type="spellEnd"/>
      <w:r>
        <w:t xml:space="preserve"> et al., 2015). This includes dedicating resources for the innovation (Mayer et al., 2011), leadership support (Donald et al., 2013; Yancey et al., 2006), and other processes and staff allocated to implementation (</w:t>
      </w:r>
      <w:proofErr w:type="spellStart"/>
      <w:r>
        <w:t>Scaccia</w:t>
      </w:r>
      <w:proofErr w:type="spellEnd"/>
      <w:r>
        <w:t>, 2014). In a non-integrated care healthcare intervention, this determinant was noted as essential for implementation success across the lifespan (Yancey et al., 2006), which is supported by the present study. Supportive Climate is dynamic and may affect not only implementation, but sustainment of an intervention (Sables-</w:t>
      </w:r>
      <w:proofErr w:type="spellStart"/>
      <w:r>
        <w:t>Baus</w:t>
      </w:r>
      <w:proofErr w:type="spellEnd"/>
      <w:r>
        <w:t xml:space="preserve"> &amp; </w:t>
      </w:r>
      <w:proofErr w:type="spellStart"/>
      <w:r>
        <w:t>Zuk</w:t>
      </w:r>
      <w:proofErr w:type="spellEnd"/>
      <w:r>
        <w:t>, 2012). This aspect of support – particularly the tangible resources and processes – is the focus of most integrated care tools. For example, the UW AIMS tools cover the administrative practices in place for supporting care integration (UW AIMS, n.d.), Project INTEGRATE specifies needs for resources, facilities, and information management (Cash-Gibson et al., 2019), and the Continuum-Based Framework identifies needs for provider information exchange and workforce development of multi-disciplinary teams (Chung et al., 2019). This construct is well-established in the integrated care literature, therefore its presence as a significant factor is unsurprising.</w:t>
      </w:r>
    </w:p>
    <w:p w14:paraId="3C6147FC" w14:textId="77777777" w:rsidR="009D195B" w:rsidRDefault="009D195B" w:rsidP="009D195B">
      <w:pPr>
        <w:ind w:firstLine="720"/>
      </w:pPr>
      <w:r w:rsidRPr="00593083">
        <w:rPr>
          <w:rStyle w:val="Heading4Char"/>
        </w:rPr>
        <w:t>Summary</w:t>
      </w:r>
      <w:r>
        <w:t>. Across all the determinants deemed relevant throughout implementation, there is one common factor: none are isolated constructs. Each may endure as salient for integrating care because they affect multiple other determinants. It is possible that they act as moderators or connectors for most other determinants in the R=MC</w:t>
      </w:r>
      <w:r w:rsidRPr="0074194D">
        <w:rPr>
          <w:vertAlign w:val="superscript"/>
        </w:rPr>
        <w:t>2</w:t>
      </w:r>
      <w:r>
        <w:t xml:space="preserve"> framework. </w:t>
      </w:r>
    </w:p>
    <w:p w14:paraId="7B1365C3" w14:textId="77777777" w:rsidR="009D195B" w:rsidRDefault="009D195B" w:rsidP="009D195B">
      <w:pPr>
        <w:pStyle w:val="Heading3"/>
      </w:pPr>
      <w:bookmarkStart w:id="2" w:name="_Toc69830954"/>
      <w:r>
        <w:t>Less Relevant</w:t>
      </w:r>
      <w:bookmarkEnd w:id="2"/>
    </w:p>
    <w:p w14:paraId="3233D42A" w14:textId="77777777" w:rsidR="009D195B" w:rsidRDefault="009D195B" w:rsidP="009D195B">
      <w:pPr>
        <w:ind w:firstLine="720"/>
      </w:pPr>
      <w:r>
        <w:t xml:space="preserve">Only one determinant was deemed to have low relevance overall: Simplicity. This construct is also conceptualized as the perceived “complexity” of an innovation, consisting of the number of components within an intervention and the degree of actions required from staff </w:t>
      </w:r>
      <w:r>
        <w:lastRenderedPageBreak/>
        <w:t>(</w:t>
      </w:r>
      <w:proofErr w:type="spellStart"/>
      <w:r>
        <w:t>Scaccia</w:t>
      </w:r>
      <w:proofErr w:type="spellEnd"/>
      <w:r>
        <w:t xml:space="preserve"> et al., 2015). A literature review of barriers to integrated care cited complexity as a challenge for effective workforce changes to integrate care (</w:t>
      </w:r>
      <w:proofErr w:type="spellStart"/>
      <w:r>
        <w:t>Busetto</w:t>
      </w:r>
      <w:proofErr w:type="spellEnd"/>
      <w:r>
        <w:t xml:space="preserve"> et al., 2018). However, some evidence suggests that perceived complexity can be affected prior to implementation (</w:t>
      </w:r>
      <w:proofErr w:type="spellStart"/>
      <w:r>
        <w:t>Diker</w:t>
      </w:r>
      <w:proofErr w:type="spellEnd"/>
      <w:r>
        <w:t xml:space="preserve"> et al., 2013; Ganz, Yano, </w:t>
      </w:r>
      <w:proofErr w:type="spellStart"/>
      <w:r>
        <w:t>Saliba</w:t>
      </w:r>
      <w:proofErr w:type="spellEnd"/>
      <w:r>
        <w:t xml:space="preserve">, &amp; </w:t>
      </w:r>
      <w:proofErr w:type="spellStart"/>
      <w:r>
        <w:t>Shekelle</w:t>
      </w:r>
      <w:proofErr w:type="spellEnd"/>
      <w:r>
        <w:t xml:space="preserve">, 2009; </w:t>
      </w:r>
      <w:proofErr w:type="spellStart"/>
      <w:r>
        <w:t>Kirsh</w:t>
      </w:r>
      <w:proofErr w:type="spellEnd"/>
      <w:r>
        <w:t>, Schaub, &amp; Aron, 2009; Lyon, Charlesworth-</w:t>
      </w:r>
      <w:proofErr w:type="spellStart"/>
      <w:r>
        <w:t>Attie</w:t>
      </w:r>
      <w:proofErr w:type="spellEnd"/>
      <w:r>
        <w:t>, Vander Stoep, &amp; McCauley, 2011), ostensibly before the Exploration stage. There is limited evidence that perceived Simplicity can be quantified, and its conceptualization stemmed from qualitative studies (</w:t>
      </w:r>
      <w:proofErr w:type="spellStart"/>
      <w:r>
        <w:t>Scaccia</w:t>
      </w:r>
      <w:proofErr w:type="spellEnd"/>
      <w:r>
        <w:t xml:space="preserve">, 2014). This indicates an important limitation to this construct. Study results show that Simplicity was deemed less relevant because integrated care is inherently complicated and transformative for an organization. Results conform to the way integrated care is discussed in the literature, as a highly complex, dynamic process (Goodwin, 2019; </w:t>
      </w:r>
      <w:proofErr w:type="spellStart"/>
      <w:r>
        <w:t>Grooten</w:t>
      </w:r>
      <w:proofErr w:type="spellEnd"/>
      <w:r>
        <w:t xml:space="preserve"> et al., 2019; Thomson, 2018; van der </w:t>
      </w:r>
      <w:proofErr w:type="spellStart"/>
      <w:r>
        <w:t>Vleger</w:t>
      </w:r>
      <w:proofErr w:type="spellEnd"/>
      <w:r>
        <w:t>-Brouwer et al., 2020). There is some qualitative evidence supporting this; one case study demonstrated that when a large FQHC made efforts to improve their low Simplicity score (assessed via RICQ; Scott et al., 2017) with facilitated discussion and training, their efforts were not effective (</w:t>
      </w:r>
      <w:proofErr w:type="spellStart"/>
      <w:r>
        <w:t>Domlyn</w:t>
      </w:r>
      <w:proofErr w:type="spellEnd"/>
      <w:r>
        <w:t xml:space="preserve"> et al., 2020). One important caveat to the present study findings: A categorization of “less relevant” does not inherently mean a determinant is </w:t>
      </w:r>
      <w:r w:rsidRPr="0074194D">
        <w:rPr>
          <w:i/>
          <w:iCs/>
        </w:rPr>
        <w:t>irrelevant</w:t>
      </w:r>
      <w:r>
        <w:t xml:space="preserve">. It simply means that Delphi study content experts perceived the determinant as less relevant compared to others. </w:t>
      </w:r>
    </w:p>
    <w:p w14:paraId="095F1F82" w14:textId="77777777" w:rsidR="009D195B" w:rsidRDefault="009D195B" w:rsidP="009D195B">
      <w:pPr>
        <w:ind w:firstLine="720"/>
      </w:pPr>
    </w:p>
    <w:p w14:paraId="5FD1625D" w14:textId="77777777" w:rsidR="00F22977" w:rsidRDefault="00F22977"/>
    <w:sectPr w:rsidR="00F22977" w:rsidSect="00783E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6870D8"/>
    <w:multiLevelType w:val="multilevel"/>
    <w:tmpl w:val="51EC4B90"/>
    <w:lvl w:ilvl="0">
      <w:start w:val="1"/>
      <w:numFmt w:val="decimal"/>
      <w:pStyle w:val="Heading1"/>
      <w:suff w:val="nothing"/>
      <w:lvlText w:val="Chapter %1."/>
      <w:lvlJc w:val="center"/>
      <w:pPr>
        <w:ind w:left="0" w:firstLine="0"/>
      </w:pPr>
      <w:rPr>
        <w:rFonts w:ascii="Times New Roman" w:hAnsi="Times New Roman" w:hint="default"/>
        <w:b w:val="0"/>
        <w:i w:val="0"/>
        <w:caps/>
        <w:color w:val="000000" w:themeColor="text1"/>
        <w:sz w:val="24"/>
      </w:rPr>
    </w:lvl>
    <w:lvl w:ilvl="1">
      <w:start w:val="1"/>
      <w:numFmt w:val="decimal"/>
      <w:pStyle w:val="Heading2"/>
      <w:suff w:val="space"/>
      <w:lvlText w:val="%1.%2"/>
      <w:lvlJc w:val="left"/>
      <w:pPr>
        <w:ind w:left="450" w:hanging="450"/>
      </w:pPr>
      <w:rPr>
        <w:rFonts w:ascii="Times New Roman" w:hAnsi="Times New Roman" w:hint="default"/>
        <w:b w:val="0"/>
        <w:i w:val="0"/>
        <w:caps/>
        <w:color w:val="000000" w:themeColor="text1"/>
        <w:sz w:val="24"/>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5583970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95B"/>
    <w:rsid w:val="00063882"/>
    <w:rsid w:val="006E63C2"/>
    <w:rsid w:val="00783E88"/>
    <w:rsid w:val="009D195B"/>
    <w:rsid w:val="00F229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55F8B5"/>
  <w15:chartTrackingRefBased/>
  <w15:docId w15:val="{C3089B5D-A46C-9D4F-84DA-128CDF01C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95B"/>
    <w:pPr>
      <w:spacing w:line="48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9D195B"/>
    <w:pPr>
      <w:numPr>
        <w:numId w:val="1"/>
      </w:numPr>
      <w:jc w:val="center"/>
      <w:outlineLvl w:val="0"/>
    </w:pPr>
  </w:style>
  <w:style w:type="paragraph" w:styleId="Heading2">
    <w:name w:val="heading 2"/>
    <w:basedOn w:val="Normal"/>
    <w:next w:val="Normal"/>
    <w:link w:val="Heading2Char"/>
    <w:uiPriority w:val="9"/>
    <w:unhideWhenUsed/>
    <w:qFormat/>
    <w:rsid w:val="009D195B"/>
    <w:pPr>
      <w:numPr>
        <w:ilvl w:val="1"/>
        <w:numId w:val="1"/>
      </w:numPr>
      <w:outlineLvl w:val="1"/>
    </w:pPr>
    <w:rPr>
      <w:caps/>
    </w:rPr>
  </w:style>
  <w:style w:type="paragraph" w:styleId="Heading3">
    <w:name w:val="heading 3"/>
    <w:basedOn w:val="Normal"/>
    <w:next w:val="Normal"/>
    <w:link w:val="Heading3Char"/>
    <w:uiPriority w:val="9"/>
    <w:unhideWhenUsed/>
    <w:qFormat/>
    <w:rsid w:val="009D195B"/>
    <w:pPr>
      <w:outlineLvl w:val="2"/>
    </w:pPr>
    <w:rPr>
      <w:b/>
    </w:rPr>
  </w:style>
  <w:style w:type="paragraph" w:styleId="Heading4">
    <w:name w:val="heading 4"/>
    <w:basedOn w:val="Normal"/>
    <w:next w:val="Normal"/>
    <w:link w:val="Heading4Char"/>
    <w:uiPriority w:val="9"/>
    <w:unhideWhenUsed/>
    <w:qFormat/>
    <w:rsid w:val="009D195B"/>
    <w:pPr>
      <w:ind w:firstLine="720"/>
      <w:outlineLvl w:val="3"/>
    </w:pPr>
    <w:rPr>
      <w:b/>
    </w:rPr>
  </w:style>
  <w:style w:type="paragraph" w:styleId="Heading5">
    <w:name w:val="heading 5"/>
    <w:basedOn w:val="Normal"/>
    <w:next w:val="Normal"/>
    <w:link w:val="Heading5Char"/>
    <w:uiPriority w:val="9"/>
    <w:unhideWhenUsed/>
    <w:qFormat/>
    <w:rsid w:val="009D195B"/>
    <w:pPr>
      <w:ind w:firstLine="720"/>
      <w:outlineLvl w:val="4"/>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195B"/>
    <w:rPr>
      <w:rFonts w:ascii="Times New Roman" w:eastAsia="Times New Roman" w:hAnsi="Times New Roman" w:cs="Times New Roman"/>
    </w:rPr>
  </w:style>
  <w:style w:type="character" w:customStyle="1" w:styleId="Heading2Char">
    <w:name w:val="Heading 2 Char"/>
    <w:basedOn w:val="DefaultParagraphFont"/>
    <w:link w:val="Heading2"/>
    <w:uiPriority w:val="9"/>
    <w:rsid w:val="009D195B"/>
    <w:rPr>
      <w:rFonts w:ascii="Times New Roman" w:eastAsia="Times New Roman" w:hAnsi="Times New Roman" w:cs="Times New Roman"/>
      <w:caps/>
    </w:rPr>
  </w:style>
  <w:style w:type="character" w:customStyle="1" w:styleId="Heading3Char">
    <w:name w:val="Heading 3 Char"/>
    <w:basedOn w:val="DefaultParagraphFont"/>
    <w:link w:val="Heading3"/>
    <w:uiPriority w:val="9"/>
    <w:rsid w:val="009D195B"/>
    <w:rPr>
      <w:rFonts w:ascii="Times New Roman" w:eastAsia="Times New Roman" w:hAnsi="Times New Roman" w:cs="Times New Roman"/>
      <w:b/>
    </w:rPr>
  </w:style>
  <w:style w:type="character" w:customStyle="1" w:styleId="Heading4Char">
    <w:name w:val="Heading 4 Char"/>
    <w:basedOn w:val="DefaultParagraphFont"/>
    <w:link w:val="Heading4"/>
    <w:uiPriority w:val="9"/>
    <w:rsid w:val="009D195B"/>
    <w:rPr>
      <w:rFonts w:ascii="Times New Roman" w:eastAsia="Times New Roman" w:hAnsi="Times New Roman" w:cs="Times New Roman"/>
      <w:b/>
    </w:rPr>
  </w:style>
  <w:style w:type="character" w:customStyle="1" w:styleId="Heading5Char">
    <w:name w:val="Heading 5 Char"/>
    <w:basedOn w:val="DefaultParagraphFont"/>
    <w:link w:val="Heading5"/>
    <w:uiPriority w:val="9"/>
    <w:rsid w:val="009D195B"/>
    <w:rPr>
      <w:rFonts w:ascii="Times New Roman" w:eastAsia="Times New Roman" w:hAnsi="Times New Roman" w:cs="Times New Roman"/>
      <w:b/>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2032</Words>
  <Characters>11583</Characters>
  <Application>Microsoft Office Word</Application>
  <DocSecurity>0</DocSecurity>
  <Lines>96</Lines>
  <Paragraphs>27</Paragraphs>
  <ScaleCrop>false</ScaleCrop>
  <Company/>
  <LinksUpToDate>false</LinksUpToDate>
  <CharactersWithSpaces>13588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Domlyn, Ariel</dc:creator>
  <cp:keywords/>
  <dc:description/>
  <cp:lastModifiedBy>Domlyn, Ariel</cp:lastModifiedBy>
  <cp:revision>2</cp:revision>
  <dcterms:created xsi:type="dcterms:W3CDTF">2022-09-29T15:34:00Z</dcterms:created>
  <dcterms:modified xsi:type="dcterms:W3CDTF">2022-09-29T15:37:00Z</dcterms:modified>
</cp:coreProperties>
</file>