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A7B4B1" w14:textId="38B8C4A3" w:rsidR="006E24BE" w:rsidRDefault="006E24BE" w:rsidP="004579AD">
      <w:pPr>
        <w:pStyle w:val="NormalWeb"/>
      </w:pPr>
      <w:r>
        <w:rPr>
          <w:rFonts w:ascii="Times New Roman,Bold" w:hAnsi="Times New Roman,Bold"/>
        </w:rPr>
        <w:t>SUPPLEMENT A: STANDARDS FOR REPORTING QUALITATIVE RESEARCH (SRQR)</w:t>
      </w:r>
    </w:p>
    <w:tbl>
      <w:tblPr>
        <w:tblStyle w:val="TableGrid"/>
        <w:tblW w:w="0" w:type="auto"/>
        <w:tblLook w:val="04A0" w:firstRow="1" w:lastRow="0" w:firstColumn="1" w:lastColumn="0" w:noHBand="0" w:noVBand="1"/>
      </w:tblPr>
      <w:tblGrid>
        <w:gridCol w:w="3595"/>
        <w:gridCol w:w="9355"/>
      </w:tblGrid>
      <w:tr w:rsidR="004579AD" w14:paraId="77E00CEE" w14:textId="77777777" w:rsidTr="004579AD">
        <w:tc>
          <w:tcPr>
            <w:tcW w:w="3595" w:type="dxa"/>
          </w:tcPr>
          <w:p w14:paraId="24AE3361" w14:textId="1C20453B" w:rsidR="004579AD" w:rsidRDefault="004579AD">
            <w:r>
              <w:t>Topic</w:t>
            </w:r>
          </w:p>
        </w:tc>
        <w:tc>
          <w:tcPr>
            <w:tcW w:w="9355" w:type="dxa"/>
          </w:tcPr>
          <w:p w14:paraId="49F5DB04" w14:textId="6B036465" w:rsidR="004579AD" w:rsidRDefault="004579AD">
            <w:r>
              <w:t>Item</w:t>
            </w:r>
          </w:p>
        </w:tc>
      </w:tr>
      <w:tr w:rsidR="005C03BA" w14:paraId="1DF480AE" w14:textId="77777777" w:rsidTr="0029792F">
        <w:tc>
          <w:tcPr>
            <w:tcW w:w="12950" w:type="dxa"/>
            <w:gridSpan w:val="2"/>
            <w:shd w:val="clear" w:color="auto" w:fill="D5DCE4" w:themeFill="text2" w:themeFillTint="33"/>
          </w:tcPr>
          <w:p w14:paraId="778755D3" w14:textId="52FAC693" w:rsidR="005C03BA" w:rsidRDefault="005C03BA">
            <w:r w:rsidRPr="004579AD">
              <w:rPr>
                <w:b/>
                <w:bCs/>
              </w:rPr>
              <w:t>Title and abstract</w:t>
            </w:r>
          </w:p>
        </w:tc>
      </w:tr>
      <w:tr w:rsidR="004579AD" w14:paraId="162C18E4" w14:textId="77777777" w:rsidTr="004579AD">
        <w:tc>
          <w:tcPr>
            <w:tcW w:w="3595" w:type="dxa"/>
          </w:tcPr>
          <w:p w14:paraId="47F964F5" w14:textId="271CEF83" w:rsidR="004579AD" w:rsidRDefault="004579AD">
            <w:r>
              <w:t>Title</w:t>
            </w:r>
          </w:p>
        </w:tc>
        <w:tc>
          <w:tcPr>
            <w:tcW w:w="9355" w:type="dxa"/>
          </w:tcPr>
          <w:p w14:paraId="383236DB" w14:textId="0B7AAFC6" w:rsidR="004579AD" w:rsidRDefault="005C03BA">
            <w:pPr>
              <w:rPr>
                <w:i/>
                <w:iCs/>
              </w:rPr>
            </w:pPr>
            <w:r w:rsidRPr="00486F42">
              <w:rPr>
                <w:i/>
                <w:iCs/>
              </w:rPr>
              <w:t>Concise description of the nature and topic of the study Identifying the study as qualitative or indicating the approach (e.g., ethnography, grounded theory) or data collection methods (e.g., interview, focus group) is recommended</w:t>
            </w:r>
            <w:r w:rsidR="00486F42">
              <w:rPr>
                <w:i/>
                <w:iCs/>
              </w:rPr>
              <w:t>.</w:t>
            </w:r>
          </w:p>
          <w:p w14:paraId="49B9266B" w14:textId="77777777" w:rsidR="00486F42" w:rsidRPr="00486F42" w:rsidRDefault="00486F42">
            <w:pPr>
              <w:rPr>
                <w:i/>
                <w:iCs/>
              </w:rPr>
            </w:pPr>
          </w:p>
          <w:p w14:paraId="2BE124D1" w14:textId="77777777" w:rsidR="00486F42" w:rsidRDefault="00486F42">
            <w:r w:rsidRPr="00486F42">
              <w:t>Implementation stages for integrating behavioral health and primary care: A participatory Delphi study to refine a determinant framework</w:t>
            </w:r>
          </w:p>
          <w:p w14:paraId="45A2EB5D" w14:textId="5F03B26F" w:rsidR="00486F42" w:rsidRDefault="00486F42"/>
        </w:tc>
      </w:tr>
      <w:tr w:rsidR="004579AD" w14:paraId="0C0D3C26" w14:textId="77777777" w:rsidTr="004579AD">
        <w:tc>
          <w:tcPr>
            <w:tcW w:w="3595" w:type="dxa"/>
          </w:tcPr>
          <w:p w14:paraId="34C3AEF5" w14:textId="2339D0EE" w:rsidR="004579AD" w:rsidRDefault="004579AD">
            <w:r>
              <w:t>Abstract</w:t>
            </w:r>
          </w:p>
        </w:tc>
        <w:tc>
          <w:tcPr>
            <w:tcW w:w="9355" w:type="dxa"/>
          </w:tcPr>
          <w:p w14:paraId="0D2B13D2" w14:textId="6DE4D522" w:rsidR="004579AD" w:rsidRDefault="005C03BA">
            <w:pPr>
              <w:rPr>
                <w:i/>
                <w:iCs/>
              </w:rPr>
            </w:pPr>
            <w:r w:rsidRPr="00486F42">
              <w:rPr>
                <w:i/>
                <w:iCs/>
              </w:rPr>
              <w:t>Summary of key elements of the study using the abstract format of the intended publication; typically includes background, purpose, methods, results, and conclusions</w:t>
            </w:r>
            <w:r w:rsidR="00486F42">
              <w:rPr>
                <w:i/>
                <w:iCs/>
              </w:rPr>
              <w:t>.</w:t>
            </w:r>
          </w:p>
          <w:p w14:paraId="7ED1714F" w14:textId="77777777" w:rsidR="00082F33" w:rsidRPr="00486F42" w:rsidRDefault="00082F33">
            <w:pPr>
              <w:rPr>
                <w:i/>
                <w:iCs/>
              </w:rPr>
            </w:pPr>
          </w:p>
          <w:p w14:paraId="546322F8" w14:textId="77777777" w:rsidR="00082F33" w:rsidRDefault="00082F33" w:rsidP="00082F33">
            <w:r w:rsidRPr="00FD78DF">
              <w:rPr>
                <w:b/>
                <w:bCs/>
              </w:rPr>
              <w:t>Background</w:t>
            </w:r>
            <w:r>
              <w:t>: The integration of behavioral health and primary care is a best practice to improve patient outcomes and achieve health equity. However, the process of integrating is opaque, requiring organizational change and sometimes a complete system overhaul. Implementation science offers useful ideas for helping healthcare organizations to implement care, including recognition that change occurs incrementally and is stymied by specific barriers and facilitators. Determinants of successful care integration have been identified; however, much is unknown about how these factors may be relevant for organizations seeking to integrate care. This study sought to understand when implementation determinants (defined by the R=MC</w:t>
            </w:r>
            <w:r w:rsidRPr="00FD78DF">
              <w:rPr>
                <w:vertAlign w:val="superscript"/>
              </w:rPr>
              <w:t>2</w:t>
            </w:r>
            <w:r>
              <w:t xml:space="preserve"> framework) are most important in the process of integrating care across four implementation stages: Exploration, Installation, Initial Implementation, and Full Implementation.</w:t>
            </w:r>
          </w:p>
          <w:p w14:paraId="7A416952" w14:textId="77777777" w:rsidR="00082F33" w:rsidRDefault="00082F33" w:rsidP="00082F33"/>
          <w:p w14:paraId="3A7257D7" w14:textId="77777777" w:rsidR="00082F33" w:rsidRDefault="00082F33" w:rsidP="00082F33">
            <w:r w:rsidRPr="00FD78DF">
              <w:rPr>
                <w:b/>
                <w:bCs/>
              </w:rPr>
              <w:t>Methods</w:t>
            </w:r>
            <w:r>
              <w:t xml:space="preserve">: A participatory Delphi study gathered practice-based evidence from ten integrated care practitioners, researchers, and technical assistance providers. Qualitative and quantitative data was collected across four rounds. Qualitative summaries were presented back to participants between rounds for reaction and recalibration. The Framework Method guided initial qualitative analyses, then converged with descriptive statistics from a process survey. Coders used fuzzy set theory to create the </w:t>
            </w:r>
            <w:proofErr w:type="gramStart"/>
            <w:r>
              <w:t>final results</w:t>
            </w:r>
            <w:proofErr w:type="gramEnd"/>
            <w:r>
              <w:t xml:space="preserve"> on perceived relevance of each determinant across stages of implementation. </w:t>
            </w:r>
          </w:p>
          <w:p w14:paraId="4FA0A00E" w14:textId="77777777" w:rsidR="00082F33" w:rsidRPr="00FD78DF" w:rsidRDefault="00082F33" w:rsidP="00082F33">
            <w:pPr>
              <w:rPr>
                <w:b/>
                <w:bCs/>
              </w:rPr>
            </w:pPr>
          </w:p>
          <w:p w14:paraId="602927D4" w14:textId="77777777" w:rsidR="00082F33" w:rsidRDefault="00082F33" w:rsidP="00082F33">
            <w:r w:rsidRPr="00FD78DF">
              <w:rPr>
                <w:b/>
                <w:bCs/>
              </w:rPr>
              <w:t>Results</w:t>
            </w:r>
            <w:r>
              <w:t>: Results show most determinants – except perceived Simplicity of integrating care – are important over the lifespan of implementation. Determinant strength is most critical during active implementation stages. Determinants most relevant across implementation stages are Leadership, Priority, a Champion, Supportive Climate, Culture, Innovativeness, and Staff Capacities.</w:t>
            </w:r>
          </w:p>
          <w:p w14:paraId="25E9DBB1" w14:textId="77777777" w:rsidR="00082F33" w:rsidRDefault="00082F33" w:rsidP="00082F33"/>
          <w:p w14:paraId="5C731837" w14:textId="1B462ACE" w:rsidR="00486F42" w:rsidRDefault="00082F33">
            <w:r w:rsidRPr="00FD78DF">
              <w:rPr>
                <w:b/>
                <w:bCs/>
              </w:rPr>
              <w:t>Conclusions</w:t>
            </w:r>
            <w:r>
              <w:t xml:space="preserve">: The present study is one of a few examples that apply implementation science frameworks to the integration of behavioral health and primary care. Results provide a structure for assessing determinants by phase and could be used to determine precision and timing of resource allocation to facilitate integration. </w:t>
            </w:r>
          </w:p>
          <w:p w14:paraId="521BB575" w14:textId="48A426D8" w:rsidR="00486F42" w:rsidRDefault="00486F42"/>
        </w:tc>
      </w:tr>
      <w:tr w:rsidR="005C03BA" w14:paraId="5B3F5F6F" w14:textId="77777777" w:rsidTr="0029792F">
        <w:tc>
          <w:tcPr>
            <w:tcW w:w="12950" w:type="dxa"/>
            <w:gridSpan w:val="2"/>
            <w:shd w:val="clear" w:color="auto" w:fill="D5DCE4" w:themeFill="text2" w:themeFillTint="33"/>
          </w:tcPr>
          <w:p w14:paraId="2AF02EC7" w14:textId="281BBD60" w:rsidR="005C03BA" w:rsidRDefault="005C03BA">
            <w:r>
              <w:rPr>
                <w:b/>
                <w:bCs/>
              </w:rPr>
              <w:lastRenderedPageBreak/>
              <w:t>Introduction</w:t>
            </w:r>
          </w:p>
        </w:tc>
      </w:tr>
      <w:tr w:rsidR="004579AD" w14:paraId="04BF288F" w14:textId="77777777" w:rsidTr="004579AD">
        <w:tc>
          <w:tcPr>
            <w:tcW w:w="3595" w:type="dxa"/>
          </w:tcPr>
          <w:p w14:paraId="31A1E0F9" w14:textId="021DE887" w:rsidR="004579AD" w:rsidRPr="004579AD" w:rsidRDefault="004579AD">
            <w:r>
              <w:t>Problem formulation</w:t>
            </w:r>
          </w:p>
        </w:tc>
        <w:tc>
          <w:tcPr>
            <w:tcW w:w="9355" w:type="dxa"/>
          </w:tcPr>
          <w:p w14:paraId="5CA546EE" w14:textId="77777777" w:rsidR="004579AD" w:rsidRPr="00486F42" w:rsidRDefault="005C03BA">
            <w:pPr>
              <w:rPr>
                <w:i/>
                <w:iCs/>
              </w:rPr>
            </w:pPr>
            <w:r w:rsidRPr="00486F42">
              <w:rPr>
                <w:i/>
                <w:iCs/>
              </w:rPr>
              <w:t>Description and significance of the problem/phenomenon studied; review of relevant theory and empirical work; problem statement</w:t>
            </w:r>
            <w:r w:rsidR="00486F42" w:rsidRPr="00486F42">
              <w:rPr>
                <w:i/>
                <w:iCs/>
              </w:rPr>
              <w:t>.</w:t>
            </w:r>
          </w:p>
          <w:p w14:paraId="23BE3357" w14:textId="52C45ED4" w:rsidR="00486F42" w:rsidRDefault="00486F42"/>
          <w:p w14:paraId="5276DD21" w14:textId="430B2379" w:rsidR="00082F33" w:rsidRDefault="00082F33">
            <w:r>
              <w:t>The integration of behavioral health with medical care could improve clinical outcomes and mitigate healthcare costs (</w:t>
            </w:r>
            <w:proofErr w:type="spellStart"/>
            <w:r>
              <w:t>Padwa</w:t>
            </w:r>
            <w:proofErr w:type="spellEnd"/>
            <w:r>
              <w:t xml:space="preserve"> et al., 2016). Unfortunately, there is little existing knowledge on how to successfully integrate care (Martínez-Gonzalez, </w:t>
            </w:r>
            <w:proofErr w:type="spellStart"/>
            <w:r>
              <w:t>Berchtold</w:t>
            </w:r>
            <w:proofErr w:type="spellEnd"/>
            <w:r>
              <w:t xml:space="preserve">, Ullman, </w:t>
            </w:r>
            <w:proofErr w:type="spellStart"/>
            <w:r>
              <w:t>Busato</w:t>
            </w:r>
            <w:proofErr w:type="spellEnd"/>
            <w:r>
              <w:t xml:space="preserve">, &amp; Egger, 2014; </w:t>
            </w:r>
            <w:r w:rsidRPr="004B5A03">
              <w:t>Technical Assistance Collaborative/Huma</w:t>
            </w:r>
            <w:r>
              <w:t xml:space="preserve">n Services Research Institutes, 2012). Although several methods have been proposed (e.g., Cash-Gibson, </w:t>
            </w:r>
            <w:proofErr w:type="spellStart"/>
            <w:r>
              <w:t>Tigova</w:t>
            </w:r>
            <w:proofErr w:type="spellEnd"/>
            <w:r>
              <w:t xml:space="preserve">, Alonso, Binkley, &amp; </w:t>
            </w:r>
            <w:proofErr w:type="spellStart"/>
            <w:r>
              <w:t>Rosenmöller</w:t>
            </w:r>
            <w:proofErr w:type="spellEnd"/>
            <w:r>
              <w:t xml:space="preserve">, 2019; </w:t>
            </w:r>
            <w:proofErr w:type="spellStart"/>
            <w:r>
              <w:t>Ratzliff</w:t>
            </w:r>
            <w:proofErr w:type="spellEnd"/>
            <w:r>
              <w:t xml:space="preserve">, Philips, Sugarman, </w:t>
            </w:r>
            <w:proofErr w:type="spellStart"/>
            <w:r>
              <w:t>Unützer</w:t>
            </w:r>
            <w:proofErr w:type="spellEnd"/>
            <w:r>
              <w:t>, &amp; Wagner, 2017), most existing tools are limited because they primarily prescribe activities for clinics to complete. Checklists are insufficient for effective implementation. This calls for a tool of support to integrate care that considers both stages of change for assessing and improving barriers and pertinent contextual factors.</w:t>
            </w:r>
          </w:p>
          <w:p w14:paraId="2A406DC0" w14:textId="43F4DC8F" w:rsidR="00082F33" w:rsidRDefault="00082F33"/>
        </w:tc>
      </w:tr>
      <w:tr w:rsidR="004579AD" w14:paraId="78184ED1" w14:textId="77777777" w:rsidTr="004579AD">
        <w:tc>
          <w:tcPr>
            <w:tcW w:w="3595" w:type="dxa"/>
          </w:tcPr>
          <w:p w14:paraId="48C94328" w14:textId="69D9BED0" w:rsidR="004579AD" w:rsidRDefault="004579AD">
            <w:r>
              <w:t>Purpose or research question</w:t>
            </w:r>
          </w:p>
        </w:tc>
        <w:tc>
          <w:tcPr>
            <w:tcW w:w="9355" w:type="dxa"/>
          </w:tcPr>
          <w:p w14:paraId="6D1B781B" w14:textId="77777777" w:rsidR="00486F42" w:rsidRPr="00486F42" w:rsidRDefault="005C03BA">
            <w:pPr>
              <w:rPr>
                <w:i/>
                <w:iCs/>
              </w:rPr>
            </w:pPr>
            <w:r w:rsidRPr="00486F42">
              <w:rPr>
                <w:i/>
                <w:iCs/>
              </w:rPr>
              <w:t>Purpose of the study and specific objectives or questions</w:t>
            </w:r>
            <w:r w:rsidR="00486F42" w:rsidRPr="00486F42">
              <w:rPr>
                <w:i/>
                <w:iCs/>
              </w:rPr>
              <w:t>.</w:t>
            </w:r>
          </w:p>
          <w:p w14:paraId="72D0D197" w14:textId="065A7E0C" w:rsidR="00486F42" w:rsidRDefault="00486F42"/>
          <w:p w14:paraId="58A2521F" w14:textId="66355F34" w:rsidR="00082F33" w:rsidRDefault="00082F33">
            <w:r>
              <w:t>This study seeks to address gaps in research and practice by further specifying the relevant determinants of implementation success for healthcare organizations to integrate behavioral health and primary care.</w:t>
            </w:r>
          </w:p>
          <w:p w14:paraId="6C223A02" w14:textId="51DBA835" w:rsidR="00486F42" w:rsidRDefault="00486F42"/>
        </w:tc>
      </w:tr>
      <w:tr w:rsidR="005C03BA" w14:paraId="1AD67E67" w14:textId="77777777" w:rsidTr="0029792F">
        <w:tc>
          <w:tcPr>
            <w:tcW w:w="12950" w:type="dxa"/>
            <w:gridSpan w:val="2"/>
            <w:shd w:val="clear" w:color="auto" w:fill="D5DCE4" w:themeFill="text2" w:themeFillTint="33"/>
          </w:tcPr>
          <w:p w14:paraId="7C5D1AB5" w14:textId="716339C2" w:rsidR="005C03BA" w:rsidRDefault="005C03BA">
            <w:r>
              <w:rPr>
                <w:b/>
                <w:bCs/>
              </w:rPr>
              <w:lastRenderedPageBreak/>
              <w:t>Methods</w:t>
            </w:r>
          </w:p>
        </w:tc>
      </w:tr>
      <w:tr w:rsidR="004579AD" w14:paraId="6FB678FA" w14:textId="77777777" w:rsidTr="004579AD">
        <w:tc>
          <w:tcPr>
            <w:tcW w:w="3595" w:type="dxa"/>
          </w:tcPr>
          <w:p w14:paraId="47138C3F" w14:textId="7E04D1FC" w:rsidR="004579AD" w:rsidRPr="004579AD" w:rsidRDefault="004579AD">
            <w:r>
              <w:t>Qualitative approach and research paradigm</w:t>
            </w:r>
          </w:p>
        </w:tc>
        <w:tc>
          <w:tcPr>
            <w:tcW w:w="9355" w:type="dxa"/>
          </w:tcPr>
          <w:p w14:paraId="140396C2" w14:textId="77777777" w:rsidR="004579AD" w:rsidRPr="00486F42" w:rsidRDefault="005C03BA">
            <w:pPr>
              <w:rPr>
                <w:i/>
                <w:iCs/>
              </w:rPr>
            </w:pPr>
            <w:r w:rsidRPr="00486F42">
              <w:rPr>
                <w:i/>
                <w:iCs/>
              </w:rPr>
              <w:t>Qualitative approach (e.g., ethnography, grounded theory, case study, phenomenology, narrative research) and guiding theory if appropriate; identifying the research paradigm (e.g., postpositivist, constructivist/ interpretivist) is also recommended; rationale</w:t>
            </w:r>
            <w:r w:rsidR="00486F42" w:rsidRPr="00486F42">
              <w:rPr>
                <w:i/>
                <w:iCs/>
              </w:rPr>
              <w:t>.</w:t>
            </w:r>
          </w:p>
          <w:p w14:paraId="74A07400" w14:textId="77777777" w:rsidR="00486F42" w:rsidRPr="00486F42" w:rsidRDefault="00486F42">
            <w:pPr>
              <w:rPr>
                <w:i/>
                <w:iCs/>
              </w:rPr>
            </w:pPr>
          </w:p>
          <w:p w14:paraId="53F817D0" w14:textId="7D0C5791" w:rsidR="00486F42" w:rsidRPr="00082F33" w:rsidRDefault="00082F33">
            <w:r>
              <w:t>A participatory modified Delphi study was used to collect practice-based evidence on the topic. The aim is to reach group consensus on the problem, accomplished through iterative rounds of inquiry and confidential feedback by the respondents (Hasson, Keeney, &amp; McKenna, 2000). Because some research has already identified existing determinants and contextual factors affecting successful integration, a modified Delphi where the survey rounds are structured questionnaires (Watkins et al., 2013) is most appropriate. The method is also flexible to collect both qualitative and quantitative data (Brady, 2016). This study collected perceptions on a Likert scale to quantify consensus and collected written and oral opinions to supplement the findings.</w:t>
            </w:r>
          </w:p>
        </w:tc>
      </w:tr>
      <w:tr w:rsidR="004579AD" w14:paraId="2EA4F1D3" w14:textId="77777777" w:rsidTr="004579AD">
        <w:tc>
          <w:tcPr>
            <w:tcW w:w="3595" w:type="dxa"/>
          </w:tcPr>
          <w:p w14:paraId="02BF17DD" w14:textId="79CCD52B" w:rsidR="004579AD" w:rsidRDefault="004579AD">
            <w:r>
              <w:t>Researcher characteristics and reflexivity</w:t>
            </w:r>
          </w:p>
        </w:tc>
        <w:tc>
          <w:tcPr>
            <w:tcW w:w="9355" w:type="dxa"/>
          </w:tcPr>
          <w:p w14:paraId="6AFFA092" w14:textId="77777777" w:rsidR="004579AD" w:rsidRDefault="005C03BA">
            <w:pPr>
              <w:rPr>
                <w:i/>
                <w:iCs/>
              </w:rPr>
            </w:pPr>
            <w:r w:rsidRPr="00486F42">
              <w:rPr>
                <w:i/>
                <w:iCs/>
              </w:rPr>
              <w:t>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r w:rsidR="00082F33">
              <w:rPr>
                <w:i/>
                <w:iCs/>
              </w:rPr>
              <w:t>.</w:t>
            </w:r>
          </w:p>
          <w:p w14:paraId="3F6CBFBD" w14:textId="77777777" w:rsidR="00082F33" w:rsidRDefault="00082F33">
            <w:pPr>
              <w:rPr>
                <w:i/>
                <w:iCs/>
              </w:rPr>
            </w:pPr>
          </w:p>
          <w:p w14:paraId="780338BF" w14:textId="54AA260F" w:rsidR="00082F33" w:rsidRPr="00082F33" w:rsidRDefault="00082F33">
            <w:r>
              <w:t xml:space="preserve">The </w:t>
            </w:r>
            <w:r w:rsidR="00657843">
              <w:t>lead researcher is a behavioral health practitioner with experience practicing in both community mental healthcare clinics and integrated medical clinics. She is also an implementation scientist and consultant and was practicing both behavioral health interventions and implementation studies while conducting the current study. Some study participants were already known professionally to the lead researcher through her various roles, while others were not previously known</w:t>
            </w:r>
            <w:r w:rsidR="006A52FA">
              <w:t xml:space="preserve"> to her</w:t>
            </w:r>
            <w:r w:rsidR="00657843">
              <w:t xml:space="preserve">. While the lead researcher led recruitment and study design, very effort was made to blind the lead researcher to participant identities during the Delphi process and data analysis. The current study is USA-centric and </w:t>
            </w:r>
            <w:r w:rsidR="006A52FA">
              <w:t xml:space="preserve">assumes implementation determinants can be generalized across types of healthcare settings and models of integrating care. Collaborators (including co-authors and coders) had relatively less experience with behavioral health and significantly less experience with integrated care compared to the lead researcher. </w:t>
            </w:r>
          </w:p>
        </w:tc>
      </w:tr>
      <w:tr w:rsidR="004579AD" w14:paraId="044B0DCE" w14:textId="77777777" w:rsidTr="004579AD">
        <w:tc>
          <w:tcPr>
            <w:tcW w:w="3595" w:type="dxa"/>
          </w:tcPr>
          <w:p w14:paraId="750C5042" w14:textId="1032342E" w:rsidR="004579AD" w:rsidRDefault="004579AD">
            <w:r>
              <w:t>Context</w:t>
            </w:r>
          </w:p>
        </w:tc>
        <w:tc>
          <w:tcPr>
            <w:tcW w:w="9355" w:type="dxa"/>
          </w:tcPr>
          <w:p w14:paraId="746FE903" w14:textId="21B03CE0" w:rsidR="004579AD" w:rsidRPr="00486F42" w:rsidRDefault="005C03BA">
            <w:pPr>
              <w:rPr>
                <w:i/>
                <w:iCs/>
              </w:rPr>
            </w:pPr>
            <w:r w:rsidRPr="00486F42">
              <w:rPr>
                <w:i/>
                <w:iCs/>
              </w:rPr>
              <w:t>Setting/site and salient contextual factors; rationale</w:t>
            </w:r>
          </w:p>
        </w:tc>
      </w:tr>
      <w:tr w:rsidR="004579AD" w14:paraId="7969A6C6" w14:textId="77777777" w:rsidTr="004579AD">
        <w:tc>
          <w:tcPr>
            <w:tcW w:w="3595" w:type="dxa"/>
          </w:tcPr>
          <w:p w14:paraId="40FADA92" w14:textId="3665974F" w:rsidR="004579AD" w:rsidRDefault="004579AD">
            <w:r>
              <w:lastRenderedPageBreak/>
              <w:t>Sampling strategy</w:t>
            </w:r>
          </w:p>
        </w:tc>
        <w:tc>
          <w:tcPr>
            <w:tcW w:w="9355" w:type="dxa"/>
          </w:tcPr>
          <w:p w14:paraId="20755212" w14:textId="77777777" w:rsidR="004579AD" w:rsidRDefault="005C03BA">
            <w:r w:rsidRPr="00486F42">
              <w:rPr>
                <w:i/>
                <w:iCs/>
              </w:rPr>
              <w:t>How and why research participants, documents, or events were selected; criteria for deciding when no further sampling was necessary (e.g., sampling saturation); rationale</w:t>
            </w:r>
          </w:p>
          <w:p w14:paraId="3AF2222E" w14:textId="77777777" w:rsidR="006A52FA" w:rsidRDefault="006A52FA"/>
          <w:p w14:paraId="6C7B6AB0" w14:textId="780C3B85" w:rsidR="003849DB" w:rsidRDefault="003849DB" w:rsidP="00B519FD">
            <w:pPr>
              <w:pStyle w:val="NormalWeb"/>
            </w:pPr>
            <w:proofErr w:type="spellStart"/>
            <w:r>
              <w:t>R</w:t>
            </w:r>
            <w:r>
              <w:rPr>
                <w:rFonts w:ascii="TimesNewRomanPSMT" w:hAnsi="TimesNewRomanPSMT"/>
              </w:rPr>
              <w:t>recruitment</w:t>
            </w:r>
            <w:proofErr w:type="spellEnd"/>
            <w:r>
              <w:rPr>
                <w:rFonts w:ascii="TimesNewRomanPSMT" w:hAnsi="TimesNewRomanPSMT"/>
              </w:rPr>
              <w:t xml:space="preserve"> took place in July and August 2018. This study used a combination of purposive and snowball sampling (Palinkas et al., 2015). Individuals were invited to the study based on the author’s knowledge that they would meet experiential criterion (described below); additional participants were recommended by the initial pool of potential participants. Expertise worthy of inclusion on the panel was determined by peer nomination (i.e., researchers and practitioners identified by the author nominated other researchers and practitioners as potential participants), screening questions for self-reported experience, and additional inquiry on details of experience during the Round 1 interview. A study flyer was disseminated to initial nominees to be shared with those they felt could be effective contributors. Email or phone contact was initiated between the researcher and the participant to further discuss the study. Then an online information session was held to discuss the study’s inclusion criteria, timeline, burden, compensation, and purpose, as well as to answer potential participants’ questions. </w:t>
            </w:r>
          </w:p>
          <w:p w14:paraId="52FF3765" w14:textId="085448EB" w:rsidR="00AF480D" w:rsidRDefault="00B519FD" w:rsidP="003849DB">
            <w:pPr>
              <w:pStyle w:val="NormalWeb"/>
            </w:pPr>
            <w:r>
              <w:rPr>
                <w:rFonts w:ascii="TimesNewRomanPSMT" w:hAnsi="TimesNewRomanPSMT"/>
              </w:rPr>
              <w:t xml:space="preserve">Although Delphi literature often uses the term “expert” to identify group members involved in the process, the labels “participant”, “respondent”, or “panelist” will be used for the purposes of this study. This avoids presumption of a certain kind of expertise and is consistent with evolving practices in the method (Trevelyan &amp; Robinson, 2015). A maximum of 15 participants were sought for recruitment based on the suggestion that 8 to 15 panelists is ideal for a Delphi study (Trevelyan &amp; Robinson, 2015). Because all participants must move through the process collectively, rolling recruitment is not possible. To leave room for attrition, it was determined that a minimum of 10 participants would be necessary to begin the study. </w:t>
            </w:r>
          </w:p>
          <w:p w14:paraId="49FA9C69" w14:textId="5D95B2F5" w:rsidR="006A52FA" w:rsidRDefault="006A52FA" w:rsidP="006A52FA">
            <w:r>
              <w:t xml:space="preserve">Three narrow criteria were used to nominate participants, with the expectation that each participant must meet at least one: Criterion A) Staff (e.g. physicians, nurses, behavioral health specialists, administrators) currently or previously (for at least one year) at a clinic that has integrated behavioral health and primary care where previously they did not have an integrated system; Criterion B) Consultants or technical assistance providers for clinics integrating care, who had provided this type of support to clinics for at least one year; Criterion C) Researchers </w:t>
            </w:r>
            <w:r>
              <w:lastRenderedPageBreak/>
              <w:t>who have studied both implementation science and integrated care for at least one year. These criteria were selected to capture the three different systemic levels of influence for implementation success within the framework that provided the conceptual basis upon which the R=MC</w:t>
            </w:r>
            <w:r>
              <w:rPr>
                <w:vertAlign w:val="superscript"/>
              </w:rPr>
              <w:t>2</w:t>
            </w:r>
            <w:r>
              <w:t xml:space="preserve"> determinants were built (</w:t>
            </w:r>
            <w:proofErr w:type="spellStart"/>
            <w:r>
              <w:t>Scaccia</w:t>
            </w:r>
            <w:proofErr w:type="spellEnd"/>
            <w:r>
              <w:t xml:space="preserve"> et al., 2015); in the Interactive Systems Framework (ISF; </w:t>
            </w:r>
            <w:proofErr w:type="spellStart"/>
            <w:r>
              <w:t>Wandersman</w:t>
            </w:r>
            <w:proofErr w:type="spellEnd"/>
            <w:r>
              <w:t xml:space="preserve"> et al., 2008) this represents actors within the delivery system (Criterion A), support system (Criterion B), and synthesis and translation system (Criterion C). Multiple criteria ensured a diversity of experience on the study panel, consistent with Delphi method best practices for dependability.</w:t>
            </w:r>
          </w:p>
          <w:p w14:paraId="7AE9EFF3" w14:textId="77777777" w:rsidR="006A52FA" w:rsidRDefault="006A52FA" w:rsidP="006A52FA"/>
          <w:p w14:paraId="2E4F407D" w14:textId="77777777" w:rsidR="006A52FA" w:rsidRDefault="006A52FA" w:rsidP="006A52FA">
            <w:r>
              <w:t xml:space="preserve">To verify eligibility, the Round 1 interview asked participants to first describe their experience on each inclusion criterion and then self-rate their level of experience on the criterion using a 4-point scale: None, minimal, adequate, or extensive. Participants were deemed eligible to continue if they self-rated as “adequate” or “extensive” on at least one criterion </w:t>
            </w:r>
            <w:r w:rsidRPr="00C722C6">
              <w:rPr>
                <w:i/>
              </w:rPr>
              <w:t>and</w:t>
            </w:r>
            <w:r>
              <w:t xml:space="preserve"> the interviewer judged this rating to be accurate based on their verbal description of experience. Inclusion criteria </w:t>
            </w:r>
            <w:proofErr w:type="gramStart"/>
            <w:r>
              <w:t>were:</w:t>
            </w:r>
            <w:proofErr w:type="gramEnd"/>
            <w:r>
              <w:t xml:space="preserve"> Criterion 1A) Adequate or extensive level of experience implementing organizational changes within healthcare clinics; 1B) Adequate or extensive level of experience helping healthcare clinics to implement organizational changes, such as by providing consultation or technical assistance; 1C) Adequate or extensive experience with research in implementation science or integrated care. Participants were invited to continue with the study if they met at least one inclusion criterion. </w:t>
            </w:r>
            <w:bookmarkStart w:id="0" w:name="_Participant_Information"/>
            <w:bookmarkEnd w:id="0"/>
          </w:p>
          <w:p w14:paraId="729FD98B" w14:textId="776363A1" w:rsidR="006A52FA" w:rsidRPr="006A52FA" w:rsidRDefault="006A52FA"/>
        </w:tc>
      </w:tr>
      <w:tr w:rsidR="004579AD" w14:paraId="23356251" w14:textId="77777777" w:rsidTr="004579AD">
        <w:tc>
          <w:tcPr>
            <w:tcW w:w="3595" w:type="dxa"/>
          </w:tcPr>
          <w:p w14:paraId="03BD0C10" w14:textId="5768D1FB" w:rsidR="004579AD" w:rsidRDefault="004579AD">
            <w:r>
              <w:lastRenderedPageBreak/>
              <w:t>Ethical issues pertaining to human subjects</w:t>
            </w:r>
          </w:p>
        </w:tc>
        <w:tc>
          <w:tcPr>
            <w:tcW w:w="9355" w:type="dxa"/>
          </w:tcPr>
          <w:p w14:paraId="58649B39" w14:textId="77777777" w:rsidR="004579AD" w:rsidRDefault="005C03BA">
            <w:r w:rsidRPr="00486F42">
              <w:rPr>
                <w:i/>
                <w:iCs/>
              </w:rPr>
              <w:t>Documentation of approval by an appropriate ethics review board and participant consent, or explanation for lack thereof; other confidentiality and data security issues</w:t>
            </w:r>
          </w:p>
          <w:p w14:paraId="71934EDF" w14:textId="77777777" w:rsidR="006A52FA" w:rsidRDefault="006A52FA"/>
          <w:p w14:paraId="2B2DD0CF" w14:textId="548E2462" w:rsidR="003849DB" w:rsidRDefault="00AF480D">
            <w:r w:rsidRPr="00AF480D">
              <w:t xml:space="preserve">This study was approved by the </w:t>
            </w:r>
            <w:r>
              <w:t>lead institutions</w:t>
            </w:r>
            <w:r w:rsidRPr="00AF480D">
              <w:t xml:space="preserve"> IRB (Project #00080293) on July 17, </w:t>
            </w:r>
            <w:proofErr w:type="gramStart"/>
            <w:r w:rsidRPr="00AF480D">
              <w:t>2018</w:t>
            </w:r>
            <w:proofErr w:type="gramEnd"/>
            <w:r w:rsidRPr="00AF480D">
              <w:t xml:space="preserve"> and deemed exempt from review.</w:t>
            </w:r>
          </w:p>
          <w:p w14:paraId="0684797D" w14:textId="39B7A051" w:rsidR="003849DB" w:rsidRPr="006A52FA" w:rsidRDefault="003849DB" w:rsidP="003849DB">
            <w:pPr>
              <w:pStyle w:val="NormalWeb"/>
            </w:pPr>
            <w:r>
              <w:rPr>
                <w:rFonts w:ascii="TimesNewRomanPSMT" w:hAnsi="TimesNewRomanPSMT"/>
              </w:rPr>
              <w:t xml:space="preserve">Each participant was eligible for compensation up to $140 depending on the number of rounds completed: First round (interview) completion earned $30, second and third rounds (online survey) completion each earned $25, and a final focus group completion earned $30. An additional bonus of $30 was offered for completing all activities. This amount was deemed necessary due to the burden of the study – where each round took at least one hour – and the </w:t>
            </w:r>
            <w:proofErr w:type="gramStart"/>
            <w:r>
              <w:rPr>
                <w:rFonts w:ascii="TimesNewRomanPSMT" w:hAnsi="TimesNewRomanPSMT"/>
              </w:rPr>
              <w:t>high income</w:t>
            </w:r>
            <w:proofErr w:type="gramEnd"/>
            <w:r>
              <w:rPr>
                <w:rFonts w:ascii="TimesNewRomanPSMT" w:hAnsi="TimesNewRomanPSMT"/>
              </w:rPr>
              <w:t xml:space="preserve"> bracket among the target population (e.g., healthcare professionals and university </w:t>
            </w:r>
            <w:r>
              <w:rPr>
                <w:rFonts w:ascii="TimesNewRomanPSMT" w:hAnsi="TimesNewRomanPSMT"/>
              </w:rPr>
              <w:lastRenderedPageBreak/>
              <w:t xml:space="preserve">researchers). One potential method for determining compensation is to determine the average wage of the subjects and rough amount of time study participation will take (Pandya &amp; Desai, 2013). Given that participants ranged from tenured professors to medical center staff to psychiatrists, most located in urban centers in the United States, it was determined that the likely annual salary range of participants is $50,000 - $250,000. This ranges from $24 - $120 per hour. The study was expected to take participants a total of four hours, which would range from $96 - $480. Given restrictions in available budget – and seeking to avoid undue influence – the lower quartile of this range ($144) was identified as a benchmark for acceptable compensation for this study. It was rounded to account for limitations in the study budget. It was determined that compensation would not vary by participant (Pandya &amp; Desai, 2013), as they are all completing the same tasks and are selected for their expertise. </w:t>
            </w:r>
          </w:p>
        </w:tc>
      </w:tr>
      <w:tr w:rsidR="004579AD" w14:paraId="420AA546" w14:textId="77777777" w:rsidTr="004579AD">
        <w:tc>
          <w:tcPr>
            <w:tcW w:w="3595" w:type="dxa"/>
          </w:tcPr>
          <w:p w14:paraId="6F17F2C6" w14:textId="48A5E1A1" w:rsidR="004579AD" w:rsidRDefault="004579AD">
            <w:r>
              <w:lastRenderedPageBreak/>
              <w:t>Data collection methods</w:t>
            </w:r>
          </w:p>
        </w:tc>
        <w:tc>
          <w:tcPr>
            <w:tcW w:w="9355" w:type="dxa"/>
          </w:tcPr>
          <w:p w14:paraId="42AA0121" w14:textId="77777777" w:rsidR="004579AD" w:rsidRDefault="005C03BA">
            <w:r w:rsidRPr="00486F42">
              <w:rPr>
                <w:i/>
                <w:iCs/>
              </w:rPr>
              <w:t>Types of data collected; details of data collection procedures including (as appropriate) start and stop dates of data collection and analysis, iterative process, triangulation of sources/methods, and modification of procedures in response to evolving study findings; rationale</w:t>
            </w:r>
          </w:p>
          <w:p w14:paraId="577EDD64" w14:textId="77777777" w:rsidR="00B519FD" w:rsidRDefault="00AF480D" w:rsidP="00B519FD">
            <w:pPr>
              <w:pStyle w:val="NormalWeb"/>
            </w:pPr>
            <w:r>
              <w:rPr>
                <w:rFonts w:ascii="TimesNewRomanPSMT" w:hAnsi="TimesNewRomanPSMT"/>
              </w:rPr>
              <w:t xml:space="preserve">Data collection ran from August through December 2018. Data was collected using a participatory action approach to collect both quantitative and qualitative data (QUAN + Qual; Palinkas et al., 2011) to address the research questions. </w:t>
            </w:r>
            <w:r w:rsidR="00B519FD">
              <w:rPr>
                <w:rFonts w:ascii="TimesNewRomanPSMT" w:hAnsi="TimesNewRomanPSMT"/>
              </w:rPr>
              <w:t xml:space="preserve">Determination was made a priori to hold three rounds of primary data collection: individual semi-structured interviews (Round 1), and two structured online surveys (Rounds 2 and 3; each described in detail in the following pages). Consistent with the method, the procedure was iterative with each round informed by the previous. The first three rounds were conducted independently to ensure anonymity; only the researcher knew the identities of panelists. The study culminated in a focus group with all participants. </w:t>
            </w:r>
          </w:p>
          <w:p w14:paraId="65D50705" w14:textId="2BA5F1A9" w:rsidR="00B519FD" w:rsidRDefault="00B519FD" w:rsidP="00B519FD">
            <w:pPr>
              <w:pStyle w:val="NormalWeb"/>
            </w:pPr>
            <w:r>
              <w:rPr>
                <w:rFonts w:ascii="TimesNewRomanPSMT" w:hAnsi="TimesNewRomanPSMT"/>
              </w:rPr>
              <w:t xml:space="preserve">During each round, panelists were reminded that their participation was </w:t>
            </w:r>
            <w:proofErr w:type="gramStart"/>
            <w:r>
              <w:rPr>
                <w:rFonts w:ascii="TimesNewRomanPSMT" w:hAnsi="TimesNewRomanPSMT"/>
              </w:rPr>
              <w:t>voluntary</w:t>
            </w:r>
            <w:proofErr w:type="gramEnd"/>
            <w:r>
              <w:rPr>
                <w:rFonts w:ascii="TimesNewRomanPSMT" w:hAnsi="TimesNewRomanPSMT"/>
              </w:rPr>
              <w:t xml:space="preserve"> and they could withdraw at any time. Recruitment materials (both flyers and an information session) invited potential participants to help co-design and/or pilot each round of the study; no one elected to do so. However, procedural suggestions made by participants during the Delphi study process did inform each following round. This is consistent with the exploratory and participatory nature of the method. </w:t>
            </w:r>
          </w:p>
          <w:p w14:paraId="01163E08" w14:textId="387B3C69" w:rsidR="00B519FD" w:rsidRDefault="00B519FD" w:rsidP="00B519FD">
            <w:pPr>
              <w:pStyle w:val="NormalWeb"/>
            </w:pPr>
          </w:p>
          <w:p w14:paraId="04C98547" w14:textId="39002324" w:rsidR="00AF480D" w:rsidRPr="00AF480D" w:rsidRDefault="00AF480D" w:rsidP="00AF480D">
            <w:pPr>
              <w:pStyle w:val="NormalWeb"/>
            </w:pPr>
          </w:p>
        </w:tc>
      </w:tr>
      <w:tr w:rsidR="004579AD" w14:paraId="68B7F4A0" w14:textId="77777777" w:rsidTr="004579AD">
        <w:tc>
          <w:tcPr>
            <w:tcW w:w="3595" w:type="dxa"/>
          </w:tcPr>
          <w:p w14:paraId="5CCAE4D6" w14:textId="6B2C3251" w:rsidR="004579AD" w:rsidRDefault="004579AD">
            <w:r>
              <w:lastRenderedPageBreak/>
              <w:t>Data collection instruments and technologies</w:t>
            </w:r>
          </w:p>
        </w:tc>
        <w:tc>
          <w:tcPr>
            <w:tcW w:w="9355" w:type="dxa"/>
          </w:tcPr>
          <w:p w14:paraId="6EB9CB44" w14:textId="00BEC961" w:rsidR="004579AD" w:rsidRPr="00486F42" w:rsidRDefault="005C03BA">
            <w:pPr>
              <w:rPr>
                <w:i/>
                <w:iCs/>
              </w:rPr>
            </w:pPr>
            <w:r w:rsidRPr="00486F42">
              <w:rPr>
                <w:i/>
                <w:iCs/>
              </w:rPr>
              <w:t xml:space="preserve">Description of instruments (e.g., interview guides, questionnaires) and devices (e.g., audio recorders) used for data </w:t>
            </w:r>
            <w:proofErr w:type="gramStart"/>
            <w:r w:rsidRPr="00486F42">
              <w:rPr>
                <w:i/>
                <w:iCs/>
              </w:rPr>
              <w:t>collection;</w:t>
            </w:r>
            <w:proofErr w:type="gramEnd"/>
            <w:r w:rsidRPr="00486F42">
              <w:rPr>
                <w:i/>
                <w:iCs/>
              </w:rPr>
              <w:t xml:space="preserve"> if/how the instrument(s) changed over the course of the study</w:t>
            </w:r>
          </w:p>
        </w:tc>
      </w:tr>
      <w:tr w:rsidR="004579AD" w14:paraId="167C686A" w14:textId="77777777" w:rsidTr="004579AD">
        <w:tc>
          <w:tcPr>
            <w:tcW w:w="3595" w:type="dxa"/>
          </w:tcPr>
          <w:p w14:paraId="5DBEBBD6" w14:textId="77CBB399" w:rsidR="004579AD" w:rsidRDefault="004579AD">
            <w:r>
              <w:t>Units of study</w:t>
            </w:r>
          </w:p>
        </w:tc>
        <w:tc>
          <w:tcPr>
            <w:tcW w:w="9355" w:type="dxa"/>
          </w:tcPr>
          <w:p w14:paraId="3AE206E1" w14:textId="77777777" w:rsidR="004579AD" w:rsidRDefault="005C03BA">
            <w:pPr>
              <w:rPr>
                <w:i/>
                <w:iCs/>
              </w:rPr>
            </w:pPr>
            <w:r w:rsidRPr="00486F42">
              <w:rPr>
                <w:i/>
                <w:iCs/>
              </w:rPr>
              <w:t>Number and relevant characteristics of participants, documents, or events included in the study; level of participation (could be reported in results)</w:t>
            </w:r>
          </w:p>
          <w:p w14:paraId="0D4F6AD2" w14:textId="6BE1A2F9" w:rsidR="003849DB" w:rsidRDefault="003849DB" w:rsidP="003849DB">
            <w:pPr>
              <w:pStyle w:val="NormalWeb"/>
            </w:pPr>
            <w:r>
              <w:rPr>
                <w:rFonts w:ascii="TimesNewRomanPSMT" w:hAnsi="TimesNewRomanPSMT"/>
              </w:rPr>
              <w:t xml:space="preserve">Ten participants consented to the study. Hailing from different states across the USA (including Colorado, Georgia, Michigan, New York, Pennsylvania, South Carolina, and Wisconsin), most participants reported multiple types of experience. Participants were categorized by the three different experience types per both self-rating and a detailed description of their experience. An in-text table displays participant characteristics and study completion. Seven participants had adequate or extensive TA experience helping organizations to integrate care, five had experience as a researcher within integrated care, and seven were either behavioral health practitioners (N = 5; includes both psychiatrists and psychologists) or primary care providers (N = 2). An additional two participants were behavioral health practitioners but had not practiced within integrated settings. </w:t>
            </w:r>
          </w:p>
          <w:p w14:paraId="3AC1AA78" w14:textId="77777777" w:rsidR="003849DB" w:rsidRDefault="003849DB" w:rsidP="003849DB">
            <w:pPr>
              <w:pStyle w:val="NormalWeb"/>
            </w:pPr>
            <w:r>
              <w:rPr>
                <w:rFonts w:ascii="TimesNewRomanPSMT" w:hAnsi="TimesNewRomanPSMT"/>
              </w:rPr>
              <w:t xml:space="preserve">Eight participants completed all study activities, including the interview (Round 1), the two online surveys (Rounds 2 and 3), and the focus group. One participant with all three experience types dropped out after the first round; attempts to establish contact to determine reason for withdrawal were unsuccessful. One participant with experience as both a practitioner and TA provider dropped out after the second round; reason given was time investment and competing demands, although they requested to rejoin after the study had concluded. </w:t>
            </w:r>
          </w:p>
          <w:p w14:paraId="7938E37F" w14:textId="0C2EB132" w:rsidR="003849DB" w:rsidRPr="00486F42" w:rsidRDefault="003849DB">
            <w:pPr>
              <w:rPr>
                <w:i/>
                <w:iCs/>
              </w:rPr>
            </w:pPr>
          </w:p>
        </w:tc>
      </w:tr>
      <w:tr w:rsidR="004579AD" w14:paraId="3CA89A8C" w14:textId="77777777" w:rsidTr="004579AD">
        <w:tc>
          <w:tcPr>
            <w:tcW w:w="3595" w:type="dxa"/>
          </w:tcPr>
          <w:p w14:paraId="0FDB3C26" w14:textId="3E6D1190" w:rsidR="004579AD" w:rsidRDefault="004579AD">
            <w:r>
              <w:t>Data processing</w:t>
            </w:r>
          </w:p>
        </w:tc>
        <w:tc>
          <w:tcPr>
            <w:tcW w:w="9355" w:type="dxa"/>
          </w:tcPr>
          <w:p w14:paraId="47494D60" w14:textId="77777777" w:rsidR="004579AD" w:rsidRDefault="005C03BA" w:rsidP="005C03BA">
            <w:r w:rsidRPr="00486F42">
              <w:rPr>
                <w:i/>
                <w:iCs/>
              </w:rPr>
              <w:t>Methods for processing data prior to and during analysis, including transcription, data entry, data management and security, verification of data integrity, data coding, and anonymization/deidentification of excerpts</w:t>
            </w:r>
          </w:p>
          <w:p w14:paraId="05B23DCE" w14:textId="77777777" w:rsidR="00C77EC0" w:rsidRDefault="00C77EC0" w:rsidP="005C03BA"/>
          <w:p w14:paraId="10CCF452" w14:textId="33B5DED5" w:rsidR="00C77EC0" w:rsidRDefault="00C77EC0" w:rsidP="00C77EC0">
            <w:pPr>
              <w:pStyle w:val="NormalWeb"/>
            </w:pPr>
            <w:r>
              <w:rPr>
                <w:rFonts w:ascii="TimesNewRomanPS" w:hAnsi="TimesNewRomanPS"/>
                <w:b/>
                <w:bCs/>
              </w:rPr>
              <w:lastRenderedPageBreak/>
              <w:t xml:space="preserve">Round 1. </w:t>
            </w:r>
            <w:r>
              <w:rPr>
                <w:rFonts w:ascii="TimesNewRomanPSMT" w:hAnsi="TimesNewRomanPSMT"/>
              </w:rPr>
              <w:t xml:space="preserve">The first round was conducted as a one-on-one phone interview. This interview served several purposes: confirm understanding of the study and provide verbal consent for participation, obtain background information on the participant and confirm their eligibility for inclusion, gather initial opinions on the determinant framework’s relevance for integrated care, weigh in on when during the process of implementing integrated care the determinants seem most relevant for success (Research Question 1) and whether each determinant seems able to be changed or improved upon via TA or additional resources (Research Question 2). Rough transcriptions were taken during the call by both the interviewer and a study assistant. </w:t>
            </w:r>
          </w:p>
          <w:p w14:paraId="4B0EC740" w14:textId="77777777" w:rsidR="00C77EC0" w:rsidRDefault="00C77EC0" w:rsidP="00C77EC0">
            <w:pPr>
              <w:pStyle w:val="NormalWeb"/>
            </w:pPr>
            <w:r>
              <w:rPr>
                <w:rFonts w:ascii="TimesNewRomanPSMT" w:hAnsi="TimesNewRomanPSMT"/>
              </w:rPr>
              <w:t>Participants were sent an information sheet one week in advance of the interview. This information sheet served to ensure all participants had equal knowledge of the existing information on the topic and provided a basis for discussion. The sheet contained information about the study, the R=MC</w:t>
            </w:r>
            <w:r>
              <w:rPr>
                <w:rFonts w:ascii="TimesNewRomanPSMT" w:hAnsi="TimesNewRomanPSMT"/>
                <w:position w:val="8"/>
                <w:sz w:val="16"/>
                <w:szCs w:val="16"/>
              </w:rPr>
              <w:t xml:space="preserve">2 </w:t>
            </w:r>
            <w:r>
              <w:rPr>
                <w:rFonts w:ascii="TimesNewRomanPSMT" w:hAnsi="TimesNewRomanPSMT"/>
              </w:rPr>
              <w:t xml:space="preserve">determinant framework’s components and subcomponents, and information on two existing stage frameworks. One framework was the AIF’s four stages of implementation adapted from NIRN. The other framework was the SAMHSA Center for Integrated Health Solutions six levels of integration. Information sheets sent to the first two interviewees contained only the AIF stages, which is based in the implementation science literature. However, the second interviewee suggested including the SAMHSA framework as well. True to the Delphi method’s participatory, iterative nature, this suggestion was incorporated for future interviews. All subsequent interviews discussed both frameworks and asked participants which they felt was more applicable for the study’s purpose. The framework most participants selected (AIF) provided the basis for Research Question 1 in subsequent rounds. </w:t>
            </w:r>
          </w:p>
          <w:p w14:paraId="10FEC0AA" w14:textId="77777777" w:rsidR="00C77EC0" w:rsidRDefault="00C77EC0" w:rsidP="00C77EC0">
            <w:pPr>
              <w:pStyle w:val="NormalWeb"/>
            </w:pPr>
            <w:r>
              <w:rPr>
                <w:rFonts w:ascii="TimesNewRomanPSMT" w:hAnsi="TimesNewRomanPSMT"/>
              </w:rPr>
              <w:t xml:space="preserve">Analysis of Round 1 data included a priori concept codes, a deductive approach where key variables provide the basis of grouping qualitative data (Miles, Huberman, &amp; </w:t>
            </w:r>
            <w:proofErr w:type="spellStart"/>
            <w:r>
              <w:rPr>
                <w:rFonts w:ascii="TimesNewRomanPSMT" w:hAnsi="TimesNewRomanPSMT"/>
              </w:rPr>
              <w:t>Saldaña</w:t>
            </w:r>
            <w:proofErr w:type="spellEnd"/>
            <w:r>
              <w:rPr>
                <w:rFonts w:ascii="TimesNewRomanPSMT" w:hAnsi="TimesNewRomanPSMT"/>
              </w:rPr>
              <w:t xml:space="preserve">, 2020). Rough transcriptions were grouped by participant then sections divided by participants’ experience, their thoughts on the determinants, reaction to the two potential stage frameworks, and additional questions or comments each panelist had about the study. The researcher then reviewed the compiled transcriptions by grouping to (a) determine the stage framework most participants felt was appropriate for the study, (b) glean additional information that could inform the study approach, and (c) pull out quotes about each determinant noted by either the </w:t>
            </w:r>
            <w:r>
              <w:rPr>
                <w:rFonts w:ascii="TimesNewRomanPSMT" w:hAnsi="TimesNewRomanPSMT"/>
              </w:rPr>
              <w:lastRenderedPageBreak/>
              <w:t>R=MC</w:t>
            </w:r>
            <w:r>
              <w:rPr>
                <w:rFonts w:ascii="TimesNewRomanPSMT" w:hAnsi="TimesNewRomanPSMT"/>
                <w:position w:val="8"/>
                <w:sz w:val="16"/>
                <w:szCs w:val="16"/>
              </w:rPr>
              <w:t xml:space="preserve">2 </w:t>
            </w:r>
            <w:r>
              <w:rPr>
                <w:rFonts w:ascii="TimesNewRomanPSMT" w:hAnsi="TimesNewRomanPSMT"/>
              </w:rPr>
              <w:t xml:space="preserve">framework’s component (e.g., Motivation), subcomponent (e.g. Compatibility), or related terms (e.g., “fit”, which is roughly congruent with Compatibility). All participants who attended the Round 1 interview met inclusion criteria, thus all data was retained for analysis. </w:t>
            </w:r>
          </w:p>
          <w:p w14:paraId="48EC7598" w14:textId="77777777" w:rsidR="00C77EC0" w:rsidRDefault="00C77EC0" w:rsidP="00C77EC0">
            <w:pPr>
              <w:pStyle w:val="NormalWeb"/>
            </w:pPr>
            <w:r>
              <w:rPr>
                <w:rFonts w:ascii="TimesNewRomanPS" w:hAnsi="TimesNewRomanPS"/>
                <w:b/>
                <w:bCs/>
              </w:rPr>
              <w:t xml:space="preserve">Round 2. </w:t>
            </w:r>
            <w:r>
              <w:rPr>
                <w:rFonts w:ascii="TimesNewRomanPSMT" w:hAnsi="TimesNewRomanPSMT"/>
              </w:rPr>
              <w:t xml:space="preserve">Qualitative data from Round 1 provided the basis for Round 2. Based on data from Round 1, the NIRN framework was deemed most appropriate for the study. The surveys were structured into three parts by the determinant framework’s components, with specific questions for each subcomponent. For example, Part I of the survey defined the component “Motivation”, then presented each Motivation-related subcomponent (Relative Advantage, Compatibility, Simplicity, Ability to Pilot, Observability, and Priority) as separate items. Within each item, the subcomponent was defined in terms of integrating behavioral health and primary care, then a selection of panelists’ anonymized comments from Round 1 were presented. If the panelist had mentioned a specific implementation stage at which it was relevant, then this was bolded in the text to ease respondents’ reading. Not every comment from Round 1 was included in the survey; a selection was made to represent the range of opinions. This choice was made to avoid a quantification of the number of panelists that shared an opinion, which some methodologists deem poor practice (Bolger &amp; Wright, 2011). In the survey instructions, panelists were notified that the quotes were paraphrased and selected to show a variety of opinions. </w:t>
            </w:r>
          </w:p>
          <w:p w14:paraId="2C1257CD" w14:textId="77777777" w:rsidR="00C77EC0" w:rsidRDefault="00C77EC0" w:rsidP="00C77EC0">
            <w:pPr>
              <w:pStyle w:val="NormalWeb"/>
            </w:pPr>
            <w:r w:rsidRPr="00C77EC0">
              <w:rPr>
                <w:rFonts w:ascii="TimesNewRomanPSMT" w:hAnsi="TimesNewRomanPSMT"/>
                <w:color w:val="000000" w:themeColor="text1"/>
              </w:rPr>
              <w:t xml:space="preserve">Per best practices, </w:t>
            </w:r>
            <w:r>
              <w:rPr>
                <w:rFonts w:ascii="TimesNewRomanPSMT" w:hAnsi="TimesNewRomanPSMT"/>
              </w:rPr>
              <w:t xml:space="preserve">for the structured Round 2 and Round 3 surveys a 7-point Likert scale presented closed questions in a horizontal layout with ascending options without numerical anchors (Toma &amp; </w:t>
            </w:r>
            <w:proofErr w:type="spellStart"/>
            <w:r>
              <w:rPr>
                <w:rFonts w:ascii="TimesNewRomanPSMT" w:hAnsi="TimesNewRomanPSMT"/>
              </w:rPr>
              <w:t>Picioreanu</w:t>
            </w:r>
            <w:proofErr w:type="spellEnd"/>
            <w:r>
              <w:rPr>
                <w:rFonts w:ascii="TimesNewRomanPSMT" w:hAnsi="TimesNewRomanPSMT"/>
              </w:rPr>
              <w:t>, 2016). Questions for each item included asking how important each subcomponent is for integrated care during each AIF implementation stage (Exploration, Installation, Initial Implementation, and Full Implementation), along with</w:t>
            </w:r>
            <w:r w:rsidRPr="00C77EC0">
              <w:rPr>
                <w:rFonts w:ascii="TimesNewRomanPSMT" w:hAnsi="TimesNewRomanPSMT"/>
                <w:color w:val="000000" w:themeColor="text1"/>
              </w:rPr>
              <w:t xml:space="preserve"> a brief definition of each stage. </w:t>
            </w:r>
            <w:r>
              <w:rPr>
                <w:rFonts w:ascii="TimesNewRomanPSMT" w:hAnsi="TimesNewRomanPSMT"/>
              </w:rPr>
              <w:t xml:space="preserve">An optional comment box was included to describe the rationale for their choice. Response options ranged from “totally unimportant” to “very important.” Respondents were then asked how helpful additional TA or other support would be to improve that subcomponent for the sake of integrating care. Response options were also a 7-point Likert scale ranging from “very unhelpful” to “very helpful.” An additional comment box requested rationale for their choice. Because the determinant framework has 19 subcomponents (11 determinants and eight contextual factors), the final survey included a total of 133 questions, with 95 quantitative and 38 qualitative. The survey was designed and administered using the </w:t>
            </w:r>
            <w:r>
              <w:rPr>
                <w:rFonts w:ascii="TimesNewRomanPSMT" w:hAnsi="TimesNewRomanPSMT"/>
              </w:rPr>
              <w:lastRenderedPageBreak/>
              <w:t xml:space="preserve">online Survey Monkey platform. A link was emailed individually to each participant with instructions. </w:t>
            </w:r>
          </w:p>
          <w:p w14:paraId="56BF170F" w14:textId="77777777" w:rsidR="00C77EC0" w:rsidRDefault="00C77EC0" w:rsidP="00C77EC0">
            <w:pPr>
              <w:pStyle w:val="NormalWeb"/>
            </w:pPr>
            <w:r>
              <w:rPr>
                <w:rFonts w:ascii="TimesNewRomanPS" w:hAnsi="TimesNewRomanPS"/>
                <w:b/>
                <w:bCs/>
              </w:rPr>
              <w:t xml:space="preserve">Round 3. </w:t>
            </w:r>
            <w:r>
              <w:rPr>
                <w:rFonts w:ascii="TimesNewRomanPSMT" w:hAnsi="TimesNewRomanPSMT"/>
              </w:rPr>
              <w:t xml:space="preserve">The structure and wording from Round 2 </w:t>
            </w:r>
            <w:proofErr w:type="gramStart"/>
            <w:r>
              <w:rPr>
                <w:rFonts w:ascii="TimesNewRomanPSMT" w:hAnsi="TimesNewRomanPSMT"/>
              </w:rPr>
              <w:t>was</w:t>
            </w:r>
            <w:proofErr w:type="gramEnd"/>
            <w:r>
              <w:rPr>
                <w:rFonts w:ascii="TimesNewRomanPSMT" w:hAnsi="TimesNewRomanPSMT"/>
              </w:rPr>
              <w:t xml:space="preserve"> retained for Round 3, with respondents asked to answer 133 survey questions. Qualitative responses from Round 2 were gathered from the comment boxes. The anonymized comments were grouped by (a) perceptions on when, by implementation stage, the determinant was most important for success, and (b) whether TA or other support would be helpful; then comments were placed with the appropriate survey item. These categories were determined by the participant’s Likert-scale selection, and panelists warned that any inconsistences between the grouping and the comment were due to a mismatch between that participant’s qualitative and quantitative response. It was also noted that not all panelists provided comments for every item. Panelists were invited to consider the written arguments from fellow participants, select their choice, and then use the comment box to provide justification. The feedback process used in Rounds 2 and 3 (as well as the focus group, described next) were designed to ensure the credibility of the study’s rigor (Hasson &amp; Keeney, 2011). </w:t>
            </w:r>
          </w:p>
          <w:p w14:paraId="388A1E8D" w14:textId="77777777" w:rsidR="00C77EC0" w:rsidRDefault="00C77EC0" w:rsidP="00C77EC0">
            <w:pPr>
              <w:pStyle w:val="NormalWeb"/>
            </w:pPr>
            <w:r>
              <w:rPr>
                <w:rFonts w:ascii="TimesNewRomanPS" w:hAnsi="TimesNewRomanPS"/>
                <w:b/>
                <w:bCs/>
              </w:rPr>
              <w:t xml:space="preserve">Focus group. </w:t>
            </w:r>
            <w:r>
              <w:rPr>
                <w:rFonts w:ascii="TimesNewRomanPSMT" w:hAnsi="TimesNewRomanPSMT"/>
              </w:rPr>
              <w:t xml:space="preserve">The study culminated in a focus group, which served several purposes. First, the participants were provided with a preliminary results document; this transparency was meant to aid confirmability of the study’s rigor (Hasson &amp; Keeney, 2011). This was created using the quantified consensus results from Round 3 in two tables, along with an overview of the study purpose, process, research questions, and potential implications. Additional information was provided regarding recruitment, data collection, and analysis. Second, the focus group provided panelists a chance to discuss openly their reactions to the results and the </w:t>
            </w:r>
            <w:proofErr w:type="gramStart"/>
            <w:r>
              <w:rPr>
                <w:rFonts w:ascii="TimesNewRomanPSMT" w:hAnsi="TimesNewRomanPSMT"/>
              </w:rPr>
              <w:t>process, and</w:t>
            </w:r>
            <w:proofErr w:type="gramEnd"/>
            <w:r>
              <w:rPr>
                <w:rFonts w:ascii="TimesNewRomanPSMT" w:hAnsi="TimesNewRomanPSMT"/>
              </w:rPr>
              <w:t xml:space="preserve"> discuss the potential implications. This is important to adhere to the participatory approach method inherent in a Delphi study, where panelists are both partners and potential beneficiaries of the study results (Fletcher &amp; </w:t>
            </w:r>
            <w:proofErr w:type="spellStart"/>
            <w:r>
              <w:rPr>
                <w:rFonts w:ascii="TimesNewRomanPSMT" w:hAnsi="TimesNewRomanPSMT"/>
              </w:rPr>
              <w:t>Marchildon</w:t>
            </w:r>
            <w:proofErr w:type="spellEnd"/>
            <w:r>
              <w:rPr>
                <w:rFonts w:ascii="TimesNewRomanPSMT" w:hAnsi="TimesNewRomanPSMT"/>
              </w:rPr>
              <w:t xml:space="preserve">, 2014; </w:t>
            </w:r>
            <w:proofErr w:type="spellStart"/>
            <w:r>
              <w:rPr>
                <w:rFonts w:ascii="TimesNewRomanPSMT" w:hAnsi="TimesNewRomanPSMT"/>
              </w:rPr>
              <w:t>Kezar</w:t>
            </w:r>
            <w:proofErr w:type="spellEnd"/>
            <w:r>
              <w:rPr>
                <w:rFonts w:ascii="TimesNewRomanPSMT" w:hAnsi="TimesNewRomanPSMT"/>
              </w:rPr>
              <w:t xml:space="preserve"> &amp; Maxey, 2016). Third, the focus group allowed panelists to introduce themselves to each other and openly debate their opinions on the topic. Their identities, experience level, and professional affiliations had previously been kept anonymous. Fourth, as part of the reflection panelists could provide suggestions on next steps for the data. </w:t>
            </w:r>
          </w:p>
          <w:p w14:paraId="25C2C797" w14:textId="77777777" w:rsidR="00C77EC0" w:rsidRDefault="00C77EC0" w:rsidP="00C77EC0">
            <w:pPr>
              <w:pStyle w:val="NormalWeb"/>
            </w:pPr>
            <w:r>
              <w:rPr>
                <w:rFonts w:ascii="TimesNewRomanPSMT" w:hAnsi="TimesNewRomanPSMT"/>
              </w:rPr>
              <w:lastRenderedPageBreak/>
              <w:t>Due to scheduling challenges, three separate focus groups were held, each via Zoom online videoconferencing. Sessions were recorded with participants’ verbal consent. The preliminary results document was sent to participants in advance so they could reflect on the content. Framed as a collective sense-making session, methods for facilitating intentional group learning were used to inform the focus group design, particularly the “What? So What? Now What?” activity (</w:t>
            </w:r>
            <w:proofErr w:type="spellStart"/>
            <w:r>
              <w:rPr>
                <w:rFonts w:ascii="TimesNewRomanPSMT" w:hAnsi="TimesNewRomanPSMT"/>
              </w:rPr>
              <w:t>Preskill</w:t>
            </w:r>
            <w:proofErr w:type="spellEnd"/>
            <w:r>
              <w:rPr>
                <w:rFonts w:ascii="TimesNewRomanPSMT" w:hAnsi="TimesNewRomanPSMT"/>
              </w:rPr>
              <w:t xml:space="preserve">, Gutierrez, &amp; Mack, 2017). Discussion questions included: What do you notice about the results? Do any of the results surprise you (if so, why)? How do these results seem to relate to what you do? Why are these results important? What are the implications for implementation (or coaching, or measurement)? How can we put this information into action? What next steps make sense? What other questions do you still have? The focus group conversations were recorded and transcribed. </w:t>
            </w:r>
          </w:p>
          <w:p w14:paraId="689F2703" w14:textId="444736C0" w:rsidR="00C77EC0" w:rsidRPr="00C77EC0" w:rsidRDefault="00C77EC0" w:rsidP="00C77EC0">
            <w:pPr>
              <w:pStyle w:val="NormalWeb"/>
            </w:pPr>
            <w:r>
              <w:rPr>
                <w:rFonts w:ascii="TimesNewRomanPS" w:hAnsi="TimesNewRomanPS"/>
                <w:b/>
                <w:bCs/>
              </w:rPr>
              <w:t xml:space="preserve">Process evaluation. </w:t>
            </w:r>
            <w:r>
              <w:rPr>
                <w:rFonts w:ascii="TimesNewRomanPSMT" w:hAnsi="TimesNewRomanPSMT"/>
              </w:rPr>
              <w:t>At the end of the focus group, panelists were invited to complete a process evaluation survey. This was included as an additional form of member checks to ensure trustworthiness of the results (</w:t>
            </w:r>
            <w:proofErr w:type="spellStart"/>
            <w:r>
              <w:rPr>
                <w:rFonts w:ascii="TimesNewRomanPSMT" w:hAnsi="TimesNewRomanPSMT"/>
              </w:rPr>
              <w:t>Kornbluh</w:t>
            </w:r>
            <w:proofErr w:type="spellEnd"/>
            <w:r>
              <w:rPr>
                <w:rFonts w:ascii="TimesNewRomanPSMT" w:hAnsi="TimesNewRomanPSMT"/>
              </w:rPr>
              <w:t>, 2015). This asked panelists to verify whether most of their experience involves working in an integrated care setting, supporting clinics who are integrating care, or researching integrated care. It then asked the following questions, with response options on a 5-point scale from “strongly disagree” to “strongly agree”: “I understood the purpose of the panel while I was participating”, “I understand why a Delphi process was used for the panel”, “I felt I had, or could have had, a voice in shaping how this panel was conducted”, “I think the results of the panel have implications for integrating behavioral health and primary care”, “I think the results of the panel are valid”, “The experience from my participation in the panel has helped me to better understand the role of readiness for integrating behavioral health and primary care.” Additional questions included: “To what extent do you feel that feedback provided from others in the Round 2 and Round 3 surveys influenced your decision making?”, “Which setting(s) were you thinking of when answering the Round 2 and Round 3 questions?”, and “Are you interested in continuing to meet as a group to discuss how to apply the findings?”</w:t>
            </w:r>
          </w:p>
        </w:tc>
      </w:tr>
      <w:tr w:rsidR="004579AD" w14:paraId="57BC42DB" w14:textId="77777777" w:rsidTr="004579AD">
        <w:tc>
          <w:tcPr>
            <w:tcW w:w="3595" w:type="dxa"/>
          </w:tcPr>
          <w:p w14:paraId="180C40EE" w14:textId="53A69AD6" w:rsidR="004579AD" w:rsidRDefault="004579AD">
            <w:r>
              <w:lastRenderedPageBreak/>
              <w:t>Data analysis</w:t>
            </w:r>
          </w:p>
        </w:tc>
        <w:tc>
          <w:tcPr>
            <w:tcW w:w="9355" w:type="dxa"/>
          </w:tcPr>
          <w:p w14:paraId="4E4862E7" w14:textId="77777777" w:rsidR="004579AD" w:rsidRDefault="005C03BA">
            <w:pPr>
              <w:rPr>
                <w:i/>
                <w:iCs/>
              </w:rPr>
            </w:pPr>
            <w:r w:rsidRPr="00486F42">
              <w:rPr>
                <w:i/>
                <w:iCs/>
              </w:rPr>
              <w:t>Process by which inferences, themes, etc., were identified and developed, including the researchers involved in data analysis; usually references a specific paradigm or approach; rationale</w:t>
            </w:r>
          </w:p>
          <w:p w14:paraId="0F51CDD9" w14:textId="77777777" w:rsidR="00250120" w:rsidRDefault="00250120"/>
          <w:p w14:paraId="73D0EE0A" w14:textId="77777777" w:rsidR="00250120" w:rsidRDefault="00250120" w:rsidP="00250120">
            <w:r>
              <w:lastRenderedPageBreak/>
              <w:t xml:space="preserve">There were three components of data analysis: process analysis, initial data analysis, and exploratory data analysis. </w:t>
            </w:r>
          </w:p>
          <w:p w14:paraId="3148EB59" w14:textId="77777777" w:rsidR="00250120" w:rsidRDefault="00250120" w:rsidP="00250120"/>
          <w:p w14:paraId="55797698" w14:textId="77777777" w:rsidR="00250120" w:rsidRPr="007E4D44" w:rsidRDefault="00250120" w:rsidP="00250120">
            <w:pPr>
              <w:rPr>
                <w:b/>
                <w:bCs/>
              </w:rPr>
            </w:pPr>
            <w:r>
              <w:t xml:space="preserve">In </w:t>
            </w:r>
            <w:r w:rsidRPr="003B1E2D">
              <w:rPr>
                <w:i/>
                <w:iCs/>
              </w:rPr>
              <w:t>initial analyses</w:t>
            </w:r>
            <w:r>
              <w:t xml:space="preserve">, the qualitative data were deductively analyzed using the Framework Method </w:t>
            </w:r>
            <w:commentRangeStart w:id="1"/>
            <w:r>
              <w:t>as</w:t>
            </w:r>
            <w:commentRangeEnd w:id="1"/>
            <w:r>
              <w:rPr>
                <w:rStyle w:val="CommentReference"/>
              </w:rPr>
              <w:commentReference w:id="1"/>
            </w:r>
            <w:r>
              <w:t xml:space="preserve"> a guide for coding and interpretation (Gale, Heath, Cameron, Rashid, &amp; Redwood, 2013). </w:t>
            </w:r>
            <w:r>
              <w:rPr>
                <w:bCs/>
              </w:rPr>
              <w:t xml:space="preserve">After familiarization with recordings and transcripts, first </w:t>
            </w:r>
            <w:r w:rsidRPr="00032569">
              <w:rPr>
                <w:bCs/>
              </w:rPr>
              <w:t>cycle coding (Miles et al., 2020) was conducted via NVIVO with a priori deductive codes.</w:t>
            </w:r>
            <w:r>
              <w:rPr>
                <w:bCs/>
              </w:rPr>
              <w:t xml:space="preserve"> </w:t>
            </w:r>
            <w:r w:rsidRPr="00032569">
              <w:rPr>
                <w:bCs/>
              </w:rPr>
              <w:t xml:space="preserve">For second cycle coding (Miles et al. 2020), data sections on validity and implications were organized into </w:t>
            </w:r>
            <w:r>
              <w:rPr>
                <w:bCs/>
              </w:rPr>
              <w:t xml:space="preserve">framework </w:t>
            </w:r>
            <w:r w:rsidRPr="00032569">
              <w:rPr>
                <w:bCs/>
              </w:rPr>
              <w:t xml:space="preserve">matrices by participant (rows) and first cycle codes (columns). </w:t>
            </w:r>
            <w:r>
              <w:rPr>
                <w:bCs/>
              </w:rPr>
              <w:t>Pattern</w:t>
            </w:r>
            <w:r w:rsidRPr="00032569">
              <w:rPr>
                <w:bCs/>
              </w:rPr>
              <w:t xml:space="preserve"> coding (Miles et al., 2020) </w:t>
            </w:r>
            <w:r>
              <w:rPr>
                <w:bCs/>
              </w:rPr>
              <w:t xml:space="preserve">was employed to </w:t>
            </w:r>
            <w:r w:rsidRPr="00032569">
              <w:rPr>
                <w:bCs/>
              </w:rPr>
              <w:t xml:space="preserve">interpret themes </w:t>
            </w:r>
            <w:r>
              <w:rPr>
                <w:bCs/>
              </w:rPr>
              <w:t xml:space="preserve">in </w:t>
            </w:r>
            <w:r w:rsidRPr="00032569">
              <w:rPr>
                <w:bCs/>
              </w:rPr>
              <w:t>validity-related perceptions, study implications</w:t>
            </w:r>
            <w:r>
              <w:rPr>
                <w:bCs/>
              </w:rPr>
              <w:t>, and</w:t>
            </w:r>
            <w:r w:rsidRPr="00032569">
              <w:rPr>
                <w:bCs/>
              </w:rPr>
              <w:t xml:space="preserve"> additional analyses suggested by participants</w:t>
            </w:r>
            <w:r>
              <w:rPr>
                <w:bCs/>
              </w:rPr>
              <w:t xml:space="preserve">. Pattern coding is a second-cycle coding process and is distinct from pattern matching (a qualitative method of deriving causal relationships). </w:t>
            </w:r>
            <w:r w:rsidRPr="00032569">
              <w:rPr>
                <w:bCs/>
              </w:rPr>
              <w:t xml:space="preserve">Additionally, </w:t>
            </w:r>
            <w:r>
              <w:rPr>
                <w:bCs/>
              </w:rPr>
              <w:t>to</w:t>
            </w:r>
            <w:r w:rsidRPr="00032569">
              <w:rPr>
                <w:bCs/>
              </w:rPr>
              <w:t xml:space="preserve"> assess validity, descriptive statistics from the process evaluation surveys were converged with qualitative data.</w:t>
            </w:r>
          </w:p>
          <w:p w14:paraId="2FC78714" w14:textId="77777777" w:rsidR="00250120" w:rsidRDefault="00250120" w:rsidP="00250120"/>
          <w:p w14:paraId="1495C649" w14:textId="77777777" w:rsidR="00250120" w:rsidRDefault="00250120" w:rsidP="00250120">
            <w:pPr>
              <w:rPr>
                <w:bCs/>
              </w:rPr>
            </w:pPr>
            <w:r>
              <w:rPr>
                <w:bCs/>
              </w:rPr>
              <w:t>Initial</w:t>
            </w:r>
            <w:r w:rsidRPr="00B80DFF">
              <w:rPr>
                <w:bCs/>
              </w:rPr>
              <w:t xml:space="preserve"> analys</w:t>
            </w:r>
            <w:r>
              <w:rPr>
                <w:bCs/>
              </w:rPr>
              <w:t>e</w:t>
            </w:r>
            <w:r w:rsidRPr="00B80DFF">
              <w:rPr>
                <w:bCs/>
              </w:rPr>
              <w:t xml:space="preserve">s </w:t>
            </w:r>
            <w:r>
              <w:rPr>
                <w:bCs/>
              </w:rPr>
              <w:t>identified concern from participants that preliminary results were quantified only by items being rated on the highest end of the Likert scale (“important” or “very important”). Participants suggested addressing this by c</w:t>
            </w:r>
            <w:r w:rsidRPr="00B80DFF">
              <w:rPr>
                <w:bCs/>
              </w:rPr>
              <w:t>onsider</w:t>
            </w:r>
            <w:r>
              <w:rPr>
                <w:bCs/>
              </w:rPr>
              <w:t>ing</w:t>
            </w:r>
            <w:r w:rsidRPr="00B80DFF">
              <w:rPr>
                <w:bCs/>
              </w:rPr>
              <w:t xml:space="preserve"> the results by the distribution of scores </w:t>
            </w:r>
            <w:r>
              <w:rPr>
                <w:bCs/>
              </w:rPr>
              <w:t>rather than solely by percent agreement</w:t>
            </w:r>
            <w:r w:rsidRPr="00B80DFF">
              <w:rPr>
                <w:bCs/>
              </w:rPr>
              <w:t xml:space="preserve"> </w:t>
            </w:r>
            <w:r>
              <w:rPr>
                <w:bCs/>
              </w:rPr>
              <w:t xml:space="preserve">to capture whether ratings were also rated as “unimportant.” This suggestion led to the exploratory analysis. </w:t>
            </w:r>
          </w:p>
          <w:p w14:paraId="50E4A4F4" w14:textId="77777777" w:rsidR="00250120" w:rsidRDefault="00250120" w:rsidP="00250120">
            <w:pPr>
              <w:rPr>
                <w:bCs/>
              </w:rPr>
            </w:pPr>
          </w:p>
          <w:p w14:paraId="6E98F496" w14:textId="77777777" w:rsidR="00250120" w:rsidRDefault="00250120" w:rsidP="00250120">
            <w:r w:rsidRPr="003B1E2D">
              <w:rPr>
                <w:rStyle w:val="Heading4Char"/>
                <w:rFonts w:eastAsiaTheme="minorHAnsi"/>
                <w:bCs/>
                <w:i/>
                <w:iCs/>
              </w:rPr>
              <w:t>Exploratory analysis</w:t>
            </w:r>
            <w:r w:rsidRPr="00DA0D00">
              <w:rPr>
                <w:rStyle w:val="Heading4Char"/>
                <w:rFonts w:eastAsiaTheme="minorHAnsi"/>
              </w:rPr>
              <w:t xml:space="preserve"> </w:t>
            </w:r>
            <w:r w:rsidRPr="00DA0D00">
              <w:t>consider</w:t>
            </w:r>
            <w:r>
              <w:t>ed</w:t>
            </w:r>
            <w:r w:rsidRPr="00DA0D00">
              <w:t xml:space="preserve"> results by distribution of scores</w:t>
            </w:r>
            <w:r>
              <w:t xml:space="preserve">, rather than solely by consensus percentages. Broadening the data interpretation shows strength of agreement in a different way. This indicates if respondents perceived determinants as wholly unimportant, or just less important compared to other determinants by stage. </w:t>
            </w:r>
            <w:r w:rsidRPr="00A75631">
              <w:t xml:space="preserve">Percent agreement is the </w:t>
            </w:r>
            <w:proofErr w:type="gramStart"/>
            <w:r w:rsidRPr="00A75631">
              <w:t>most commonly applied</w:t>
            </w:r>
            <w:proofErr w:type="gramEnd"/>
            <w:r w:rsidRPr="00A75631">
              <w:t xml:space="preserve"> metric of consensus in Delphi studies (Diamond et al., 2014), which is why it was chosen for the preliminary analyses in Phase I. However, based on the participant suggestion of considering results in different ways, the Delphi literature was revisited. </w:t>
            </w:r>
            <w:r>
              <w:t>A</w:t>
            </w:r>
            <w:r w:rsidRPr="00A75631">
              <w:t>greement and internal reliability are valid metrics</w:t>
            </w:r>
            <w:r>
              <w:t>, in addition to consensus,</w:t>
            </w:r>
            <w:r w:rsidRPr="00A75631">
              <w:t xml:space="preserve"> </w:t>
            </w:r>
            <w:r>
              <w:t xml:space="preserve">for assessing </w:t>
            </w:r>
            <w:r w:rsidRPr="00A75631">
              <w:t xml:space="preserve">Delphi results (Trevelyan &amp; Robinson, 2015). In Delphi studies, descriptive statistics and graphical displays of data are appropriate for assessing internal validity (Trevelyan &amp; Robinson, 2015). However, levels of dispersion (e.g., inter-quartile range, standard deviation) are not appropriate for ordinal </w:t>
            </w:r>
            <w:r>
              <w:t xml:space="preserve">Likert scale </w:t>
            </w:r>
            <w:r w:rsidRPr="00A75631">
              <w:t>data (Hasson et al., 2000; Trevelyan &amp; Robinson</w:t>
            </w:r>
            <w:r>
              <w:t xml:space="preserve">, </w:t>
            </w:r>
            <w:r>
              <w:lastRenderedPageBreak/>
              <w:t xml:space="preserve">2015; Sullivan &amp; </w:t>
            </w:r>
            <w:proofErr w:type="spellStart"/>
            <w:r>
              <w:t>Artino</w:t>
            </w:r>
            <w:proofErr w:type="spellEnd"/>
            <w:r>
              <w:t>, 2013</w:t>
            </w:r>
            <w:r w:rsidRPr="00A75631">
              <w:t>)</w:t>
            </w:r>
            <w:r>
              <w:t>,</w:t>
            </w:r>
            <w:r w:rsidRPr="00A75631">
              <w:t xml:space="preserve"> thus cannot be applied here. Variability (e.g</w:t>
            </w:r>
            <w:r>
              <w:t>.</w:t>
            </w:r>
            <w:r w:rsidRPr="00A75631">
              <w:t xml:space="preserve">, minimum, maximum, range), central tendency (e.g., median, mode), and frequency distributions (e.g., percentages) are alternative options for analyzing ordinal data. </w:t>
            </w:r>
            <w:r>
              <w:t xml:space="preserve">Therefore, final study results are gleaned from a matrix display of percent agreement on Likert scale ratings, range of ratings, and a frequency distribution (i.e., histogram). </w:t>
            </w:r>
          </w:p>
          <w:p w14:paraId="2923A6A1" w14:textId="4A072636" w:rsidR="00250120" w:rsidRPr="00250120" w:rsidRDefault="00250120" w:rsidP="00250120">
            <w:pPr>
              <w:ind w:firstLine="720"/>
            </w:pPr>
          </w:p>
        </w:tc>
      </w:tr>
      <w:tr w:rsidR="004579AD" w14:paraId="33B7869A" w14:textId="77777777" w:rsidTr="004579AD">
        <w:tc>
          <w:tcPr>
            <w:tcW w:w="3595" w:type="dxa"/>
          </w:tcPr>
          <w:p w14:paraId="41D56670" w14:textId="4333B6A6" w:rsidR="004579AD" w:rsidRDefault="004579AD">
            <w:r>
              <w:lastRenderedPageBreak/>
              <w:t>Techniques to enhance trustworthiness</w:t>
            </w:r>
          </w:p>
        </w:tc>
        <w:tc>
          <w:tcPr>
            <w:tcW w:w="9355" w:type="dxa"/>
          </w:tcPr>
          <w:p w14:paraId="56FF90A8" w14:textId="77777777" w:rsidR="004579AD" w:rsidRDefault="005C03BA">
            <w:r w:rsidRPr="00486F42">
              <w:rPr>
                <w:i/>
                <w:iCs/>
              </w:rPr>
              <w:t>Techniques to enhance trustworthiness and credibility of data analysis (e.g., member checking, audit trail, triangulation</w:t>
            </w:r>
            <w:proofErr w:type="gramStart"/>
            <w:r w:rsidRPr="00486F42">
              <w:rPr>
                <w:i/>
                <w:iCs/>
              </w:rPr>
              <w:t>);</w:t>
            </w:r>
            <w:proofErr w:type="gramEnd"/>
            <w:r w:rsidRPr="00486F42">
              <w:rPr>
                <w:i/>
                <w:iCs/>
              </w:rPr>
              <w:t xml:space="preserve"> rationale</w:t>
            </w:r>
          </w:p>
          <w:p w14:paraId="08EBB9E9" w14:textId="77777777" w:rsidR="00250120" w:rsidRDefault="00250120"/>
          <w:p w14:paraId="4D379BBF" w14:textId="77777777" w:rsidR="00250120" w:rsidRDefault="00250120">
            <w:r w:rsidRPr="00250120">
              <w:t>As a source of secondary data, panelists were invited to complete a process evaluation survey after the debrief. This was included as an additional form of member checks to ensure trustworthiness of the results (</w:t>
            </w:r>
            <w:proofErr w:type="spellStart"/>
            <w:r w:rsidRPr="00250120">
              <w:t>Kornbluh</w:t>
            </w:r>
            <w:proofErr w:type="spellEnd"/>
            <w:r w:rsidRPr="00250120">
              <w:t>, 2015).</w:t>
            </w:r>
            <w:r>
              <w:t xml:space="preserve"> The survey asked panelists to verify whether most of their experience involved working in an integrated care setting, supporting clinics who are integrating care, or researching integrated care. It then asked the following questions, with response options on a 5-point scale from “strongly disagree” to “strongly agree”: “</w:t>
            </w:r>
            <w:r w:rsidRPr="00BB44B3">
              <w:t>I understood the purpose of the panel while I was participati</w:t>
            </w:r>
            <w:r>
              <w:t>ng”, “</w:t>
            </w:r>
            <w:r w:rsidRPr="00BB44B3">
              <w:t>I understand why a Delphi</w:t>
            </w:r>
            <w:r>
              <w:t xml:space="preserve"> process was used for the panel”, “</w:t>
            </w:r>
            <w:r w:rsidRPr="00BB44B3">
              <w:t>I felt I had, or could have had, a voice in shapi</w:t>
            </w:r>
            <w:r>
              <w:t>ng how this panel was conducted”, “</w:t>
            </w:r>
            <w:r w:rsidRPr="00BB44B3">
              <w:t>I think the results of the panel have implications for integrating beh</w:t>
            </w:r>
            <w:r>
              <w:t>avioral health and primary care”, and “</w:t>
            </w:r>
            <w:r w:rsidRPr="00BB44B3">
              <w:t>I think the r</w:t>
            </w:r>
            <w:r>
              <w:t>esults of the panel are valid.”</w:t>
            </w:r>
          </w:p>
          <w:p w14:paraId="730C180F" w14:textId="77777777" w:rsidR="00250120" w:rsidRDefault="00250120"/>
          <w:p w14:paraId="3203F9AD" w14:textId="77777777" w:rsidR="00250120" w:rsidRDefault="00250120" w:rsidP="00250120">
            <w:r>
              <w:t>Descriptive</w:t>
            </w:r>
            <w:r w:rsidRPr="00442DAE">
              <w:t xml:space="preserve"> statistics are not generally subject to </w:t>
            </w:r>
            <w:r>
              <w:t>systematic interpretive methods</w:t>
            </w:r>
            <w:r w:rsidRPr="00442DAE">
              <w:t>. However, t</w:t>
            </w:r>
            <w:r>
              <w:t>o prevent bias and inconsistencies in translating the quantitative results into practice implications,</w:t>
            </w:r>
            <w:r w:rsidRPr="00442DAE">
              <w:t xml:space="preserve"> </w:t>
            </w:r>
            <w:r>
              <w:t>the study</w:t>
            </w:r>
            <w:r w:rsidRPr="00442DAE">
              <w:t xml:space="preserve"> employed an iterative c</w:t>
            </w:r>
            <w:r>
              <w:t xml:space="preserve">oding </w:t>
            </w:r>
            <w:r w:rsidRPr="00442DAE">
              <w:t>process to make inferences from the matrix display</w:t>
            </w:r>
            <w:r>
              <w:t xml:space="preserve"> </w:t>
            </w:r>
            <w:r w:rsidRPr="00442DAE">
              <w:t>(Miles et al., 2020). Two coders</w:t>
            </w:r>
            <w:r>
              <w:t xml:space="preserve"> first</w:t>
            </w:r>
            <w:r w:rsidRPr="00442DAE">
              <w:t xml:space="preserve"> </w:t>
            </w:r>
            <w:r>
              <w:t>c</w:t>
            </w:r>
            <w:r w:rsidRPr="00442DAE">
              <w:t>ollaboratively determined the method for</w:t>
            </w:r>
            <w:r>
              <w:t xml:space="preserve"> </w:t>
            </w:r>
            <w:r w:rsidRPr="00442DAE">
              <w:t>extracting relevancy</w:t>
            </w:r>
            <w:r>
              <w:t xml:space="preserve"> (</w:t>
            </w:r>
            <w:r w:rsidRPr="00F34CAE">
              <w:t>Table 1</w:t>
            </w:r>
            <w:r>
              <w:t>) from the descriptive statistics and visual display</w:t>
            </w:r>
            <w:r w:rsidRPr="00442DAE">
              <w:t>,</w:t>
            </w:r>
            <w:r>
              <w:t xml:space="preserve"> then</w:t>
            </w:r>
            <w:r w:rsidRPr="00442DAE">
              <w:t xml:space="preserve"> </w:t>
            </w:r>
            <w:r>
              <w:t>i</w:t>
            </w:r>
            <w:r w:rsidRPr="00442DAE">
              <w:t xml:space="preserve">ndependently </w:t>
            </w:r>
            <w:r>
              <w:t xml:space="preserve">categorized </w:t>
            </w:r>
            <w:r w:rsidRPr="00442DAE">
              <w:t xml:space="preserve">each </w:t>
            </w:r>
            <w:r>
              <w:t>determinant</w:t>
            </w:r>
            <w:r w:rsidRPr="00442DAE">
              <w:t>,</w:t>
            </w:r>
            <w:r>
              <w:t xml:space="preserve"> and finally</w:t>
            </w:r>
            <w:r w:rsidRPr="00442DAE">
              <w:t xml:space="preserve"> </w:t>
            </w:r>
            <w:r>
              <w:t>r</w:t>
            </w:r>
            <w:r w:rsidRPr="00442DAE">
              <w:t xml:space="preserve">eviewed their </w:t>
            </w:r>
            <w:r>
              <w:t>category labels</w:t>
            </w:r>
            <w:r w:rsidRPr="00442DAE">
              <w:t xml:space="preserve"> and resolved discrepancies. Relevancy was </w:t>
            </w:r>
            <w:r>
              <w:t xml:space="preserve">defined as: </w:t>
            </w:r>
            <w:r w:rsidRPr="00442DAE">
              <w:t>“how important this determinant seems at this stage</w:t>
            </w:r>
            <w:r>
              <w:t xml:space="preserve">.” </w:t>
            </w:r>
            <w:r w:rsidRPr="00442DAE">
              <w:t xml:space="preserve">Using fuzzy set theory (specifically type </w:t>
            </w:r>
            <w:r>
              <w:t>2</w:t>
            </w:r>
            <w:r w:rsidRPr="00442DAE">
              <w:t xml:space="preserve"> fuzzy sets; Zimmerman, 2001), f</w:t>
            </w:r>
            <w:r>
              <w:t>ive</w:t>
            </w:r>
            <w:r w:rsidRPr="00442DAE">
              <w:t xml:space="preserve"> relevancy </w:t>
            </w:r>
            <w:r>
              <w:t xml:space="preserve">categories </w:t>
            </w:r>
            <w:r w:rsidRPr="00442DAE">
              <w:t>were defined</w:t>
            </w:r>
            <w:r>
              <w:t xml:space="preserve"> (Table </w:t>
            </w:r>
            <w:r w:rsidRPr="00F34CAE">
              <w:t>1):</w:t>
            </w:r>
            <w:r w:rsidRPr="00442DAE">
              <w:t xml:space="preserve"> highly relevant, relevant, less relevant, </w:t>
            </w:r>
            <w:r>
              <w:t xml:space="preserve">irrelevant, </w:t>
            </w:r>
            <w:r w:rsidRPr="00442DAE">
              <w:t xml:space="preserve">variable relevancy/more information needed. Coding benchmarks were constructed for each relevancy </w:t>
            </w:r>
            <w:r>
              <w:t>category</w:t>
            </w:r>
            <w:r w:rsidRPr="00442DAE">
              <w:t xml:space="preserve">. To retain the integrity of participants’ perceptions rather than the coders’ perceptions, both coders were blinded to the </w:t>
            </w:r>
            <w:r>
              <w:t>i</w:t>
            </w:r>
            <w:r w:rsidRPr="00442DAE">
              <w:t>tems within the matrix and</w:t>
            </w:r>
            <w:r>
              <w:t xml:space="preserve"> applied</w:t>
            </w:r>
            <w:r w:rsidRPr="00442DAE">
              <w:t xml:space="preserve"> the relevancy </w:t>
            </w:r>
            <w:r>
              <w:t xml:space="preserve">category labels </w:t>
            </w:r>
            <w:r w:rsidRPr="00442DAE">
              <w:t>based solely on the cod</w:t>
            </w:r>
            <w:r>
              <w:t xml:space="preserve">ing benchmark and definition. </w:t>
            </w:r>
            <w:r w:rsidRPr="00442DAE">
              <w:t>After</w:t>
            </w:r>
            <w:r>
              <w:t xml:space="preserve"> labels </w:t>
            </w:r>
            <w:r w:rsidRPr="00442DAE">
              <w:t xml:space="preserve">were </w:t>
            </w:r>
            <w:r>
              <w:t xml:space="preserve">applied </w:t>
            </w:r>
            <w:r>
              <w:lastRenderedPageBreak/>
              <w:t>for all items</w:t>
            </w:r>
            <w:r w:rsidRPr="00442DAE">
              <w:t xml:space="preserve">, </w:t>
            </w:r>
            <w:r>
              <w:t xml:space="preserve">category labels </w:t>
            </w:r>
            <w:r w:rsidRPr="00442DAE">
              <w:t>were compared and resolved via discussion to ensure consiste</w:t>
            </w:r>
            <w:r>
              <w:t xml:space="preserve">nt interpretation across items. </w:t>
            </w:r>
          </w:p>
          <w:p w14:paraId="32C7BD57" w14:textId="695EC082" w:rsidR="00250120" w:rsidRPr="00250120" w:rsidRDefault="00250120"/>
        </w:tc>
      </w:tr>
      <w:tr w:rsidR="005C03BA" w14:paraId="61C04FD7" w14:textId="77777777" w:rsidTr="0029792F">
        <w:tc>
          <w:tcPr>
            <w:tcW w:w="12950" w:type="dxa"/>
            <w:gridSpan w:val="2"/>
            <w:shd w:val="clear" w:color="auto" w:fill="D5DCE4" w:themeFill="text2" w:themeFillTint="33"/>
          </w:tcPr>
          <w:p w14:paraId="24EE36FD" w14:textId="508538C1" w:rsidR="005C03BA" w:rsidRDefault="005C03BA">
            <w:r>
              <w:rPr>
                <w:b/>
                <w:bCs/>
              </w:rPr>
              <w:lastRenderedPageBreak/>
              <w:t>Results/findings</w:t>
            </w:r>
          </w:p>
        </w:tc>
      </w:tr>
      <w:tr w:rsidR="004579AD" w14:paraId="3D46FD1E" w14:textId="77777777" w:rsidTr="004579AD">
        <w:tc>
          <w:tcPr>
            <w:tcW w:w="3595" w:type="dxa"/>
          </w:tcPr>
          <w:p w14:paraId="084E43E5" w14:textId="675D12A7" w:rsidR="004579AD" w:rsidRDefault="004579AD">
            <w:r>
              <w:t>Synthesis and interpretation</w:t>
            </w:r>
          </w:p>
        </w:tc>
        <w:tc>
          <w:tcPr>
            <w:tcW w:w="9355" w:type="dxa"/>
          </w:tcPr>
          <w:p w14:paraId="11F9D31F" w14:textId="77777777" w:rsidR="004579AD" w:rsidRDefault="005C03BA">
            <w:pPr>
              <w:rPr>
                <w:i/>
                <w:iCs/>
              </w:rPr>
            </w:pPr>
            <w:r w:rsidRPr="00486F42">
              <w:rPr>
                <w:i/>
                <w:iCs/>
              </w:rPr>
              <w:t>Main findings (e.g., interpretations, inferences, and themes); might include development of a theory or model, or integration with prior research or theory</w:t>
            </w:r>
          </w:p>
          <w:p w14:paraId="3D8F4B42" w14:textId="7F739BD2" w:rsidR="00250120" w:rsidRPr="00250120" w:rsidRDefault="00250120">
            <w:r>
              <w:t>Determinants most relevant across implementation stages are Leadership, Priority, a Champion, Supportive Climate, Culture, Innovativeness, and Staff Capacities.</w:t>
            </w:r>
            <w:r w:rsidRPr="00A83923">
              <w:t xml:space="preserve"> </w:t>
            </w:r>
            <w:r>
              <w:t xml:space="preserve">Determinant strength is most critical during active implementation stages. </w:t>
            </w:r>
          </w:p>
        </w:tc>
      </w:tr>
      <w:tr w:rsidR="004579AD" w14:paraId="42648A1E" w14:textId="77777777" w:rsidTr="004579AD">
        <w:tc>
          <w:tcPr>
            <w:tcW w:w="3595" w:type="dxa"/>
          </w:tcPr>
          <w:p w14:paraId="3787B47E" w14:textId="420163C6" w:rsidR="004579AD" w:rsidRDefault="004579AD">
            <w:r>
              <w:t>Links to empirical data</w:t>
            </w:r>
          </w:p>
        </w:tc>
        <w:tc>
          <w:tcPr>
            <w:tcW w:w="9355" w:type="dxa"/>
          </w:tcPr>
          <w:p w14:paraId="2100C47D" w14:textId="77777777" w:rsidR="004579AD" w:rsidRDefault="005C03BA">
            <w:pPr>
              <w:rPr>
                <w:i/>
                <w:iCs/>
              </w:rPr>
            </w:pPr>
            <w:r w:rsidRPr="00486F42">
              <w:rPr>
                <w:i/>
                <w:iCs/>
              </w:rPr>
              <w:t>Evidence (e.g., quotes, field notes, text excerpts, photographs) to substantiate analytic findings</w:t>
            </w:r>
          </w:p>
          <w:p w14:paraId="6C2429CD" w14:textId="0CF3A2E1" w:rsidR="00250120" w:rsidRPr="00250120" w:rsidRDefault="00250120">
            <w:r>
              <w:t xml:space="preserve">See text section “Potential Implications” in the results section, which includes quotes from several panelists. </w:t>
            </w:r>
          </w:p>
        </w:tc>
      </w:tr>
      <w:tr w:rsidR="005C03BA" w14:paraId="0DE27253" w14:textId="77777777" w:rsidTr="0029792F">
        <w:tc>
          <w:tcPr>
            <w:tcW w:w="12950" w:type="dxa"/>
            <w:gridSpan w:val="2"/>
            <w:shd w:val="clear" w:color="auto" w:fill="D5DCE4" w:themeFill="text2" w:themeFillTint="33"/>
          </w:tcPr>
          <w:p w14:paraId="58A6B108" w14:textId="4EDA5724" w:rsidR="005C03BA" w:rsidRDefault="005C03BA">
            <w:r>
              <w:rPr>
                <w:b/>
                <w:bCs/>
              </w:rPr>
              <w:t>Discussion</w:t>
            </w:r>
          </w:p>
        </w:tc>
      </w:tr>
      <w:tr w:rsidR="004579AD" w14:paraId="33A90824" w14:textId="77777777" w:rsidTr="004579AD">
        <w:tc>
          <w:tcPr>
            <w:tcW w:w="3595" w:type="dxa"/>
          </w:tcPr>
          <w:p w14:paraId="17E9F6D7" w14:textId="182E16A4" w:rsidR="004579AD" w:rsidRPr="004579AD" w:rsidRDefault="004579AD">
            <w:r>
              <w:t>Integration with prior work</w:t>
            </w:r>
            <w:r w:rsidR="005C03BA">
              <w:t>, implications, transferability, and contribution(s) to the field</w:t>
            </w:r>
          </w:p>
        </w:tc>
        <w:tc>
          <w:tcPr>
            <w:tcW w:w="9355" w:type="dxa"/>
          </w:tcPr>
          <w:p w14:paraId="76FDE96B" w14:textId="77777777" w:rsidR="005C03BA" w:rsidRPr="00486F42" w:rsidRDefault="005C03BA" w:rsidP="005C03BA">
            <w:pPr>
              <w:rPr>
                <w:i/>
                <w:iCs/>
              </w:rPr>
            </w:pPr>
            <w:r w:rsidRPr="00486F42">
              <w:rPr>
                <w:i/>
                <w:iCs/>
              </w:rPr>
              <w:t>Short summary of main findings; explanation of how findings</w:t>
            </w:r>
          </w:p>
          <w:p w14:paraId="44F7B4D4" w14:textId="77777777" w:rsidR="004579AD" w:rsidRDefault="005C03BA" w:rsidP="005C03BA">
            <w:pPr>
              <w:rPr>
                <w:i/>
                <w:iCs/>
              </w:rPr>
            </w:pPr>
            <w:r w:rsidRPr="00486F42">
              <w:rPr>
                <w:i/>
                <w:iCs/>
              </w:rPr>
              <w:t>and conclusions connect to, support, elaborate on, or challenge conclusions of earlier scholarship; discussion of scope of application/ generalizability; identification of unique contribution(s) to scholarship in a discipline or field</w:t>
            </w:r>
          </w:p>
          <w:p w14:paraId="05AF5DAA" w14:textId="5390D67D" w:rsidR="00250120" w:rsidRPr="00250120" w:rsidRDefault="00250120" w:rsidP="005C03BA">
            <w:r>
              <w:t xml:space="preserve">See third and fourth paragraphs of Discussion section, and section “Generalizability beyond integrated care” in Discussion. </w:t>
            </w:r>
          </w:p>
        </w:tc>
      </w:tr>
      <w:tr w:rsidR="004579AD" w14:paraId="75DF510F" w14:textId="77777777" w:rsidTr="004579AD">
        <w:tc>
          <w:tcPr>
            <w:tcW w:w="3595" w:type="dxa"/>
          </w:tcPr>
          <w:p w14:paraId="308BCB3C" w14:textId="45225641" w:rsidR="004579AD" w:rsidRDefault="005C03BA">
            <w:r>
              <w:t>Limitations</w:t>
            </w:r>
          </w:p>
        </w:tc>
        <w:tc>
          <w:tcPr>
            <w:tcW w:w="9355" w:type="dxa"/>
          </w:tcPr>
          <w:p w14:paraId="59B9F78D" w14:textId="77777777" w:rsidR="004579AD" w:rsidRDefault="005C03BA">
            <w:pPr>
              <w:rPr>
                <w:i/>
                <w:iCs/>
              </w:rPr>
            </w:pPr>
            <w:r w:rsidRPr="00486F42">
              <w:rPr>
                <w:i/>
                <w:iCs/>
              </w:rPr>
              <w:t>Trustworthiness and limitations of findings</w:t>
            </w:r>
          </w:p>
          <w:p w14:paraId="4D3AFA6A" w14:textId="77777777" w:rsidR="00250120" w:rsidRPr="000A459A" w:rsidRDefault="00250120" w:rsidP="00250120">
            <w:r>
              <w:t xml:space="preserve">Multiple study limitations are notable. First, while the study did adhere to published best practices on qualitative Delphi study size, the participant pool was smaller than those seen in quantitative Delphi studies. Although the participants represented a diverse sample of experts, the sample size may raise questions of generalizability of findings. Another data collection limitation is that the determinants were presented as discrete constructs despite that they are likely connected and interdependent. This choice was made to adhere to the foundational framework. Across the 76 relevancy results (Table 3), </w:t>
            </w:r>
            <w:r w:rsidRPr="001C0939">
              <w:t xml:space="preserve">five did not reach consensus </w:t>
            </w:r>
            <w:r>
              <w:t>for unclear reasons; this could be due to natural variability of the determinants’ importance by context, methodological issues related to interpreting that determinant, or pure chance.</w:t>
            </w:r>
          </w:p>
          <w:p w14:paraId="7E008AF2" w14:textId="3594896C" w:rsidR="00250120" w:rsidRPr="00250120" w:rsidRDefault="00250120"/>
        </w:tc>
      </w:tr>
      <w:tr w:rsidR="005C03BA" w14:paraId="2ADE1516" w14:textId="77777777" w:rsidTr="0029792F">
        <w:tc>
          <w:tcPr>
            <w:tcW w:w="12950" w:type="dxa"/>
            <w:gridSpan w:val="2"/>
            <w:shd w:val="clear" w:color="auto" w:fill="D5DCE4" w:themeFill="text2" w:themeFillTint="33"/>
          </w:tcPr>
          <w:p w14:paraId="0EDF62CD" w14:textId="2A07589D" w:rsidR="005C03BA" w:rsidRDefault="005C03BA">
            <w:r>
              <w:rPr>
                <w:b/>
                <w:bCs/>
              </w:rPr>
              <w:t>Other</w:t>
            </w:r>
          </w:p>
        </w:tc>
      </w:tr>
      <w:tr w:rsidR="004579AD" w14:paraId="265F6EF7" w14:textId="77777777" w:rsidTr="004579AD">
        <w:tc>
          <w:tcPr>
            <w:tcW w:w="3595" w:type="dxa"/>
          </w:tcPr>
          <w:p w14:paraId="293D08AE" w14:textId="509F2454" w:rsidR="004579AD" w:rsidRDefault="005C03BA">
            <w:r>
              <w:t>Conflicts of interest</w:t>
            </w:r>
          </w:p>
        </w:tc>
        <w:tc>
          <w:tcPr>
            <w:tcW w:w="9355" w:type="dxa"/>
          </w:tcPr>
          <w:p w14:paraId="6B6428BC" w14:textId="77777777" w:rsidR="004579AD" w:rsidRDefault="005C03BA">
            <w:pPr>
              <w:rPr>
                <w:i/>
                <w:iCs/>
              </w:rPr>
            </w:pPr>
            <w:r w:rsidRPr="00486F42">
              <w:rPr>
                <w:i/>
                <w:iCs/>
              </w:rPr>
              <w:t>Potential sources of influence or perceived influence on study conduct and conclusions; how these were managed</w:t>
            </w:r>
          </w:p>
          <w:p w14:paraId="2582CF82" w14:textId="7825C70C" w:rsidR="00250120" w:rsidRPr="00250120" w:rsidRDefault="00250120">
            <w:r>
              <w:lastRenderedPageBreak/>
              <w:t xml:space="preserve">No conflicts of interest are relevant for this study. </w:t>
            </w:r>
          </w:p>
        </w:tc>
      </w:tr>
      <w:tr w:rsidR="004579AD" w14:paraId="597E3801" w14:textId="77777777" w:rsidTr="004579AD">
        <w:tc>
          <w:tcPr>
            <w:tcW w:w="3595" w:type="dxa"/>
          </w:tcPr>
          <w:p w14:paraId="3630D12C" w14:textId="53874F33" w:rsidR="004579AD" w:rsidRDefault="005C03BA">
            <w:r>
              <w:lastRenderedPageBreak/>
              <w:t>Funding</w:t>
            </w:r>
          </w:p>
        </w:tc>
        <w:tc>
          <w:tcPr>
            <w:tcW w:w="9355" w:type="dxa"/>
          </w:tcPr>
          <w:p w14:paraId="32DFF4CB" w14:textId="77777777" w:rsidR="004579AD" w:rsidRDefault="005C03BA">
            <w:r w:rsidRPr="00486F42">
              <w:rPr>
                <w:i/>
                <w:iCs/>
              </w:rPr>
              <w:t>Sources of funding and other support; role of funders in data collection, interpretation, and reporting</w:t>
            </w:r>
            <w:r w:rsidR="00486F42">
              <w:rPr>
                <w:i/>
                <w:iCs/>
              </w:rPr>
              <w:t>.</w:t>
            </w:r>
          </w:p>
          <w:p w14:paraId="383F91C1" w14:textId="79C77532" w:rsidR="00486F42" w:rsidRDefault="00486F42"/>
          <w:p w14:paraId="73E8086E" w14:textId="7DAB6106" w:rsidR="00486F42" w:rsidRDefault="00486F42">
            <w:r>
              <w:t xml:space="preserve">Partial funding provided by the University of South Carolina SPARC grant, awarded to Ariel </w:t>
            </w:r>
            <w:proofErr w:type="spellStart"/>
            <w:r>
              <w:t>Domlyn</w:t>
            </w:r>
            <w:proofErr w:type="spellEnd"/>
            <w:r>
              <w:t xml:space="preserve"> (Abraham </w:t>
            </w:r>
            <w:proofErr w:type="spellStart"/>
            <w:r>
              <w:t>Wandersman</w:t>
            </w:r>
            <w:proofErr w:type="spellEnd"/>
            <w:r>
              <w:t>, faculty sponsor)</w:t>
            </w:r>
            <w:r w:rsidR="00250120">
              <w:t>.</w:t>
            </w:r>
          </w:p>
          <w:p w14:paraId="09D55DDA" w14:textId="54BED6B4" w:rsidR="00486F42" w:rsidRPr="00486F42" w:rsidRDefault="00486F42"/>
        </w:tc>
      </w:tr>
    </w:tbl>
    <w:p w14:paraId="28D86501" w14:textId="34DC15C8" w:rsidR="00F22977" w:rsidRDefault="00F22977"/>
    <w:p w14:paraId="7A3C6422" w14:textId="79DA5B51" w:rsidR="004579AD" w:rsidRDefault="004579AD"/>
    <w:p w14:paraId="48EE3314" w14:textId="77777777" w:rsidR="004579AD" w:rsidRDefault="004579AD"/>
    <w:sectPr w:rsidR="004579AD" w:rsidSect="004579AD">
      <w:pgSz w:w="15840" w:h="12240" w:orient="landscape"/>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Weist, Mark" w:date="2022-10-19T15:17:00Z" w:initials="WM">
    <w:p w14:paraId="084B9109" w14:textId="77777777" w:rsidR="00250120" w:rsidRDefault="00250120" w:rsidP="00250120">
      <w:pPr>
        <w:pStyle w:val="CommentText"/>
      </w:pPr>
      <w:r>
        <w:rPr>
          <w:rStyle w:val="CommentReference"/>
        </w:rPr>
        <w:annotationRef/>
      </w:r>
      <w:r>
        <w:t>Briefly describe?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84B910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FA938D" w16cex:dateUtc="2022-10-19T19: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84B9109" w16cid:durableId="26FA938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Bold">
    <w:altName w:val="Times New Roman"/>
    <w:panose1 w:val="00000800000000020000"/>
    <w:charset w:val="00"/>
    <w:family w:val="auto"/>
    <w:pitch w:val="variable"/>
    <w:sig w:usb0="E00002FF" w:usb1="5000205A" w:usb2="00000000" w:usb3="00000000" w:csb0="0000019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Weist, Mark">
    <w15:presenceInfo w15:providerId="AD" w15:userId="S::WEIST@mailbox.sc.edu::9ef95bb8-cbb5-4806-8532-5e5434d0d9b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9AD"/>
    <w:rsid w:val="00063882"/>
    <w:rsid w:val="00082F33"/>
    <w:rsid w:val="00111229"/>
    <w:rsid w:val="00247110"/>
    <w:rsid w:val="00250120"/>
    <w:rsid w:val="0029792F"/>
    <w:rsid w:val="003849DB"/>
    <w:rsid w:val="004579AD"/>
    <w:rsid w:val="00486F42"/>
    <w:rsid w:val="005C03BA"/>
    <w:rsid w:val="00657843"/>
    <w:rsid w:val="006A52FA"/>
    <w:rsid w:val="006E24BE"/>
    <w:rsid w:val="00783E88"/>
    <w:rsid w:val="00AF480D"/>
    <w:rsid w:val="00B519FD"/>
    <w:rsid w:val="00C52105"/>
    <w:rsid w:val="00C77EC0"/>
    <w:rsid w:val="00F229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B0C750"/>
  <w15:chartTrackingRefBased/>
  <w15:docId w15:val="{9708F5FE-7158-A14D-9841-D5E8B7E8D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79AD"/>
    <w:rPr>
      <w:rFonts w:ascii="Times New Roman" w:hAnsi="Times New Roman"/>
    </w:rPr>
  </w:style>
  <w:style w:type="paragraph" w:styleId="Heading4">
    <w:name w:val="heading 4"/>
    <w:basedOn w:val="Normal"/>
    <w:next w:val="Normal"/>
    <w:link w:val="Heading4Char"/>
    <w:uiPriority w:val="9"/>
    <w:unhideWhenUsed/>
    <w:qFormat/>
    <w:rsid w:val="00250120"/>
    <w:pPr>
      <w:spacing w:line="480" w:lineRule="auto"/>
      <w:ind w:firstLine="720"/>
      <w:outlineLvl w:val="3"/>
    </w:pPr>
    <w:rPr>
      <w:rFonts w:eastAsia="Times New Roman"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579AD"/>
    <w:pPr>
      <w:spacing w:before="100" w:beforeAutospacing="1" w:after="100" w:afterAutospacing="1"/>
    </w:pPr>
    <w:rPr>
      <w:rFonts w:eastAsia="Times New Roman" w:cs="Times New Roman"/>
    </w:rPr>
  </w:style>
  <w:style w:type="table" w:styleId="TableGrid">
    <w:name w:val="Table Grid"/>
    <w:basedOn w:val="TableNormal"/>
    <w:uiPriority w:val="39"/>
    <w:rsid w:val="004579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A52FA"/>
    <w:rPr>
      <w:sz w:val="16"/>
      <w:szCs w:val="16"/>
    </w:rPr>
  </w:style>
  <w:style w:type="character" w:customStyle="1" w:styleId="Heading4Char">
    <w:name w:val="Heading 4 Char"/>
    <w:basedOn w:val="DefaultParagraphFont"/>
    <w:link w:val="Heading4"/>
    <w:uiPriority w:val="9"/>
    <w:rsid w:val="00250120"/>
    <w:rPr>
      <w:rFonts w:ascii="Times New Roman" w:eastAsia="Times New Roman" w:hAnsi="Times New Roman" w:cs="Times New Roman"/>
      <w:b/>
    </w:rPr>
  </w:style>
  <w:style w:type="paragraph" w:styleId="CommentText">
    <w:name w:val="annotation text"/>
    <w:basedOn w:val="Normal"/>
    <w:link w:val="CommentTextChar"/>
    <w:uiPriority w:val="99"/>
    <w:unhideWhenUsed/>
    <w:rsid w:val="00250120"/>
    <w:rPr>
      <w:sz w:val="20"/>
      <w:szCs w:val="20"/>
    </w:rPr>
  </w:style>
  <w:style w:type="character" w:customStyle="1" w:styleId="CommentTextChar">
    <w:name w:val="Comment Text Char"/>
    <w:basedOn w:val="DefaultParagraphFont"/>
    <w:link w:val="CommentText"/>
    <w:uiPriority w:val="99"/>
    <w:rsid w:val="00250120"/>
    <w:rPr>
      <w:rFonts w:ascii="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6566">
      <w:bodyDiv w:val="1"/>
      <w:marLeft w:val="0"/>
      <w:marRight w:val="0"/>
      <w:marTop w:val="0"/>
      <w:marBottom w:val="0"/>
      <w:divBdr>
        <w:top w:val="none" w:sz="0" w:space="0" w:color="auto"/>
        <w:left w:val="none" w:sz="0" w:space="0" w:color="auto"/>
        <w:bottom w:val="none" w:sz="0" w:space="0" w:color="auto"/>
        <w:right w:val="none" w:sz="0" w:space="0" w:color="auto"/>
      </w:divBdr>
      <w:divsChild>
        <w:div w:id="1833912428">
          <w:marLeft w:val="0"/>
          <w:marRight w:val="0"/>
          <w:marTop w:val="0"/>
          <w:marBottom w:val="0"/>
          <w:divBdr>
            <w:top w:val="none" w:sz="0" w:space="0" w:color="auto"/>
            <w:left w:val="none" w:sz="0" w:space="0" w:color="auto"/>
            <w:bottom w:val="none" w:sz="0" w:space="0" w:color="auto"/>
            <w:right w:val="none" w:sz="0" w:space="0" w:color="auto"/>
          </w:divBdr>
          <w:divsChild>
            <w:div w:id="1112020219">
              <w:marLeft w:val="0"/>
              <w:marRight w:val="0"/>
              <w:marTop w:val="0"/>
              <w:marBottom w:val="0"/>
              <w:divBdr>
                <w:top w:val="none" w:sz="0" w:space="0" w:color="auto"/>
                <w:left w:val="none" w:sz="0" w:space="0" w:color="auto"/>
                <w:bottom w:val="none" w:sz="0" w:space="0" w:color="auto"/>
                <w:right w:val="none" w:sz="0" w:space="0" w:color="auto"/>
              </w:divBdr>
              <w:divsChild>
                <w:div w:id="83965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14168">
      <w:bodyDiv w:val="1"/>
      <w:marLeft w:val="0"/>
      <w:marRight w:val="0"/>
      <w:marTop w:val="0"/>
      <w:marBottom w:val="0"/>
      <w:divBdr>
        <w:top w:val="none" w:sz="0" w:space="0" w:color="auto"/>
        <w:left w:val="none" w:sz="0" w:space="0" w:color="auto"/>
        <w:bottom w:val="none" w:sz="0" w:space="0" w:color="auto"/>
        <w:right w:val="none" w:sz="0" w:space="0" w:color="auto"/>
      </w:divBdr>
      <w:divsChild>
        <w:div w:id="76051995">
          <w:marLeft w:val="0"/>
          <w:marRight w:val="0"/>
          <w:marTop w:val="0"/>
          <w:marBottom w:val="0"/>
          <w:divBdr>
            <w:top w:val="none" w:sz="0" w:space="0" w:color="auto"/>
            <w:left w:val="none" w:sz="0" w:space="0" w:color="auto"/>
            <w:bottom w:val="none" w:sz="0" w:space="0" w:color="auto"/>
            <w:right w:val="none" w:sz="0" w:space="0" w:color="auto"/>
          </w:divBdr>
          <w:divsChild>
            <w:div w:id="1889993181">
              <w:marLeft w:val="0"/>
              <w:marRight w:val="0"/>
              <w:marTop w:val="0"/>
              <w:marBottom w:val="0"/>
              <w:divBdr>
                <w:top w:val="none" w:sz="0" w:space="0" w:color="auto"/>
                <w:left w:val="none" w:sz="0" w:space="0" w:color="auto"/>
                <w:bottom w:val="none" w:sz="0" w:space="0" w:color="auto"/>
                <w:right w:val="none" w:sz="0" w:space="0" w:color="auto"/>
              </w:divBdr>
              <w:divsChild>
                <w:div w:id="191477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68537">
      <w:bodyDiv w:val="1"/>
      <w:marLeft w:val="0"/>
      <w:marRight w:val="0"/>
      <w:marTop w:val="0"/>
      <w:marBottom w:val="0"/>
      <w:divBdr>
        <w:top w:val="none" w:sz="0" w:space="0" w:color="auto"/>
        <w:left w:val="none" w:sz="0" w:space="0" w:color="auto"/>
        <w:bottom w:val="none" w:sz="0" w:space="0" w:color="auto"/>
        <w:right w:val="none" w:sz="0" w:space="0" w:color="auto"/>
      </w:divBdr>
      <w:divsChild>
        <w:div w:id="180364300">
          <w:marLeft w:val="0"/>
          <w:marRight w:val="0"/>
          <w:marTop w:val="0"/>
          <w:marBottom w:val="0"/>
          <w:divBdr>
            <w:top w:val="none" w:sz="0" w:space="0" w:color="auto"/>
            <w:left w:val="none" w:sz="0" w:space="0" w:color="auto"/>
            <w:bottom w:val="none" w:sz="0" w:space="0" w:color="auto"/>
            <w:right w:val="none" w:sz="0" w:space="0" w:color="auto"/>
          </w:divBdr>
          <w:divsChild>
            <w:div w:id="916132672">
              <w:marLeft w:val="0"/>
              <w:marRight w:val="0"/>
              <w:marTop w:val="0"/>
              <w:marBottom w:val="0"/>
              <w:divBdr>
                <w:top w:val="none" w:sz="0" w:space="0" w:color="auto"/>
                <w:left w:val="none" w:sz="0" w:space="0" w:color="auto"/>
                <w:bottom w:val="none" w:sz="0" w:space="0" w:color="auto"/>
                <w:right w:val="none" w:sz="0" w:space="0" w:color="auto"/>
              </w:divBdr>
              <w:divsChild>
                <w:div w:id="91543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33527">
      <w:bodyDiv w:val="1"/>
      <w:marLeft w:val="0"/>
      <w:marRight w:val="0"/>
      <w:marTop w:val="0"/>
      <w:marBottom w:val="0"/>
      <w:divBdr>
        <w:top w:val="none" w:sz="0" w:space="0" w:color="auto"/>
        <w:left w:val="none" w:sz="0" w:space="0" w:color="auto"/>
        <w:bottom w:val="none" w:sz="0" w:space="0" w:color="auto"/>
        <w:right w:val="none" w:sz="0" w:space="0" w:color="auto"/>
      </w:divBdr>
      <w:divsChild>
        <w:div w:id="181016461">
          <w:marLeft w:val="0"/>
          <w:marRight w:val="0"/>
          <w:marTop w:val="0"/>
          <w:marBottom w:val="0"/>
          <w:divBdr>
            <w:top w:val="none" w:sz="0" w:space="0" w:color="auto"/>
            <w:left w:val="none" w:sz="0" w:space="0" w:color="auto"/>
            <w:bottom w:val="none" w:sz="0" w:space="0" w:color="auto"/>
            <w:right w:val="none" w:sz="0" w:space="0" w:color="auto"/>
          </w:divBdr>
          <w:divsChild>
            <w:div w:id="2015037461">
              <w:marLeft w:val="0"/>
              <w:marRight w:val="0"/>
              <w:marTop w:val="0"/>
              <w:marBottom w:val="0"/>
              <w:divBdr>
                <w:top w:val="none" w:sz="0" w:space="0" w:color="auto"/>
                <w:left w:val="none" w:sz="0" w:space="0" w:color="auto"/>
                <w:bottom w:val="none" w:sz="0" w:space="0" w:color="auto"/>
                <w:right w:val="none" w:sz="0" w:space="0" w:color="auto"/>
              </w:divBdr>
              <w:divsChild>
                <w:div w:id="441462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35491">
      <w:bodyDiv w:val="1"/>
      <w:marLeft w:val="0"/>
      <w:marRight w:val="0"/>
      <w:marTop w:val="0"/>
      <w:marBottom w:val="0"/>
      <w:divBdr>
        <w:top w:val="none" w:sz="0" w:space="0" w:color="auto"/>
        <w:left w:val="none" w:sz="0" w:space="0" w:color="auto"/>
        <w:bottom w:val="none" w:sz="0" w:space="0" w:color="auto"/>
        <w:right w:val="none" w:sz="0" w:space="0" w:color="auto"/>
      </w:divBdr>
      <w:divsChild>
        <w:div w:id="1718117243">
          <w:marLeft w:val="0"/>
          <w:marRight w:val="0"/>
          <w:marTop w:val="0"/>
          <w:marBottom w:val="0"/>
          <w:divBdr>
            <w:top w:val="none" w:sz="0" w:space="0" w:color="auto"/>
            <w:left w:val="none" w:sz="0" w:space="0" w:color="auto"/>
            <w:bottom w:val="none" w:sz="0" w:space="0" w:color="auto"/>
            <w:right w:val="none" w:sz="0" w:space="0" w:color="auto"/>
          </w:divBdr>
          <w:divsChild>
            <w:div w:id="1957176906">
              <w:marLeft w:val="0"/>
              <w:marRight w:val="0"/>
              <w:marTop w:val="0"/>
              <w:marBottom w:val="0"/>
              <w:divBdr>
                <w:top w:val="none" w:sz="0" w:space="0" w:color="auto"/>
                <w:left w:val="none" w:sz="0" w:space="0" w:color="auto"/>
                <w:bottom w:val="none" w:sz="0" w:space="0" w:color="auto"/>
                <w:right w:val="none" w:sz="0" w:space="0" w:color="auto"/>
              </w:divBdr>
              <w:divsChild>
                <w:div w:id="131880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99971">
      <w:bodyDiv w:val="1"/>
      <w:marLeft w:val="0"/>
      <w:marRight w:val="0"/>
      <w:marTop w:val="0"/>
      <w:marBottom w:val="0"/>
      <w:divBdr>
        <w:top w:val="none" w:sz="0" w:space="0" w:color="auto"/>
        <w:left w:val="none" w:sz="0" w:space="0" w:color="auto"/>
        <w:bottom w:val="none" w:sz="0" w:space="0" w:color="auto"/>
        <w:right w:val="none" w:sz="0" w:space="0" w:color="auto"/>
      </w:divBdr>
      <w:divsChild>
        <w:div w:id="1073432297">
          <w:marLeft w:val="0"/>
          <w:marRight w:val="0"/>
          <w:marTop w:val="0"/>
          <w:marBottom w:val="0"/>
          <w:divBdr>
            <w:top w:val="none" w:sz="0" w:space="0" w:color="auto"/>
            <w:left w:val="none" w:sz="0" w:space="0" w:color="auto"/>
            <w:bottom w:val="none" w:sz="0" w:space="0" w:color="auto"/>
            <w:right w:val="none" w:sz="0" w:space="0" w:color="auto"/>
          </w:divBdr>
          <w:divsChild>
            <w:div w:id="1428426825">
              <w:marLeft w:val="0"/>
              <w:marRight w:val="0"/>
              <w:marTop w:val="0"/>
              <w:marBottom w:val="0"/>
              <w:divBdr>
                <w:top w:val="none" w:sz="0" w:space="0" w:color="auto"/>
                <w:left w:val="none" w:sz="0" w:space="0" w:color="auto"/>
                <w:bottom w:val="none" w:sz="0" w:space="0" w:color="auto"/>
                <w:right w:val="none" w:sz="0" w:space="0" w:color="auto"/>
              </w:divBdr>
              <w:divsChild>
                <w:div w:id="114315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29668">
      <w:bodyDiv w:val="1"/>
      <w:marLeft w:val="0"/>
      <w:marRight w:val="0"/>
      <w:marTop w:val="0"/>
      <w:marBottom w:val="0"/>
      <w:divBdr>
        <w:top w:val="none" w:sz="0" w:space="0" w:color="auto"/>
        <w:left w:val="none" w:sz="0" w:space="0" w:color="auto"/>
        <w:bottom w:val="none" w:sz="0" w:space="0" w:color="auto"/>
        <w:right w:val="none" w:sz="0" w:space="0" w:color="auto"/>
      </w:divBdr>
      <w:divsChild>
        <w:div w:id="1933203482">
          <w:marLeft w:val="0"/>
          <w:marRight w:val="0"/>
          <w:marTop w:val="0"/>
          <w:marBottom w:val="0"/>
          <w:divBdr>
            <w:top w:val="none" w:sz="0" w:space="0" w:color="auto"/>
            <w:left w:val="none" w:sz="0" w:space="0" w:color="auto"/>
            <w:bottom w:val="none" w:sz="0" w:space="0" w:color="auto"/>
            <w:right w:val="none" w:sz="0" w:space="0" w:color="auto"/>
          </w:divBdr>
          <w:divsChild>
            <w:div w:id="389110226">
              <w:marLeft w:val="0"/>
              <w:marRight w:val="0"/>
              <w:marTop w:val="0"/>
              <w:marBottom w:val="0"/>
              <w:divBdr>
                <w:top w:val="none" w:sz="0" w:space="0" w:color="auto"/>
                <w:left w:val="none" w:sz="0" w:space="0" w:color="auto"/>
                <w:bottom w:val="none" w:sz="0" w:space="0" w:color="auto"/>
                <w:right w:val="none" w:sz="0" w:space="0" w:color="auto"/>
              </w:divBdr>
              <w:divsChild>
                <w:div w:id="213701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67504">
      <w:bodyDiv w:val="1"/>
      <w:marLeft w:val="0"/>
      <w:marRight w:val="0"/>
      <w:marTop w:val="0"/>
      <w:marBottom w:val="0"/>
      <w:divBdr>
        <w:top w:val="none" w:sz="0" w:space="0" w:color="auto"/>
        <w:left w:val="none" w:sz="0" w:space="0" w:color="auto"/>
        <w:bottom w:val="none" w:sz="0" w:space="0" w:color="auto"/>
        <w:right w:val="none" w:sz="0" w:space="0" w:color="auto"/>
      </w:divBdr>
      <w:divsChild>
        <w:div w:id="143013058">
          <w:marLeft w:val="0"/>
          <w:marRight w:val="0"/>
          <w:marTop w:val="0"/>
          <w:marBottom w:val="0"/>
          <w:divBdr>
            <w:top w:val="none" w:sz="0" w:space="0" w:color="auto"/>
            <w:left w:val="none" w:sz="0" w:space="0" w:color="auto"/>
            <w:bottom w:val="none" w:sz="0" w:space="0" w:color="auto"/>
            <w:right w:val="none" w:sz="0" w:space="0" w:color="auto"/>
          </w:divBdr>
          <w:divsChild>
            <w:div w:id="2142114717">
              <w:marLeft w:val="0"/>
              <w:marRight w:val="0"/>
              <w:marTop w:val="0"/>
              <w:marBottom w:val="0"/>
              <w:divBdr>
                <w:top w:val="none" w:sz="0" w:space="0" w:color="auto"/>
                <w:left w:val="none" w:sz="0" w:space="0" w:color="auto"/>
                <w:bottom w:val="none" w:sz="0" w:space="0" w:color="auto"/>
                <w:right w:val="none" w:sz="0" w:space="0" w:color="auto"/>
              </w:divBdr>
              <w:divsChild>
                <w:div w:id="195717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84517">
      <w:bodyDiv w:val="1"/>
      <w:marLeft w:val="0"/>
      <w:marRight w:val="0"/>
      <w:marTop w:val="0"/>
      <w:marBottom w:val="0"/>
      <w:divBdr>
        <w:top w:val="none" w:sz="0" w:space="0" w:color="auto"/>
        <w:left w:val="none" w:sz="0" w:space="0" w:color="auto"/>
        <w:bottom w:val="none" w:sz="0" w:space="0" w:color="auto"/>
        <w:right w:val="none" w:sz="0" w:space="0" w:color="auto"/>
      </w:divBdr>
      <w:divsChild>
        <w:div w:id="1356536397">
          <w:marLeft w:val="0"/>
          <w:marRight w:val="0"/>
          <w:marTop w:val="0"/>
          <w:marBottom w:val="0"/>
          <w:divBdr>
            <w:top w:val="none" w:sz="0" w:space="0" w:color="auto"/>
            <w:left w:val="none" w:sz="0" w:space="0" w:color="auto"/>
            <w:bottom w:val="none" w:sz="0" w:space="0" w:color="auto"/>
            <w:right w:val="none" w:sz="0" w:space="0" w:color="auto"/>
          </w:divBdr>
          <w:divsChild>
            <w:div w:id="558371229">
              <w:marLeft w:val="0"/>
              <w:marRight w:val="0"/>
              <w:marTop w:val="0"/>
              <w:marBottom w:val="0"/>
              <w:divBdr>
                <w:top w:val="none" w:sz="0" w:space="0" w:color="auto"/>
                <w:left w:val="none" w:sz="0" w:space="0" w:color="auto"/>
                <w:bottom w:val="none" w:sz="0" w:space="0" w:color="auto"/>
                <w:right w:val="none" w:sz="0" w:space="0" w:color="auto"/>
              </w:divBdr>
              <w:divsChild>
                <w:div w:id="125416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03358">
      <w:bodyDiv w:val="1"/>
      <w:marLeft w:val="0"/>
      <w:marRight w:val="0"/>
      <w:marTop w:val="0"/>
      <w:marBottom w:val="0"/>
      <w:divBdr>
        <w:top w:val="none" w:sz="0" w:space="0" w:color="auto"/>
        <w:left w:val="none" w:sz="0" w:space="0" w:color="auto"/>
        <w:bottom w:val="none" w:sz="0" w:space="0" w:color="auto"/>
        <w:right w:val="none" w:sz="0" w:space="0" w:color="auto"/>
      </w:divBdr>
      <w:divsChild>
        <w:div w:id="319774203">
          <w:marLeft w:val="0"/>
          <w:marRight w:val="0"/>
          <w:marTop w:val="0"/>
          <w:marBottom w:val="0"/>
          <w:divBdr>
            <w:top w:val="none" w:sz="0" w:space="0" w:color="auto"/>
            <w:left w:val="none" w:sz="0" w:space="0" w:color="auto"/>
            <w:bottom w:val="none" w:sz="0" w:space="0" w:color="auto"/>
            <w:right w:val="none" w:sz="0" w:space="0" w:color="auto"/>
          </w:divBdr>
          <w:divsChild>
            <w:div w:id="676158988">
              <w:marLeft w:val="0"/>
              <w:marRight w:val="0"/>
              <w:marTop w:val="0"/>
              <w:marBottom w:val="0"/>
              <w:divBdr>
                <w:top w:val="none" w:sz="0" w:space="0" w:color="auto"/>
                <w:left w:val="none" w:sz="0" w:space="0" w:color="auto"/>
                <w:bottom w:val="none" w:sz="0" w:space="0" w:color="auto"/>
                <w:right w:val="none" w:sz="0" w:space="0" w:color="auto"/>
              </w:divBdr>
              <w:divsChild>
                <w:div w:id="193836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7328">
      <w:bodyDiv w:val="1"/>
      <w:marLeft w:val="0"/>
      <w:marRight w:val="0"/>
      <w:marTop w:val="0"/>
      <w:marBottom w:val="0"/>
      <w:divBdr>
        <w:top w:val="none" w:sz="0" w:space="0" w:color="auto"/>
        <w:left w:val="none" w:sz="0" w:space="0" w:color="auto"/>
        <w:bottom w:val="none" w:sz="0" w:space="0" w:color="auto"/>
        <w:right w:val="none" w:sz="0" w:space="0" w:color="auto"/>
      </w:divBdr>
      <w:divsChild>
        <w:div w:id="730159874">
          <w:marLeft w:val="0"/>
          <w:marRight w:val="0"/>
          <w:marTop w:val="0"/>
          <w:marBottom w:val="0"/>
          <w:divBdr>
            <w:top w:val="none" w:sz="0" w:space="0" w:color="auto"/>
            <w:left w:val="none" w:sz="0" w:space="0" w:color="auto"/>
            <w:bottom w:val="none" w:sz="0" w:space="0" w:color="auto"/>
            <w:right w:val="none" w:sz="0" w:space="0" w:color="auto"/>
          </w:divBdr>
          <w:divsChild>
            <w:div w:id="184877297">
              <w:marLeft w:val="0"/>
              <w:marRight w:val="0"/>
              <w:marTop w:val="0"/>
              <w:marBottom w:val="0"/>
              <w:divBdr>
                <w:top w:val="none" w:sz="0" w:space="0" w:color="auto"/>
                <w:left w:val="none" w:sz="0" w:space="0" w:color="auto"/>
                <w:bottom w:val="none" w:sz="0" w:space="0" w:color="auto"/>
                <w:right w:val="none" w:sz="0" w:space="0" w:color="auto"/>
              </w:divBdr>
              <w:divsChild>
                <w:div w:id="156005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190156">
      <w:bodyDiv w:val="1"/>
      <w:marLeft w:val="0"/>
      <w:marRight w:val="0"/>
      <w:marTop w:val="0"/>
      <w:marBottom w:val="0"/>
      <w:divBdr>
        <w:top w:val="none" w:sz="0" w:space="0" w:color="auto"/>
        <w:left w:val="none" w:sz="0" w:space="0" w:color="auto"/>
        <w:bottom w:val="none" w:sz="0" w:space="0" w:color="auto"/>
        <w:right w:val="none" w:sz="0" w:space="0" w:color="auto"/>
      </w:divBdr>
      <w:divsChild>
        <w:div w:id="1688369751">
          <w:marLeft w:val="0"/>
          <w:marRight w:val="0"/>
          <w:marTop w:val="0"/>
          <w:marBottom w:val="0"/>
          <w:divBdr>
            <w:top w:val="none" w:sz="0" w:space="0" w:color="auto"/>
            <w:left w:val="none" w:sz="0" w:space="0" w:color="auto"/>
            <w:bottom w:val="none" w:sz="0" w:space="0" w:color="auto"/>
            <w:right w:val="none" w:sz="0" w:space="0" w:color="auto"/>
          </w:divBdr>
          <w:divsChild>
            <w:div w:id="1683510377">
              <w:marLeft w:val="0"/>
              <w:marRight w:val="0"/>
              <w:marTop w:val="0"/>
              <w:marBottom w:val="0"/>
              <w:divBdr>
                <w:top w:val="none" w:sz="0" w:space="0" w:color="auto"/>
                <w:left w:val="none" w:sz="0" w:space="0" w:color="auto"/>
                <w:bottom w:val="none" w:sz="0" w:space="0" w:color="auto"/>
                <w:right w:val="none" w:sz="0" w:space="0" w:color="auto"/>
              </w:divBdr>
              <w:divsChild>
                <w:div w:id="55123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542065">
      <w:bodyDiv w:val="1"/>
      <w:marLeft w:val="0"/>
      <w:marRight w:val="0"/>
      <w:marTop w:val="0"/>
      <w:marBottom w:val="0"/>
      <w:divBdr>
        <w:top w:val="none" w:sz="0" w:space="0" w:color="auto"/>
        <w:left w:val="none" w:sz="0" w:space="0" w:color="auto"/>
        <w:bottom w:val="none" w:sz="0" w:space="0" w:color="auto"/>
        <w:right w:val="none" w:sz="0" w:space="0" w:color="auto"/>
      </w:divBdr>
      <w:divsChild>
        <w:div w:id="1158692398">
          <w:marLeft w:val="0"/>
          <w:marRight w:val="0"/>
          <w:marTop w:val="0"/>
          <w:marBottom w:val="0"/>
          <w:divBdr>
            <w:top w:val="none" w:sz="0" w:space="0" w:color="auto"/>
            <w:left w:val="none" w:sz="0" w:space="0" w:color="auto"/>
            <w:bottom w:val="none" w:sz="0" w:space="0" w:color="auto"/>
            <w:right w:val="none" w:sz="0" w:space="0" w:color="auto"/>
          </w:divBdr>
          <w:divsChild>
            <w:div w:id="907157298">
              <w:marLeft w:val="0"/>
              <w:marRight w:val="0"/>
              <w:marTop w:val="0"/>
              <w:marBottom w:val="0"/>
              <w:divBdr>
                <w:top w:val="none" w:sz="0" w:space="0" w:color="auto"/>
                <w:left w:val="none" w:sz="0" w:space="0" w:color="auto"/>
                <w:bottom w:val="none" w:sz="0" w:space="0" w:color="auto"/>
                <w:right w:val="none" w:sz="0" w:space="0" w:color="auto"/>
              </w:divBdr>
              <w:divsChild>
                <w:div w:id="169969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176354">
      <w:bodyDiv w:val="1"/>
      <w:marLeft w:val="0"/>
      <w:marRight w:val="0"/>
      <w:marTop w:val="0"/>
      <w:marBottom w:val="0"/>
      <w:divBdr>
        <w:top w:val="none" w:sz="0" w:space="0" w:color="auto"/>
        <w:left w:val="none" w:sz="0" w:space="0" w:color="auto"/>
        <w:bottom w:val="none" w:sz="0" w:space="0" w:color="auto"/>
        <w:right w:val="none" w:sz="0" w:space="0" w:color="auto"/>
      </w:divBdr>
      <w:divsChild>
        <w:div w:id="579094760">
          <w:marLeft w:val="0"/>
          <w:marRight w:val="0"/>
          <w:marTop w:val="0"/>
          <w:marBottom w:val="0"/>
          <w:divBdr>
            <w:top w:val="none" w:sz="0" w:space="0" w:color="auto"/>
            <w:left w:val="none" w:sz="0" w:space="0" w:color="auto"/>
            <w:bottom w:val="none" w:sz="0" w:space="0" w:color="auto"/>
            <w:right w:val="none" w:sz="0" w:space="0" w:color="auto"/>
          </w:divBdr>
          <w:divsChild>
            <w:div w:id="766118206">
              <w:marLeft w:val="0"/>
              <w:marRight w:val="0"/>
              <w:marTop w:val="0"/>
              <w:marBottom w:val="0"/>
              <w:divBdr>
                <w:top w:val="none" w:sz="0" w:space="0" w:color="auto"/>
                <w:left w:val="none" w:sz="0" w:space="0" w:color="auto"/>
                <w:bottom w:val="none" w:sz="0" w:space="0" w:color="auto"/>
                <w:right w:val="none" w:sz="0" w:space="0" w:color="auto"/>
              </w:divBdr>
              <w:divsChild>
                <w:div w:id="55620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908166">
      <w:bodyDiv w:val="1"/>
      <w:marLeft w:val="0"/>
      <w:marRight w:val="0"/>
      <w:marTop w:val="0"/>
      <w:marBottom w:val="0"/>
      <w:divBdr>
        <w:top w:val="none" w:sz="0" w:space="0" w:color="auto"/>
        <w:left w:val="none" w:sz="0" w:space="0" w:color="auto"/>
        <w:bottom w:val="none" w:sz="0" w:space="0" w:color="auto"/>
        <w:right w:val="none" w:sz="0" w:space="0" w:color="auto"/>
      </w:divBdr>
      <w:divsChild>
        <w:div w:id="1799909688">
          <w:marLeft w:val="0"/>
          <w:marRight w:val="0"/>
          <w:marTop w:val="0"/>
          <w:marBottom w:val="0"/>
          <w:divBdr>
            <w:top w:val="none" w:sz="0" w:space="0" w:color="auto"/>
            <w:left w:val="none" w:sz="0" w:space="0" w:color="auto"/>
            <w:bottom w:val="none" w:sz="0" w:space="0" w:color="auto"/>
            <w:right w:val="none" w:sz="0" w:space="0" w:color="auto"/>
          </w:divBdr>
          <w:divsChild>
            <w:div w:id="83648798">
              <w:marLeft w:val="0"/>
              <w:marRight w:val="0"/>
              <w:marTop w:val="0"/>
              <w:marBottom w:val="0"/>
              <w:divBdr>
                <w:top w:val="none" w:sz="0" w:space="0" w:color="auto"/>
                <w:left w:val="none" w:sz="0" w:space="0" w:color="auto"/>
                <w:bottom w:val="none" w:sz="0" w:space="0" w:color="auto"/>
                <w:right w:val="none" w:sz="0" w:space="0" w:color="auto"/>
              </w:divBdr>
              <w:divsChild>
                <w:div w:id="94210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710356">
      <w:bodyDiv w:val="1"/>
      <w:marLeft w:val="0"/>
      <w:marRight w:val="0"/>
      <w:marTop w:val="0"/>
      <w:marBottom w:val="0"/>
      <w:divBdr>
        <w:top w:val="none" w:sz="0" w:space="0" w:color="auto"/>
        <w:left w:val="none" w:sz="0" w:space="0" w:color="auto"/>
        <w:bottom w:val="none" w:sz="0" w:space="0" w:color="auto"/>
        <w:right w:val="none" w:sz="0" w:space="0" w:color="auto"/>
      </w:divBdr>
      <w:divsChild>
        <w:div w:id="260526400">
          <w:marLeft w:val="0"/>
          <w:marRight w:val="0"/>
          <w:marTop w:val="0"/>
          <w:marBottom w:val="0"/>
          <w:divBdr>
            <w:top w:val="none" w:sz="0" w:space="0" w:color="auto"/>
            <w:left w:val="none" w:sz="0" w:space="0" w:color="auto"/>
            <w:bottom w:val="none" w:sz="0" w:space="0" w:color="auto"/>
            <w:right w:val="none" w:sz="0" w:space="0" w:color="auto"/>
          </w:divBdr>
          <w:divsChild>
            <w:div w:id="1467161335">
              <w:marLeft w:val="0"/>
              <w:marRight w:val="0"/>
              <w:marTop w:val="0"/>
              <w:marBottom w:val="0"/>
              <w:divBdr>
                <w:top w:val="none" w:sz="0" w:space="0" w:color="auto"/>
                <w:left w:val="none" w:sz="0" w:space="0" w:color="auto"/>
                <w:bottom w:val="none" w:sz="0" w:space="0" w:color="auto"/>
                <w:right w:val="none" w:sz="0" w:space="0" w:color="auto"/>
              </w:divBdr>
              <w:divsChild>
                <w:div w:id="147417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862560">
      <w:bodyDiv w:val="1"/>
      <w:marLeft w:val="0"/>
      <w:marRight w:val="0"/>
      <w:marTop w:val="0"/>
      <w:marBottom w:val="0"/>
      <w:divBdr>
        <w:top w:val="none" w:sz="0" w:space="0" w:color="auto"/>
        <w:left w:val="none" w:sz="0" w:space="0" w:color="auto"/>
        <w:bottom w:val="none" w:sz="0" w:space="0" w:color="auto"/>
        <w:right w:val="none" w:sz="0" w:space="0" w:color="auto"/>
      </w:divBdr>
      <w:divsChild>
        <w:div w:id="738289078">
          <w:marLeft w:val="0"/>
          <w:marRight w:val="0"/>
          <w:marTop w:val="0"/>
          <w:marBottom w:val="0"/>
          <w:divBdr>
            <w:top w:val="none" w:sz="0" w:space="0" w:color="auto"/>
            <w:left w:val="none" w:sz="0" w:space="0" w:color="auto"/>
            <w:bottom w:val="none" w:sz="0" w:space="0" w:color="auto"/>
            <w:right w:val="none" w:sz="0" w:space="0" w:color="auto"/>
          </w:divBdr>
          <w:divsChild>
            <w:div w:id="188183898">
              <w:marLeft w:val="0"/>
              <w:marRight w:val="0"/>
              <w:marTop w:val="0"/>
              <w:marBottom w:val="0"/>
              <w:divBdr>
                <w:top w:val="none" w:sz="0" w:space="0" w:color="auto"/>
                <w:left w:val="none" w:sz="0" w:space="0" w:color="auto"/>
                <w:bottom w:val="none" w:sz="0" w:space="0" w:color="auto"/>
                <w:right w:val="none" w:sz="0" w:space="0" w:color="auto"/>
              </w:divBdr>
              <w:divsChild>
                <w:div w:id="139639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496087">
      <w:bodyDiv w:val="1"/>
      <w:marLeft w:val="0"/>
      <w:marRight w:val="0"/>
      <w:marTop w:val="0"/>
      <w:marBottom w:val="0"/>
      <w:divBdr>
        <w:top w:val="none" w:sz="0" w:space="0" w:color="auto"/>
        <w:left w:val="none" w:sz="0" w:space="0" w:color="auto"/>
        <w:bottom w:val="none" w:sz="0" w:space="0" w:color="auto"/>
        <w:right w:val="none" w:sz="0" w:space="0" w:color="auto"/>
      </w:divBdr>
      <w:divsChild>
        <w:div w:id="1933663570">
          <w:marLeft w:val="0"/>
          <w:marRight w:val="0"/>
          <w:marTop w:val="0"/>
          <w:marBottom w:val="0"/>
          <w:divBdr>
            <w:top w:val="none" w:sz="0" w:space="0" w:color="auto"/>
            <w:left w:val="none" w:sz="0" w:space="0" w:color="auto"/>
            <w:bottom w:val="none" w:sz="0" w:space="0" w:color="auto"/>
            <w:right w:val="none" w:sz="0" w:space="0" w:color="auto"/>
          </w:divBdr>
          <w:divsChild>
            <w:div w:id="1488744562">
              <w:marLeft w:val="0"/>
              <w:marRight w:val="0"/>
              <w:marTop w:val="0"/>
              <w:marBottom w:val="0"/>
              <w:divBdr>
                <w:top w:val="none" w:sz="0" w:space="0" w:color="auto"/>
                <w:left w:val="none" w:sz="0" w:space="0" w:color="auto"/>
                <w:bottom w:val="none" w:sz="0" w:space="0" w:color="auto"/>
                <w:right w:val="none" w:sz="0" w:space="0" w:color="auto"/>
              </w:divBdr>
              <w:divsChild>
                <w:div w:id="111590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911756">
      <w:bodyDiv w:val="1"/>
      <w:marLeft w:val="0"/>
      <w:marRight w:val="0"/>
      <w:marTop w:val="0"/>
      <w:marBottom w:val="0"/>
      <w:divBdr>
        <w:top w:val="none" w:sz="0" w:space="0" w:color="auto"/>
        <w:left w:val="none" w:sz="0" w:space="0" w:color="auto"/>
        <w:bottom w:val="none" w:sz="0" w:space="0" w:color="auto"/>
        <w:right w:val="none" w:sz="0" w:space="0" w:color="auto"/>
      </w:divBdr>
      <w:divsChild>
        <w:div w:id="11492880">
          <w:marLeft w:val="0"/>
          <w:marRight w:val="0"/>
          <w:marTop w:val="0"/>
          <w:marBottom w:val="0"/>
          <w:divBdr>
            <w:top w:val="none" w:sz="0" w:space="0" w:color="auto"/>
            <w:left w:val="none" w:sz="0" w:space="0" w:color="auto"/>
            <w:bottom w:val="none" w:sz="0" w:space="0" w:color="auto"/>
            <w:right w:val="none" w:sz="0" w:space="0" w:color="auto"/>
          </w:divBdr>
          <w:divsChild>
            <w:div w:id="1860700761">
              <w:marLeft w:val="0"/>
              <w:marRight w:val="0"/>
              <w:marTop w:val="0"/>
              <w:marBottom w:val="0"/>
              <w:divBdr>
                <w:top w:val="none" w:sz="0" w:space="0" w:color="auto"/>
                <w:left w:val="none" w:sz="0" w:space="0" w:color="auto"/>
                <w:bottom w:val="none" w:sz="0" w:space="0" w:color="auto"/>
                <w:right w:val="none" w:sz="0" w:space="0" w:color="auto"/>
              </w:divBdr>
              <w:divsChild>
                <w:div w:id="151980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3626597">
      <w:bodyDiv w:val="1"/>
      <w:marLeft w:val="0"/>
      <w:marRight w:val="0"/>
      <w:marTop w:val="0"/>
      <w:marBottom w:val="0"/>
      <w:divBdr>
        <w:top w:val="none" w:sz="0" w:space="0" w:color="auto"/>
        <w:left w:val="none" w:sz="0" w:space="0" w:color="auto"/>
        <w:bottom w:val="none" w:sz="0" w:space="0" w:color="auto"/>
        <w:right w:val="none" w:sz="0" w:space="0" w:color="auto"/>
      </w:divBdr>
      <w:divsChild>
        <w:div w:id="849371604">
          <w:marLeft w:val="0"/>
          <w:marRight w:val="0"/>
          <w:marTop w:val="0"/>
          <w:marBottom w:val="0"/>
          <w:divBdr>
            <w:top w:val="none" w:sz="0" w:space="0" w:color="auto"/>
            <w:left w:val="none" w:sz="0" w:space="0" w:color="auto"/>
            <w:bottom w:val="none" w:sz="0" w:space="0" w:color="auto"/>
            <w:right w:val="none" w:sz="0" w:space="0" w:color="auto"/>
          </w:divBdr>
          <w:divsChild>
            <w:div w:id="668942599">
              <w:marLeft w:val="0"/>
              <w:marRight w:val="0"/>
              <w:marTop w:val="0"/>
              <w:marBottom w:val="0"/>
              <w:divBdr>
                <w:top w:val="none" w:sz="0" w:space="0" w:color="auto"/>
                <w:left w:val="none" w:sz="0" w:space="0" w:color="auto"/>
                <w:bottom w:val="none" w:sz="0" w:space="0" w:color="auto"/>
                <w:right w:val="none" w:sz="0" w:space="0" w:color="auto"/>
              </w:divBdr>
              <w:divsChild>
                <w:div w:id="207920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780183">
      <w:bodyDiv w:val="1"/>
      <w:marLeft w:val="0"/>
      <w:marRight w:val="0"/>
      <w:marTop w:val="0"/>
      <w:marBottom w:val="0"/>
      <w:divBdr>
        <w:top w:val="none" w:sz="0" w:space="0" w:color="auto"/>
        <w:left w:val="none" w:sz="0" w:space="0" w:color="auto"/>
        <w:bottom w:val="none" w:sz="0" w:space="0" w:color="auto"/>
        <w:right w:val="none" w:sz="0" w:space="0" w:color="auto"/>
      </w:divBdr>
      <w:divsChild>
        <w:div w:id="297760344">
          <w:marLeft w:val="0"/>
          <w:marRight w:val="0"/>
          <w:marTop w:val="0"/>
          <w:marBottom w:val="0"/>
          <w:divBdr>
            <w:top w:val="none" w:sz="0" w:space="0" w:color="auto"/>
            <w:left w:val="none" w:sz="0" w:space="0" w:color="auto"/>
            <w:bottom w:val="none" w:sz="0" w:space="0" w:color="auto"/>
            <w:right w:val="none" w:sz="0" w:space="0" w:color="auto"/>
          </w:divBdr>
          <w:divsChild>
            <w:div w:id="762846517">
              <w:marLeft w:val="0"/>
              <w:marRight w:val="0"/>
              <w:marTop w:val="0"/>
              <w:marBottom w:val="0"/>
              <w:divBdr>
                <w:top w:val="none" w:sz="0" w:space="0" w:color="auto"/>
                <w:left w:val="none" w:sz="0" w:space="0" w:color="auto"/>
                <w:bottom w:val="none" w:sz="0" w:space="0" w:color="auto"/>
                <w:right w:val="none" w:sz="0" w:space="0" w:color="auto"/>
              </w:divBdr>
              <w:divsChild>
                <w:div w:id="146966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601811">
      <w:bodyDiv w:val="1"/>
      <w:marLeft w:val="0"/>
      <w:marRight w:val="0"/>
      <w:marTop w:val="0"/>
      <w:marBottom w:val="0"/>
      <w:divBdr>
        <w:top w:val="none" w:sz="0" w:space="0" w:color="auto"/>
        <w:left w:val="none" w:sz="0" w:space="0" w:color="auto"/>
        <w:bottom w:val="none" w:sz="0" w:space="0" w:color="auto"/>
        <w:right w:val="none" w:sz="0" w:space="0" w:color="auto"/>
      </w:divBdr>
      <w:divsChild>
        <w:div w:id="306403145">
          <w:marLeft w:val="0"/>
          <w:marRight w:val="0"/>
          <w:marTop w:val="0"/>
          <w:marBottom w:val="0"/>
          <w:divBdr>
            <w:top w:val="none" w:sz="0" w:space="0" w:color="auto"/>
            <w:left w:val="none" w:sz="0" w:space="0" w:color="auto"/>
            <w:bottom w:val="none" w:sz="0" w:space="0" w:color="auto"/>
            <w:right w:val="none" w:sz="0" w:space="0" w:color="auto"/>
          </w:divBdr>
          <w:divsChild>
            <w:div w:id="61636547">
              <w:marLeft w:val="0"/>
              <w:marRight w:val="0"/>
              <w:marTop w:val="0"/>
              <w:marBottom w:val="0"/>
              <w:divBdr>
                <w:top w:val="none" w:sz="0" w:space="0" w:color="auto"/>
                <w:left w:val="none" w:sz="0" w:space="0" w:color="auto"/>
                <w:bottom w:val="none" w:sz="0" w:space="0" w:color="auto"/>
                <w:right w:val="none" w:sz="0" w:space="0" w:color="auto"/>
              </w:divBdr>
              <w:divsChild>
                <w:div w:id="9151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839379">
      <w:bodyDiv w:val="1"/>
      <w:marLeft w:val="0"/>
      <w:marRight w:val="0"/>
      <w:marTop w:val="0"/>
      <w:marBottom w:val="0"/>
      <w:divBdr>
        <w:top w:val="none" w:sz="0" w:space="0" w:color="auto"/>
        <w:left w:val="none" w:sz="0" w:space="0" w:color="auto"/>
        <w:bottom w:val="none" w:sz="0" w:space="0" w:color="auto"/>
        <w:right w:val="none" w:sz="0" w:space="0" w:color="auto"/>
      </w:divBdr>
      <w:divsChild>
        <w:div w:id="1286232285">
          <w:marLeft w:val="0"/>
          <w:marRight w:val="0"/>
          <w:marTop w:val="0"/>
          <w:marBottom w:val="0"/>
          <w:divBdr>
            <w:top w:val="none" w:sz="0" w:space="0" w:color="auto"/>
            <w:left w:val="none" w:sz="0" w:space="0" w:color="auto"/>
            <w:bottom w:val="none" w:sz="0" w:space="0" w:color="auto"/>
            <w:right w:val="none" w:sz="0" w:space="0" w:color="auto"/>
          </w:divBdr>
          <w:divsChild>
            <w:div w:id="566917327">
              <w:marLeft w:val="0"/>
              <w:marRight w:val="0"/>
              <w:marTop w:val="0"/>
              <w:marBottom w:val="0"/>
              <w:divBdr>
                <w:top w:val="none" w:sz="0" w:space="0" w:color="auto"/>
                <w:left w:val="none" w:sz="0" w:space="0" w:color="auto"/>
                <w:bottom w:val="none" w:sz="0" w:space="0" w:color="auto"/>
                <w:right w:val="none" w:sz="0" w:space="0" w:color="auto"/>
              </w:divBdr>
              <w:divsChild>
                <w:div w:id="753281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001529">
      <w:bodyDiv w:val="1"/>
      <w:marLeft w:val="0"/>
      <w:marRight w:val="0"/>
      <w:marTop w:val="0"/>
      <w:marBottom w:val="0"/>
      <w:divBdr>
        <w:top w:val="none" w:sz="0" w:space="0" w:color="auto"/>
        <w:left w:val="none" w:sz="0" w:space="0" w:color="auto"/>
        <w:bottom w:val="none" w:sz="0" w:space="0" w:color="auto"/>
        <w:right w:val="none" w:sz="0" w:space="0" w:color="auto"/>
      </w:divBdr>
      <w:divsChild>
        <w:div w:id="144467970">
          <w:marLeft w:val="0"/>
          <w:marRight w:val="0"/>
          <w:marTop w:val="0"/>
          <w:marBottom w:val="0"/>
          <w:divBdr>
            <w:top w:val="none" w:sz="0" w:space="0" w:color="auto"/>
            <w:left w:val="none" w:sz="0" w:space="0" w:color="auto"/>
            <w:bottom w:val="none" w:sz="0" w:space="0" w:color="auto"/>
            <w:right w:val="none" w:sz="0" w:space="0" w:color="auto"/>
          </w:divBdr>
          <w:divsChild>
            <w:div w:id="361442060">
              <w:marLeft w:val="0"/>
              <w:marRight w:val="0"/>
              <w:marTop w:val="0"/>
              <w:marBottom w:val="0"/>
              <w:divBdr>
                <w:top w:val="none" w:sz="0" w:space="0" w:color="auto"/>
                <w:left w:val="none" w:sz="0" w:space="0" w:color="auto"/>
                <w:bottom w:val="none" w:sz="0" w:space="0" w:color="auto"/>
                <w:right w:val="none" w:sz="0" w:space="0" w:color="auto"/>
              </w:divBdr>
              <w:divsChild>
                <w:div w:id="28835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943843">
      <w:bodyDiv w:val="1"/>
      <w:marLeft w:val="0"/>
      <w:marRight w:val="0"/>
      <w:marTop w:val="0"/>
      <w:marBottom w:val="0"/>
      <w:divBdr>
        <w:top w:val="none" w:sz="0" w:space="0" w:color="auto"/>
        <w:left w:val="none" w:sz="0" w:space="0" w:color="auto"/>
        <w:bottom w:val="none" w:sz="0" w:space="0" w:color="auto"/>
        <w:right w:val="none" w:sz="0" w:space="0" w:color="auto"/>
      </w:divBdr>
      <w:divsChild>
        <w:div w:id="1001084548">
          <w:marLeft w:val="0"/>
          <w:marRight w:val="0"/>
          <w:marTop w:val="0"/>
          <w:marBottom w:val="0"/>
          <w:divBdr>
            <w:top w:val="none" w:sz="0" w:space="0" w:color="auto"/>
            <w:left w:val="none" w:sz="0" w:space="0" w:color="auto"/>
            <w:bottom w:val="none" w:sz="0" w:space="0" w:color="auto"/>
            <w:right w:val="none" w:sz="0" w:space="0" w:color="auto"/>
          </w:divBdr>
          <w:divsChild>
            <w:div w:id="2106420910">
              <w:marLeft w:val="0"/>
              <w:marRight w:val="0"/>
              <w:marTop w:val="0"/>
              <w:marBottom w:val="0"/>
              <w:divBdr>
                <w:top w:val="none" w:sz="0" w:space="0" w:color="auto"/>
                <w:left w:val="none" w:sz="0" w:space="0" w:color="auto"/>
                <w:bottom w:val="none" w:sz="0" w:space="0" w:color="auto"/>
                <w:right w:val="none" w:sz="0" w:space="0" w:color="auto"/>
              </w:divBdr>
              <w:divsChild>
                <w:div w:id="136081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618373">
      <w:bodyDiv w:val="1"/>
      <w:marLeft w:val="0"/>
      <w:marRight w:val="0"/>
      <w:marTop w:val="0"/>
      <w:marBottom w:val="0"/>
      <w:divBdr>
        <w:top w:val="none" w:sz="0" w:space="0" w:color="auto"/>
        <w:left w:val="none" w:sz="0" w:space="0" w:color="auto"/>
        <w:bottom w:val="none" w:sz="0" w:space="0" w:color="auto"/>
        <w:right w:val="none" w:sz="0" w:space="0" w:color="auto"/>
      </w:divBdr>
      <w:divsChild>
        <w:div w:id="705568932">
          <w:marLeft w:val="0"/>
          <w:marRight w:val="0"/>
          <w:marTop w:val="0"/>
          <w:marBottom w:val="0"/>
          <w:divBdr>
            <w:top w:val="none" w:sz="0" w:space="0" w:color="auto"/>
            <w:left w:val="none" w:sz="0" w:space="0" w:color="auto"/>
            <w:bottom w:val="none" w:sz="0" w:space="0" w:color="auto"/>
            <w:right w:val="none" w:sz="0" w:space="0" w:color="auto"/>
          </w:divBdr>
          <w:divsChild>
            <w:div w:id="859440993">
              <w:marLeft w:val="0"/>
              <w:marRight w:val="0"/>
              <w:marTop w:val="0"/>
              <w:marBottom w:val="0"/>
              <w:divBdr>
                <w:top w:val="none" w:sz="0" w:space="0" w:color="auto"/>
                <w:left w:val="none" w:sz="0" w:space="0" w:color="auto"/>
                <w:bottom w:val="none" w:sz="0" w:space="0" w:color="auto"/>
                <w:right w:val="none" w:sz="0" w:space="0" w:color="auto"/>
              </w:divBdr>
              <w:divsChild>
                <w:div w:id="141520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5871981">
      <w:bodyDiv w:val="1"/>
      <w:marLeft w:val="0"/>
      <w:marRight w:val="0"/>
      <w:marTop w:val="0"/>
      <w:marBottom w:val="0"/>
      <w:divBdr>
        <w:top w:val="none" w:sz="0" w:space="0" w:color="auto"/>
        <w:left w:val="none" w:sz="0" w:space="0" w:color="auto"/>
        <w:bottom w:val="none" w:sz="0" w:space="0" w:color="auto"/>
        <w:right w:val="none" w:sz="0" w:space="0" w:color="auto"/>
      </w:divBdr>
      <w:divsChild>
        <w:div w:id="874122399">
          <w:marLeft w:val="0"/>
          <w:marRight w:val="0"/>
          <w:marTop w:val="0"/>
          <w:marBottom w:val="0"/>
          <w:divBdr>
            <w:top w:val="none" w:sz="0" w:space="0" w:color="auto"/>
            <w:left w:val="none" w:sz="0" w:space="0" w:color="auto"/>
            <w:bottom w:val="none" w:sz="0" w:space="0" w:color="auto"/>
            <w:right w:val="none" w:sz="0" w:space="0" w:color="auto"/>
          </w:divBdr>
          <w:divsChild>
            <w:div w:id="1500341713">
              <w:marLeft w:val="0"/>
              <w:marRight w:val="0"/>
              <w:marTop w:val="0"/>
              <w:marBottom w:val="0"/>
              <w:divBdr>
                <w:top w:val="none" w:sz="0" w:space="0" w:color="auto"/>
                <w:left w:val="none" w:sz="0" w:space="0" w:color="auto"/>
                <w:bottom w:val="none" w:sz="0" w:space="0" w:color="auto"/>
                <w:right w:val="none" w:sz="0" w:space="0" w:color="auto"/>
              </w:divBdr>
              <w:divsChild>
                <w:div w:id="79452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821676">
      <w:bodyDiv w:val="1"/>
      <w:marLeft w:val="0"/>
      <w:marRight w:val="0"/>
      <w:marTop w:val="0"/>
      <w:marBottom w:val="0"/>
      <w:divBdr>
        <w:top w:val="none" w:sz="0" w:space="0" w:color="auto"/>
        <w:left w:val="none" w:sz="0" w:space="0" w:color="auto"/>
        <w:bottom w:val="none" w:sz="0" w:space="0" w:color="auto"/>
        <w:right w:val="none" w:sz="0" w:space="0" w:color="auto"/>
      </w:divBdr>
      <w:divsChild>
        <w:div w:id="436559423">
          <w:marLeft w:val="0"/>
          <w:marRight w:val="0"/>
          <w:marTop w:val="0"/>
          <w:marBottom w:val="0"/>
          <w:divBdr>
            <w:top w:val="none" w:sz="0" w:space="0" w:color="auto"/>
            <w:left w:val="none" w:sz="0" w:space="0" w:color="auto"/>
            <w:bottom w:val="none" w:sz="0" w:space="0" w:color="auto"/>
            <w:right w:val="none" w:sz="0" w:space="0" w:color="auto"/>
          </w:divBdr>
          <w:divsChild>
            <w:div w:id="1991129963">
              <w:marLeft w:val="0"/>
              <w:marRight w:val="0"/>
              <w:marTop w:val="0"/>
              <w:marBottom w:val="0"/>
              <w:divBdr>
                <w:top w:val="none" w:sz="0" w:space="0" w:color="auto"/>
                <w:left w:val="none" w:sz="0" w:space="0" w:color="auto"/>
                <w:bottom w:val="none" w:sz="0" w:space="0" w:color="auto"/>
                <w:right w:val="none" w:sz="0" w:space="0" w:color="auto"/>
              </w:divBdr>
              <w:divsChild>
                <w:div w:id="208779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939396">
      <w:bodyDiv w:val="1"/>
      <w:marLeft w:val="0"/>
      <w:marRight w:val="0"/>
      <w:marTop w:val="0"/>
      <w:marBottom w:val="0"/>
      <w:divBdr>
        <w:top w:val="none" w:sz="0" w:space="0" w:color="auto"/>
        <w:left w:val="none" w:sz="0" w:space="0" w:color="auto"/>
        <w:bottom w:val="none" w:sz="0" w:space="0" w:color="auto"/>
        <w:right w:val="none" w:sz="0" w:space="0" w:color="auto"/>
      </w:divBdr>
      <w:divsChild>
        <w:div w:id="120618115">
          <w:marLeft w:val="0"/>
          <w:marRight w:val="0"/>
          <w:marTop w:val="0"/>
          <w:marBottom w:val="0"/>
          <w:divBdr>
            <w:top w:val="none" w:sz="0" w:space="0" w:color="auto"/>
            <w:left w:val="none" w:sz="0" w:space="0" w:color="auto"/>
            <w:bottom w:val="none" w:sz="0" w:space="0" w:color="auto"/>
            <w:right w:val="none" w:sz="0" w:space="0" w:color="auto"/>
          </w:divBdr>
          <w:divsChild>
            <w:div w:id="1057827016">
              <w:marLeft w:val="0"/>
              <w:marRight w:val="0"/>
              <w:marTop w:val="0"/>
              <w:marBottom w:val="0"/>
              <w:divBdr>
                <w:top w:val="none" w:sz="0" w:space="0" w:color="auto"/>
                <w:left w:val="none" w:sz="0" w:space="0" w:color="auto"/>
                <w:bottom w:val="none" w:sz="0" w:space="0" w:color="auto"/>
                <w:right w:val="none" w:sz="0" w:space="0" w:color="auto"/>
              </w:divBdr>
              <w:divsChild>
                <w:div w:id="71192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433149">
      <w:bodyDiv w:val="1"/>
      <w:marLeft w:val="0"/>
      <w:marRight w:val="0"/>
      <w:marTop w:val="0"/>
      <w:marBottom w:val="0"/>
      <w:divBdr>
        <w:top w:val="none" w:sz="0" w:space="0" w:color="auto"/>
        <w:left w:val="none" w:sz="0" w:space="0" w:color="auto"/>
        <w:bottom w:val="none" w:sz="0" w:space="0" w:color="auto"/>
        <w:right w:val="none" w:sz="0" w:space="0" w:color="auto"/>
      </w:divBdr>
      <w:divsChild>
        <w:div w:id="2047876060">
          <w:marLeft w:val="0"/>
          <w:marRight w:val="0"/>
          <w:marTop w:val="0"/>
          <w:marBottom w:val="0"/>
          <w:divBdr>
            <w:top w:val="none" w:sz="0" w:space="0" w:color="auto"/>
            <w:left w:val="none" w:sz="0" w:space="0" w:color="auto"/>
            <w:bottom w:val="none" w:sz="0" w:space="0" w:color="auto"/>
            <w:right w:val="none" w:sz="0" w:space="0" w:color="auto"/>
          </w:divBdr>
          <w:divsChild>
            <w:div w:id="923563136">
              <w:marLeft w:val="0"/>
              <w:marRight w:val="0"/>
              <w:marTop w:val="0"/>
              <w:marBottom w:val="0"/>
              <w:divBdr>
                <w:top w:val="none" w:sz="0" w:space="0" w:color="auto"/>
                <w:left w:val="none" w:sz="0" w:space="0" w:color="auto"/>
                <w:bottom w:val="none" w:sz="0" w:space="0" w:color="auto"/>
                <w:right w:val="none" w:sz="0" w:space="0" w:color="auto"/>
              </w:divBdr>
              <w:divsChild>
                <w:div w:id="64350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801199">
      <w:bodyDiv w:val="1"/>
      <w:marLeft w:val="0"/>
      <w:marRight w:val="0"/>
      <w:marTop w:val="0"/>
      <w:marBottom w:val="0"/>
      <w:divBdr>
        <w:top w:val="none" w:sz="0" w:space="0" w:color="auto"/>
        <w:left w:val="none" w:sz="0" w:space="0" w:color="auto"/>
        <w:bottom w:val="none" w:sz="0" w:space="0" w:color="auto"/>
        <w:right w:val="none" w:sz="0" w:space="0" w:color="auto"/>
      </w:divBdr>
      <w:divsChild>
        <w:div w:id="323975065">
          <w:marLeft w:val="0"/>
          <w:marRight w:val="0"/>
          <w:marTop w:val="0"/>
          <w:marBottom w:val="0"/>
          <w:divBdr>
            <w:top w:val="none" w:sz="0" w:space="0" w:color="auto"/>
            <w:left w:val="none" w:sz="0" w:space="0" w:color="auto"/>
            <w:bottom w:val="none" w:sz="0" w:space="0" w:color="auto"/>
            <w:right w:val="none" w:sz="0" w:space="0" w:color="auto"/>
          </w:divBdr>
          <w:divsChild>
            <w:div w:id="1354843852">
              <w:marLeft w:val="0"/>
              <w:marRight w:val="0"/>
              <w:marTop w:val="0"/>
              <w:marBottom w:val="0"/>
              <w:divBdr>
                <w:top w:val="none" w:sz="0" w:space="0" w:color="auto"/>
                <w:left w:val="none" w:sz="0" w:space="0" w:color="auto"/>
                <w:bottom w:val="none" w:sz="0" w:space="0" w:color="auto"/>
                <w:right w:val="none" w:sz="0" w:space="0" w:color="auto"/>
              </w:divBdr>
              <w:divsChild>
                <w:div w:id="1858344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833334">
      <w:bodyDiv w:val="1"/>
      <w:marLeft w:val="0"/>
      <w:marRight w:val="0"/>
      <w:marTop w:val="0"/>
      <w:marBottom w:val="0"/>
      <w:divBdr>
        <w:top w:val="none" w:sz="0" w:space="0" w:color="auto"/>
        <w:left w:val="none" w:sz="0" w:space="0" w:color="auto"/>
        <w:bottom w:val="none" w:sz="0" w:space="0" w:color="auto"/>
        <w:right w:val="none" w:sz="0" w:space="0" w:color="auto"/>
      </w:divBdr>
      <w:divsChild>
        <w:div w:id="984503534">
          <w:marLeft w:val="0"/>
          <w:marRight w:val="0"/>
          <w:marTop w:val="0"/>
          <w:marBottom w:val="0"/>
          <w:divBdr>
            <w:top w:val="none" w:sz="0" w:space="0" w:color="auto"/>
            <w:left w:val="none" w:sz="0" w:space="0" w:color="auto"/>
            <w:bottom w:val="none" w:sz="0" w:space="0" w:color="auto"/>
            <w:right w:val="none" w:sz="0" w:space="0" w:color="auto"/>
          </w:divBdr>
          <w:divsChild>
            <w:div w:id="134570075">
              <w:marLeft w:val="0"/>
              <w:marRight w:val="0"/>
              <w:marTop w:val="0"/>
              <w:marBottom w:val="0"/>
              <w:divBdr>
                <w:top w:val="none" w:sz="0" w:space="0" w:color="auto"/>
                <w:left w:val="none" w:sz="0" w:space="0" w:color="auto"/>
                <w:bottom w:val="none" w:sz="0" w:space="0" w:color="auto"/>
                <w:right w:val="none" w:sz="0" w:space="0" w:color="auto"/>
              </w:divBdr>
              <w:divsChild>
                <w:div w:id="24329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540842">
      <w:bodyDiv w:val="1"/>
      <w:marLeft w:val="0"/>
      <w:marRight w:val="0"/>
      <w:marTop w:val="0"/>
      <w:marBottom w:val="0"/>
      <w:divBdr>
        <w:top w:val="none" w:sz="0" w:space="0" w:color="auto"/>
        <w:left w:val="none" w:sz="0" w:space="0" w:color="auto"/>
        <w:bottom w:val="none" w:sz="0" w:space="0" w:color="auto"/>
        <w:right w:val="none" w:sz="0" w:space="0" w:color="auto"/>
      </w:divBdr>
      <w:divsChild>
        <w:div w:id="1801727065">
          <w:marLeft w:val="0"/>
          <w:marRight w:val="0"/>
          <w:marTop w:val="0"/>
          <w:marBottom w:val="0"/>
          <w:divBdr>
            <w:top w:val="none" w:sz="0" w:space="0" w:color="auto"/>
            <w:left w:val="none" w:sz="0" w:space="0" w:color="auto"/>
            <w:bottom w:val="none" w:sz="0" w:space="0" w:color="auto"/>
            <w:right w:val="none" w:sz="0" w:space="0" w:color="auto"/>
          </w:divBdr>
          <w:divsChild>
            <w:div w:id="1066801123">
              <w:marLeft w:val="0"/>
              <w:marRight w:val="0"/>
              <w:marTop w:val="0"/>
              <w:marBottom w:val="0"/>
              <w:divBdr>
                <w:top w:val="none" w:sz="0" w:space="0" w:color="auto"/>
                <w:left w:val="none" w:sz="0" w:space="0" w:color="auto"/>
                <w:bottom w:val="none" w:sz="0" w:space="0" w:color="auto"/>
                <w:right w:val="none" w:sz="0" w:space="0" w:color="auto"/>
              </w:divBdr>
              <w:divsChild>
                <w:div w:id="6758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139617">
      <w:bodyDiv w:val="1"/>
      <w:marLeft w:val="0"/>
      <w:marRight w:val="0"/>
      <w:marTop w:val="0"/>
      <w:marBottom w:val="0"/>
      <w:divBdr>
        <w:top w:val="none" w:sz="0" w:space="0" w:color="auto"/>
        <w:left w:val="none" w:sz="0" w:space="0" w:color="auto"/>
        <w:bottom w:val="none" w:sz="0" w:space="0" w:color="auto"/>
        <w:right w:val="none" w:sz="0" w:space="0" w:color="auto"/>
      </w:divBdr>
      <w:divsChild>
        <w:div w:id="1699232788">
          <w:marLeft w:val="0"/>
          <w:marRight w:val="0"/>
          <w:marTop w:val="0"/>
          <w:marBottom w:val="0"/>
          <w:divBdr>
            <w:top w:val="none" w:sz="0" w:space="0" w:color="auto"/>
            <w:left w:val="none" w:sz="0" w:space="0" w:color="auto"/>
            <w:bottom w:val="none" w:sz="0" w:space="0" w:color="auto"/>
            <w:right w:val="none" w:sz="0" w:space="0" w:color="auto"/>
          </w:divBdr>
          <w:divsChild>
            <w:div w:id="886988192">
              <w:marLeft w:val="0"/>
              <w:marRight w:val="0"/>
              <w:marTop w:val="0"/>
              <w:marBottom w:val="0"/>
              <w:divBdr>
                <w:top w:val="none" w:sz="0" w:space="0" w:color="auto"/>
                <w:left w:val="none" w:sz="0" w:space="0" w:color="auto"/>
                <w:bottom w:val="none" w:sz="0" w:space="0" w:color="auto"/>
                <w:right w:val="none" w:sz="0" w:space="0" w:color="auto"/>
              </w:divBdr>
              <w:divsChild>
                <w:div w:id="39643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986497">
      <w:bodyDiv w:val="1"/>
      <w:marLeft w:val="0"/>
      <w:marRight w:val="0"/>
      <w:marTop w:val="0"/>
      <w:marBottom w:val="0"/>
      <w:divBdr>
        <w:top w:val="none" w:sz="0" w:space="0" w:color="auto"/>
        <w:left w:val="none" w:sz="0" w:space="0" w:color="auto"/>
        <w:bottom w:val="none" w:sz="0" w:space="0" w:color="auto"/>
        <w:right w:val="none" w:sz="0" w:space="0" w:color="auto"/>
      </w:divBdr>
      <w:divsChild>
        <w:div w:id="1755398655">
          <w:marLeft w:val="0"/>
          <w:marRight w:val="0"/>
          <w:marTop w:val="0"/>
          <w:marBottom w:val="0"/>
          <w:divBdr>
            <w:top w:val="none" w:sz="0" w:space="0" w:color="auto"/>
            <w:left w:val="none" w:sz="0" w:space="0" w:color="auto"/>
            <w:bottom w:val="none" w:sz="0" w:space="0" w:color="auto"/>
            <w:right w:val="none" w:sz="0" w:space="0" w:color="auto"/>
          </w:divBdr>
          <w:divsChild>
            <w:div w:id="2005693771">
              <w:marLeft w:val="0"/>
              <w:marRight w:val="0"/>
              <w:marTop w:val="0"/>
              <w:marBottom w:val="0"/>
              <w:divBdr>
                <w:top w:val="none" w:sz="0" w:space="0" w:color="auto"/>
                <w:left w:val="none" w:sz="0" w:space="0" w:color="auto"/>
                <w:bottom w:val="none" w:sz="0" w:space="0" w:color="auto"/>
                <w:right w:val="none" w:sz="0" w:space="0" w:color="auto"/>
              </w:divBdr>
              <w:divsChild>
                <w:div w:id="1568999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907797">
      <w:bodyDiv w:val="1"/>
      <w:marLeft w:val="0"/>
      <w:marRight w:val="0"/>
      <w:marTop w:val="0"/>
      <w:marBottom w:val="0"/>
      <w:divBdr>
        <w:top w:val="none" w:sz="0" w:space="0" w:color="auto"/>
        <w:left w:val="none" w:sz="0" w:space="0" w:color="auto"/>
        <w:bottom w:val="none" w:sz="0" w:space="0" w:color="auto"/>
        <w:right w:val="none" w:sz="0" w:space="0" w:color="auto"/>
      </w:divBdr>
      <w:divsChild>
        <w:div w:id="1132749927">
          <w:marLeft w:val="0"/>
          <w:marRight w:val="0"/>
          <w:marTop w:val="0"/>
          <w:marBottom w:val="0"/>
          <w:divBdr>
            <w:top w:val="none" w:sz="0" w:space="0" w:color="auto"/>
            <w:left w:val="none" w:sz="0" w:space="0" w:color="auto"/>
            <w:bottom w:val="none" w:sz="0" w:space="0" w:color="auto"/>
            <w:right w:val="none" w:sz="0" w:space="0" w:color="auto"/>
          </w:divBdr>
          <w:divsChild>
            <w:div w:id="1519851617">
              <w:marLeft w:val="0"/>
              <w:marRight w:val="0"/>
              <w:marTop w:val="0"/>
              <w:marBottom w:val="0"/>
              <w:divBdr>
                <w:top w:val="none" w:sz="0" w:space="0" w:color="auto"/>
                <w:left w:val="none" w:sz="0" w:space="0" w:color="auto"/>
                <w:bottom w:val="none" w:sz="0" w:space="0" w:color="auto"/>
                <w:right w:val="none" w:sz="0" w:space="0" w:color="auto"/>
              </w:divBdr>
              <w:divsChild>
                <w:div w:id="93520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485626">
      <w:bodyDiv w:val="1"/>
      <w:marLeft w:val="0"/>
      <w:marRight w:val="0"/>
      <w:marTop w:val="0"/>
      <w:marBottom w:val="0"/>
      <w:divBdr>
        <w:top w:val="none" w:sz="0" w:space="0" w:color="auto"/>
        <w:left w:val="none" w:sz="0" w:space="0" w:color="auto"/>
        <w:bottom w:val="none" w:sz="0" w:space="0" w:color="auto"/>
        <w:right w:val="none" w:sz="0" w:space="0" w:color="auto"/>
      </w:divBdr>
      <w:divsChild>
        <w:div w:id="608779865">
          <w:marLeft w:val="0"/>
          <w:marRight w:val="0"/>
          <w:marTop w:val="0"/>
          <w:marBottom w:val="0"/>
          <w:divBdr>
            <w:top w:val="none" w:sz="0" w:space="0" w:color="auto"/>
            <w:left w:val="none" w:sz="0" w:space="0" w:color="auto"/>
            <w:bottom w:val="none" w:sz="0" w:space="0" w:color="auto"/>
            <w:right w:val="none" w:sz="0" w:space="0" w:color="auto"/>
          </w:divBdr>
          <w:divsChild>
            <w:div w:id="1309288518">
              <w:marLeft w:val="0"/>
              <w:marRight w:val="0"/>
              <w:marTop w:val="0"/>
              <w:marBottom w:val="0"/>
              <w:divBdr>
                <w:top w:val="none" w:sz="0" w:space="0" w:color="auto"/>
                <w:left w:val="none" w:sz="0" w:space="0" w:color="auto"/>
                <w:bottom w:val="none" w:sz="0" w:space="0" w:color="auto"/>
                <w:right w:val="none" w:sz="0" w:space="0" w:color="auto"/>
              </w:divBdr>
              <w:divsChild>
                <w:div w:id="110935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764423">
      <w:bodyDiv w:val="1"/>
      <w:marLeft w:val="0"/>
      <w:marRight w:val="0"/>
      <w:marTop w:val="0"/>
      <w:marBottom w:val="0"/>
      <w:divBdr>
        <w:top w:val="none" w:sz="0" w:space="0" w:color="auto"/>
        <w:left w:val="none" w:sz="0" w:space="0" w:color="auto"/>
        <w:bottom w:val="none" w:sz="0" w:space="0" w:color="auto"/>
        <w:right w:val="none" w:sz="0" w:space="0" w:color="auto"/>
      </w:divBdr>
      <w:divsChild>
        <w:div w:id="755789301">
          <w:marLeft w:val="0"/>
          <w:marRight w:val="0"/>
          <w:marTop w:val="0"/>
          <w:marBottom w:val="0"/>
          <w:divBdr>
            <w:top w:val="none" w:sz="0" w:space="0" w:color="auto"/>
            <w:left w:val="none" w:sz="0" w:space="0" w:color="auto"/>
            <w:bottom w:val="none" w:sz="0" w:space="0" w:color="auto"/>
            <w:right w:val="none" w:sz="0" w:space="0" w:color="auto"/>
          </w:divBdr>
          <w:divsChild>
            <w:div w:id="1308247993">
              <w:marLeft w:val="0"/>
              <w:marRight w:val="0"/>
              <w:marTop w:val="0"/>
              <w:marBottom w:val="0"/>
              <w:divBdr>
                <w:top w:val="none" w:sz="0" w:space="0" w:color="auto"/>
                <w:left w:val="none" w:sz="0" w:space="0" w:color="auto"/>
                <w:bottom w:val="none" w:sz="0" w:space="0" w:color="auto"/>
                <w:right w:val="none" w:sz="0" w:space="0" w:color="auto"/>
              </w:divBdr>
              <w:divsChild>
                <w:div w:id="80793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664">
      <w:bodyDiv w:val="1"/>
      <w:marLeft w:val="0"/>
      <w:marRight w:val="0"/>
      <w:marTop w:val="0"/>
      <w:marBottom w:val="0"/>
      <w:divBdr>
        <w:top w:val="none" w:sz="0" w:space="0" w:color="auto"/>
        <w:left w:val="none" w:sz="0" w:space="0" w:color="auto"/>
        <w:bottom w:val="none" w:sz="0" w:space="0" w:color="auto"/>
        <w:right w:val="none" w:sz="0" w:space="0" w:color="auto"/>
      </w:divBdr>
      <w:divsChild>
        <w:div w:id="1894152263">
          <w:marLeft w:val="0"/>
          <w:marRight w:val="0"/>
          <w:marTop w:val="0"/>
          <w:marBottom w:val="0"/>
          <w:divBdr>
            <w:top w:val="none" w:sz="0" w:space="0" w:color="auto"/>
            <w:left w:val="none" w:sz="0" w:space="0" w:color="auto"/>
            <w:bottom w:val="none" w:sz="0" w:space="0" w:color="auto"/>
            <w:right w:val="none" w:sz="0" w:space="0" w:color="auto"/>
          </w:divBdr>
          <w:divsChild>
            <w:div w:id="1401637262">
              <w:marLeft w:val="0"/>
              <w:marRight w:val="0"/>
              <w:marTop w:val="0"/>
              <w:marBottom w:val="0"/>
              <w:divBdr>
                <w:top w:val="none" w:sz="0" w:space="0" w:color="auto"/>
                <w:left w:val="none" w:sz="0" w:space="0" w:color="auto"/>
                <w:bottom w:val="none" w:sz="0" w:space="0" w:color="auto"/>
                <w:right w:val="none" w:sz="0" w:space="0" w:color="auto"/>
              </w:divBdr>
              <w:divsChild>
                <w:div w:id="161208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235343">
      <w:bodyDiv w:val="1"/>
      <w:marLeft w:val="0"/>
      <w:marRight w:val="0"/>
      <w:marTop w:val="0"/>
      <w:marBottom w:val="0"/>
      <w:divBdr>
        <w:top w:val="none" w:sz="0" w:space="0" w:color="auto"/>
        <w:left w:val="none" w:sz="0" w:space="0" w:color="auto"/>
        <w:bottom w:val="none" w:sz="0" w:space="0" w:color="auto"/>
        <w:right w:val="none" w:sz="0" w:space="0" w:color="auto"/>
      </w:divBdr>
      <w:divsChild>
        <w:div w:id="1070735415">
          <w:marLeft w:val="0"/>
          <w:marRight w:val="0"/>
          <w:marTop w:val="0"/>
          <w:marBottom w:val="0"/>
          <w:divBdr>
            <w:top w:val="none" w:sz="0" w:space="0" w:color="auto"/>
            <w:left w:val="none" w:sz="0" w:space="0" w:color="auto"/>
            <w:bottom w:val="none" w:sz="0" w:space="0" w:color="auto"/>
            <w:right w:val="none" w:sz="0" w:space="0" w:color="auto"/>
          </w:divBdr>
          <w:divsChild>
            <w:div w:id="1945309400">
              <w:marLeft w:val="0"/>
              <w:marRight w:val="0"/>
              <w:marTop w:val="0"/>
              <w:marBottom w:val="0"/>
              <w:divBdr>
                <w:top w:val="none" w:sz="0" w:space="0" w:color="auto"/>
                <w:left w:val="none" w:sz="0" w:space="0" w:color="auto"/>
                <w:bottom w:val="none" w:sz="0" w:space="0" w:color="auto"/>
                <w:right w:val="none" w:sz="0" w:space="0" w:color="auto"/>
              </w:divBdr>
              <w:divsChild>
                <w:div w:id="36329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838052">
      <w:bodyDiv w:val="1"/>
      <w:marLeft w:val="0"/>
      <w:marRight w:val="0"/>
      <w:marTop w:val="0"/>
      <w:marBottom w:val="0"/>
      <w:divBdr>
        <w:top w:val="none" w:sz="0" w:space="0" w:color="auto"/>
        <w:left w:val="none" w:sz="0" w:space="0" w:color="auto"/>
        <w:bottom w:val="none" w:sz="0" w:space="0" w:color="auto"/>
        <w:right w:val="none" w:sz="0" w:space="0" w:color="auto"/>
      </w:divBdr>
      <w:divsChild>
        <w:div w:id="299386648">
          <w:marLeft w:val="0"/>
          <w:marRight w:val="0"/>
          <w:marTop w:val="0"/>
          <w:marBottom w:val="0"/>
          <w:divBdr>
            <w:top w:val="none" w:sz="0" w:space="0" w:color="auto"/>
            <w:left w:val="none" w:sz="0" w:space="0" w:color="auto"/>
            <w:bottom w:val="none" w:sz="0" w:space="0" w:color="auto"/>
            <w:right w:val="none" w:sz="0" w:space="0" w:color="auto"/>
          </w:divBdr>
          <w:divsChild>
            <w:div w:id="223834938">
              <w:marLeft w:val="0"/>
              <w:marRight w:val="0"/>
              <w:marTop w:val="0"/>
              <w:marBottom w:val="0"/>
              <w:divBdr>
                <w:top w:val="none" w:sz="0" w:space="0" w:color="auto"/>
                <w:left w:val="none" w:sz="0" w:space="0" w:color="auto"/>
                <w:bottom w:val="none" w:sz="0" w:space="0" w:color="auto"/>
                <w:right w:val="none" w:sz="0" w:space="0" w:color="auto"/>
              </w:divBdr>
              <w:divsChild>
                <w:div w:id="206027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796603">
      <w:bodyDiv w:val="1"/>
      <w:marLeft w:val="0"/>
      <w:marRight w:val="0"/>
      <w:marTop w:val="0"/>
      <w:marBottom w:val="0"/>
      <w:divBdr>
        <w:top w:val="none" w:sz="0" w:space="0" w:color="auto"/>
        <w:left w:val="none" w:sz="0" w:space="0" w:color="auto"/>
        <w:bottom w:val="none" w:sz="0" w:space="0" w:color="auto"/>
        <w:right w:val="none" w:sz="0" w:space="0" w:color="auto"/>
      </w:divBdr>
      <w:divsChild>
        <w:div w:id="2132237972">
          <w:marLeft w:val="0"/>
          <w:marRight w:val="0"/>
          <w:marTop w:val="0"/>
          <w:marBottom w:val="0"/>
          <w:divBdr>
            <w:top w:val="none" w:sz="0" w:space="0" w:color="auto"/>
            <w:left w:val="none" w:sz="0" w:space="0" w:color="auto"/>
            <w:bottom w:val="none" w:sz="0" w:space="0" w:color="auto"/>
            <w:right w:val="none" w:sz="0" w:space="0" w:color="auto"/>
          </w:divBdr>
          <w:divsChild>
            <w:div w:id="1384449799">
              <w:marLeft w:val="0"/>
              <w:marRight w:val="0"/>
              <w:marTop w:val="0"/>
              <w:marBottom w:val="0"/>
              <w:divBdr>
                <w:top w:val="none" w:sz="0" w:space="0" w:color="auto"/>
                <w:left w:val="none" w:sz="0" w:space="0" w:color="auto"/>
                <w:bottom w:val="none" w:sz="0" w:space="0" w:color="auto"/>
                <w:right w:val="none" w:sz="0" w:space="0" w:color="auto"/>
              </w:divBdr>
              <w:divsChild>
                <w:div w:id="589654235">
                  <w:marLeft w:val="0"/>
                  <w:marRight w:val="0"/>
                  <w:marTop w:val="0"/>
                  <w:marBottom w:val="0"/>
                  <w:divBdr>
                    <w:top w:val="none" w:sz="0" w:space="0" w:color="auto"/>
                    <w:left w:val="none" w:sz="0" w:space="0" w:color="auto"/>
                    <w:bottom w:val="none" w:sz="0" w:space="0" w:color="auto"/>
                    <w:right w:val="none" w:sz="0" w:space="0" w:color="auto"/>
                  </w:divBdr>
                </w:div>
              </w:divsChild>
            </w:div>
            <w:div w:id="1863323938">
              <w:marLeft w:val="0"/>
              <w:marRight w:val="0"/>
              <w:marTop w:val="0"/>
              <w:marBottom w:val="0"/>
              <w:divBdr>
                <w:top w:val="none" w:sz="0" w:space="0" w:color="auto"/>
                <w:left w:val="none" w:sz="0" w:space="0" w:color="auto"/>
                <w:bottom w:val="none" w:sz="0" w:space="0" w:color="auto"/>
                <w:right w:val="none" w:sz="0" w:space="0" w:color="auto"/>
              </w:divBdr>
              <w:divsChild>
                <w:div w:id="827868007">
                  <w:marLeft w:val="0"/>
                  <w:marRight w:val="0"/>
                  <w:marTop w:val="0"/>
                  <w:marBottom w:val="0"/>
                  <w:divBdr>
                    <w:top w:val="none" w:sz="0" w:space="0" w:color="auto"/>
                    <w:left w:val="none" w:sz="0" w:space="0" w:color="auto"/>
                    <w:bottom w:val="none" w:sz="0" w:space="0" w:color="auto"/>
                    <w:right w:val="none" w:sz="0" w:space="0" w:color="auto"/>
                  </w:divBdr>
                </w:div>
              </w:divsChild>
            </w:div>
            <w:div w:id="2037459744">
              <w:marLeft w:val="0"/>
              <w:marRight w:val="0"/>
              <w:marTop w:val="0"/>
              <w:marBottom w:val="0"/>
              <w:divBdr>
                <w:top w:val="none" w:sz="0" w:space="0" w:color="auto"/>
                <w:left w:val="none" w:sz="0" w:space="0" w:color="auto"/>
                <w:bottom w:val="none" w:sz="0" w:space="0" w:color="auto"/>
                <w:right w:val="none" w:sz="0" w:space="0" w:color="auto"/>
              </w:divBdr>
              <w:divsChild>
                <w:div w:id="1306860856">
                  <w:marLeft w:val="0"/>
                  <w:marRight w:val="0"/>
                  <w:marTop w:val="0"/>
                  <w:marBottom w:val="0"/>
                  <w:divBdr>
                    <w:top w:val="none" w:sz="0" w:space="0" w:color="auto"/>
                    <w:left w:val="none" w:sz="0" w:space="0" w:color="auto"/>
                    <w:bottom w:val="none" w:sz="0" w:space="0" w:color="auto"/>
                    <w:right w:val="none" w:sz="0" w:space="0" w:color="auto"/>
                  </w:divBdr>
                </w:div>
              </w:divsChild>
            </w:div>
            <w:div w:id="1677658863">
              <w:marLeft w:val="0"/>
              <w:marRight w:val="0"/>
              <w:marTop w:val="0"/>
              <w:marBottom w:val="0"/>
              <w:divBdr>
                <w:top w:val="none" w:sz="0" w:space="0" w:color="auto"/>
                <w:left w:val="none" w:sz="0" w:space="0" w:color="auto"/>
                <w:bottom w:val="none" w:sz="0" w:space="0" w:color="auto"/>
                <w:right w:val="none" w:sz="0" w:space="0" w:color="auto"/>
              </w:divBdr>
              <w:divsChild>
                <w:div w:id="251160753">
                  <w:marLeft w:val="0"/>
                  <w:marRight w:val="0"/>
                  <w:marTop w:val="0"/>
                  <w:marBottom w:val="0"/>
                  <w:divBdr>
                    <w:top w:val="none" w:sz="0" w:space="0" w:color="auto"/>
                    <w:left w:val="none" w:sz="0" w:space="0" w:color="auto"/>
                    <w:bottom w:val="none" w:sz="0" w:space="0" w:color="auto"/>
                    <w:right w:val="none" w:sz="0" w:space="0" w:color="auto"/>
                  </w:divBdr>
                </w:div>
              </w:divsChild>
            </w:div>
            <w:div w:id="2107261457">
              <w:marLeft w:val="0"/>
              <w:marRight w:val="0"/>
              <w:marTop w:val="0"/>
              <w:marBottom w:val="0"/>
              <w:divBdr>
                <w:top w:val="none" w:sz="0" w:space="0" w:color="auto"/>
                <w:left w:val="none" w:sz="0" w:space="0" w:color="auto"/>
                <w:bottom w:val="none" w:sz="0" w:space="0" w:color="auto"/>
                <w:right w:val="none" w:sz="0" w:space="0" w:color="auto"/>
              </w:divBdr>
              <w:divsChild>
                <w:div w:id="53892525">
                  <w:marLeft w:val="0"/>
                  <w:marRight w:val="0"/>
                  <w:marTop w:val="0"/>
                  <w:marBottom w:val="0"/>
                  <w:divBdr>
                    <w:top w:val="none" w:sz="0" w:space="0" w:color="auto"/>
                    <w:left w:val="none" w:sz="0" w:space="0" w:color="auto"/>
                    <w:bottom w:val="none" w:sz="0" w:space="0" w:color="auto"/>
                    <w:right w:val="none" w:sz="0" w:space="0" w:color="auto"/>
                  </w:divBdr>
                </w:div>
              </w:divsChild>
            </w:div>
            <w:div w:id="2101900393">
              <w:marLeft w:val="0"/>
              <w:marRight w:val="0"/>
              <w:marTop w:val="0"/>
              <w:marBottom w:val="0"/>
              <w:divBdr>
                <w:top w:val="none" w:sz="0" w:space="0" w:color="auto"/>
                <w:left w:val="none" w:sz="0" w:space="0" w:color="auto"/>
                <w:bottom w:val="none" w:sz="0" w:space="0" w:color="auto"/>
                <w:right w:val="none" w:sz="0" w:space="0" w:color="auto"/>
              </w:divBdr>
              <w:divsChild>
                <w:div w:id="1641962048">
                  <w:marLeft w:val="0"/>
                  <w:marRight w:val="0"/>
                  <w:marTop w:val="0"/>
                  <w:marBottom w:val="0"/>
                  <w:divBdr>
                    <w:top w:val="none" w:sz="0" w:space="0" w:color="auto"/>
                    <w:left w:val="none" w:sz="0" w:space="0" w:color="auto"/>
                    <w:bottom w:val="none" w:sz="0" w:space="0" w:color="auto"/>
                    <w:right w:val="none" w:sz="0" w:space="0" w:color="auto"/>
                  </w:divBdr>
                </w:div>
                <w:div w:id="1631665077">
                  <w:marLeft w:val="0"/>
                  <w:marRight w:val="0"/>
                  <w:marTop w:val="0"/>
                  <w:marBottom w:val="0"/>
                  <w:divBdr>
                    <w:top w:val="none" w:sz="0" w:space="0" w:color="auto"/>
                    <w:left w:val="none" w:sz="0" w:space="0" w:color="auto"/>
                    <w:bottom w:val="none" w:sz="0" w:space="0" w:color="auto"/>
                    <w:right w:val="none" w:sz="0" w:space="0" w:color="auto"/>
                  </w:divBdr>
                </w:div>
                <w:div w:id="41347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15</Pages>
  <Words>5213</Words>
  <Characters>29719</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DOMLYN, ARIEL M</dc:creator>
  <cp:keywords/>
  <dc:description/>
  <cp:lastModifiedBy>Domlyn, Ariel</cp:lastModifiedBy>
  <cp:revision>7</cp:revision>
  <dcterms:created xsi:type="dcterms:W3CDTF">2022-02-01T18:32:00Z</dcterms:created>
  <dcterms:modified xsi:type="dcterms:W3CDTF">2022-11-16T02:33:00Z</dcterms:modified>
</cp:coreProperties>
</file>