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4DC35D" w14:textId="77777777" w:rsidR="001541B7" w:rsidRPr="00827C7D" w:rsidRDefault="001541B7" w:rsidP="001541B7">
      <w:pPr>
        <w:spacing w:line="276" w:lineRule="auto"/>
        <w:jc w:val="both"/>
        <w:rPr>
          <w:rFonts w:ascii="Arial" w:hAnsi="Arial" w:cs="Arial"/>
          <w:b/>
          <w:bCs/>
          <w:sz w:val="24"/>
          <w:szCs w:val="24"/>
        </w:rPr>
      </w:pPr>
      <w:r w:rsidRPr="00827C7D">
        <w:rPr>
          <w:rFonts w:ascii="Arial" w:hAnsi="Arial" w:cs="Arial"/>
          <w:b/>
          <w:bCs/>
          <w:sz w:val="24"/>
          <w:szCs w:val="24"/>
        </w:rPr>
        <w:t>Supplementary data</w:t>
      </w:r>
    </w:p>
    <w:p w14:paraId="284C7B63" w14:textId="77777777" w:rsidR="001541B7" w:rsidRPr="00827C7D" w:rsidRDefault="001541B7" w:rsidP="001541B7">
      <w:pPr>
        <w:spacing w:line="276" w:lineRule="auto"/>
        <w:rPr>
          <w:rFonts w:ascii="Arial" w:hAnsi="Arial" w:cs="Arial"/>
          <w:sz w:val="24"/>
          <w:szCs w:val="24"/>
        </w:rPr>
      </w:pPr>
      <w:bookmarkStart w:id="0" w:name="_Hlk118902401"/>
      <w:r w:rsidRPr="00827C7D">
        <w:rPr>
          <w:rFonts w:ascii="Arial" w:hAnsi="Arial" w:cs="Arial"/>
          <w:noProof/>
          <w:sz w:val="24"/>
          <w:szCs w:val="24"/>
        </w:rPr>
        <w:drawing>
          <wp:inline distT="0" distB="0" distL="0" distR="0" wp14:anchorId="20226E0B" wp14:editId="63E44E59">
            <wp:extent cx="5800725" cy="5830472"/>
            <wp:effectExtent l="0" t="0" r="0" b="0"/>
            <wp:docPr id="28" name="Picture 2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808022" cy="5837807"/>
                    </a:xfrm>
                    <a:prstGeom prst="rect">
                      <a:avLst/>
                    </a:prstGeom>
                    <a:noFill/>
                    <a:ln>
                      <a:noFill/>
                    </a:ln>
                  </pic:spPr>
                </pic:pic>
              </a:graphicData>
            </a:graphic>
          </wp:inline>
        </w:drawing>
      </w:r>
    </w:p>
    <w:p w14:paraId="19264C13" w14:textId="77777777" w:rsidR="001541B7" w:rsidRPr="00827C7D" w:rsidRDefault="001541B7" w:rsidP="001541B7">
      <w:pPr>
        <w:spacing w:line="276" w:lineRule="auto"/>
        <w:jc w:val="both"/>
        <w:rPr>
          <w:rFonts w:ascii="Arial" w:hAnsi="Arial" w:cs="Arial"/>
          <w:sz w:val="24"/>
          <w:szCs w:val="24"/>
        </w:rPr>
      </w:pPr>
      <w:r w:rsidRPr="00827C7D">
        <w:rPr>
          <w:rFonts w:ascii="Arial" w:hAnsi="Arial" w:cs="Arial"/>
          <w:b/>
          <w:bCs/>
          <w:sz w:val="24"/>
          <w:szCs w:val="24"/>
        </w:rPr>
        <w:t>Figure S1 Fabrication of completely biological hDF-ECM scaffolds.</w:t>
      </w:r>
      <w:r w:rsidRPr="00827C7D">
        <w:rPr>
          <w:rFonts w:ascii="Arial" w:hAnsi="Arial" w:cs="Arial"/>
          <w:sz w:val="24"/>
          <w:szCs w:val="24"/>
        </w:rPr>
        <w:t xml:space="preserve"> </w:t>
      </w:r>
      <w:r w:rsidRPr="00827C7D">
        <w:rPr>
          <w:rFonts w:ascii="Arial" w:hAnsi="Arial" w:cs="Arial"/>
          <w:b/>
          <w:bCs/>
          <w:sz w:val="24"/>
          <w:szCs w:val="24"/>
        </w:rPr>
        <w:t>(A)</w:t>
      </w:r>
      <w:r w:rsidRPr="00827C7D">
        <w:rPr>
          <w:rFonts w:ascii="Arial" w:hAnsi="Arial" w:cs="Arial"/>
          <w:sz w:val="24"/>
          <w:szCs w:val="24"/>
        </w:rPr>
        <w:t xml:space="preserve"> Anisotropic or isotropic hDF-sheets developed by growing hDF on micro-pattern or flat PDMS substrates, respectively. </w:t>
      </w:r>
      <w:r w:rsidRPr="00827C7D">
        <w:rPr>
          <w:rFonts w:ascii="Arial" w:hAnsi="Arial" w:cs="Arial"/>
          <w:b/>
          <w:bCs/>
          <w:sz w:val="24"/>
          <w:szCs w:val="24"/>
        </w:rPr>
        <w:t>(B)</w:t>
      </w:r>
      <w:r w:rsidRPr="00827C7D">
        <w:rPr>
          <w:rFonts w:ascii="Arial" w:hAnsi="Arial" w:cs="Arial"/>
          <w:sz w:val="24"/>
          <w:szCs w:val="24"/>
        </w:rPr>
        <w:t xml:space="preserve"> hDF-ECM was developed by decellularization of hDF-sheet. IF stating of collagen-I revels nano-fibrous ECM with anisotropic or isotropic fiber orientation. </w:t>
      </w:r>
      <w:r w:rsidRPr="00827C7D">
        <w:rPr>
          <w:rFonts w:ascii="Arial" w:hAnsi="Arial" w:cs="Arial"/>
          <w:b/>
          <w:bCs/>
          <w:sz w:val="24"/>
          <w:szCs w:val="24"/>
        </w:rPr>
        <w:t>(C)</w:t>
      </w:r>
      <w:r w:rsidRPr="00827C7D">
        <w:rPr>
          <w:rFonts w:ascii="Arial" w:hAnsi="Arial" w:cs="Arial"/>
          <w:sz w:val="24"/>
          <w:szCs w:val="24"/>
        </w:rPr>
        <w:t xml:space="preserve"> Anisotropic/isotropic hDF-ECM sheets developed on PDMS in 24-well dish and used as a scaffold to develop pre-vascularized constructs (as described in figure 1). </w:t>
      </w:r>
      <w:bookmarkStart w:id="1" w:name="_Hlk118902472"/>
    </w:p>
    <w:bookmarkEnd w:id="0"/>
    <w:p w14:paraId="6D4136D6" w14:textId="77777777" w:rsidR="001541B7" w:rsidRPr="00827C7D" w:rsidRDefault="001541B7" w:rsidP="001541B7">
      <w:pPr>
        <w:spacing w:line="276" w:lineRule="auto"/>
        <w:rPr>
          <w:rFonts w:ascii="Arial" w:hAnsi="Arial" w:cs="Arial"/>
          <w:sz w:val="24"/>
          <w:szCs w:val="24"/>
        </w:rPr>
      </w:pPr>
      <w:r w:rsidRPr="00827C7D">
        <w:rPr>
          <w:noProof/>
          <w:sz w:val="24"/>
          <w:szCs w:val="24"/>
        </w:rPr>
        <w:lastRenderedPageBreak/>
        <w:drawing>
          <wp:inline distT="0" distB="0" distL="0" distR="0" wp14:anchorId="489E8892" wp14:editId="04EA1386">
            <wp:extent cx="5943600" cy="7934325"/>
            <wp:effectExtent l="0" t="0" r="0" b="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7934325"/>
                    </a:xfrm>
                    <a:prstGeom prst="rect">
                      <a:avLst/>
                    </a:prstGeom>
                    <a:noFill/>
                    <a:ln>
                      <a:noFill/>
                    </a:ln>
                  </pic:spPr>
                </pic:pic>
              </a:graphicData>
            </a:graphic>
          </wp:inline>
        </w:drawing>
      </w:r>
    </w:p>
    <w:p w14:paraId="79E1A9F2" w14:textId="77777777" w:rsidR="001541B7" w:rsidRPr="00827C7D" w:rsidRDefault="001541B7" w:rsidP="001541B7">
      <w:pPr>
        <w:spacing w:line="276" w:lineRule="auto"/>
        <w:jc w:val="both"/>
        <w:rPr>
          <w:rFonts w:ascii="Arial" w:hAnsi="Arial" w:cs="Arial"/>
          <w:sz w:val="24"/>
          <w:szCs w:val="24"/>
        </w:rPr>
      </w:pPr>
      <w:r w:rsidRPr="00827C7D">
        <w:rPr>
          <w:rFonts w:ascii="Arial" w:hAnsi="Arial" w:cs="Arial"/>
          <w:b/>
          <w:bCs/>
          <w:sz w:val="24"/>
          <w:szCs w:val="24"/>
        </w:rPr>
        <w:lastRenderedPageBreak/>
        <w:t>Figure S2: PMA-induced THP-1 differentiation into macrophage.</w:t>
      </w:r>
      <w:r w:rsidRPr="00827C7D">
        <w:rPr>
          <w:rFonts w:ascii="Arial" w:hAnsi="Arial" w:cs="Arial"/>
          <w:sz w:val="24"/>
          <w:szCs w:val="24"/>
        </w:rPr>
        <w:t xml:space="preserve"> </w:t>
      </w:r>
      <w:r w:rsidRPr="00827C7D">
        <w:rPr>
          <w:rFonts w:ascii="Arial" w:hAnsi="Arial" w:cs="Arial"/>
          <w:b/>
          <w:bCs/>
          <w:sz w:val="24"/>
          <w:szCs w:val="24"/>
        </w:rPr>
        <w:t xml:space="preserve">(A) </w:t>
      </w:r>
      <w:r w:rsidRPr="00827C7D">
        <w:rPr>
          <w:rFonts w:ascii="Arial" w:hAnsi="Arial" w:cs="Arial"/>
          <w:sz w:val="24"/>
          <w:szCs w:val="24"/>
        </w:rPr>
        <w:t xml:space="preserve">PMA induced THP-1 monocytes differentiated into macrophage and showed distinct cell attachment, increased cell spreading and expression of macrophage specific markers CD11b, CD14, CD68 as observed via IF staining. (Scale bar 20 µm) </w:t>
      </w:r>
      <w:r w:rsidRPr="00827C7D">
        <w:rPr>
          <w:rFonts w:ascii="Arial" w:hAnsi="Arial" w:cs="Arial"/>
          <w:b/>
          <w:bCs/>
          <w:sz w:val="24"/>
          <w:szCs w:val="24"/>
        </w:rPr>
        <w:t>(B)</w:t>
      </w:r>
      <w:r w:rsidRPr="00827C7D">
        <w:rPr>
          <w:rFonts w:ascii="Arial" w:hAnsi="Arial" w:cs="Arial"/>
          <w:sz w:val="24"/>
          <w:szCs w:val="24"/>
        </w:rPr>
        <w:t xml:space="preserve"> PMA-induced THP-1 cells displayed significantly increased expression of macrophage specific genes CD14, CD68 and CD80 compared with THP-1 monocytes lacking PMA stimulation. Results displayed as mean ± standard deviation and were considered statistically significant for *</w:t>
      </w:r>
      <w:r w:rsidRPr="00827C7D">
        <w:rPr>
          <w:rFonts w:ascii="Arial" w:hAnsi="Arial" w:cs="Arial"/>
          <w:i/>
          <w:iCs/>
          <w:sz w:val="24"/>
          <w:szCs w:val="24"/>
        </w:rPr>
        <w:t>p</w:t>
      </w:r>
      <w:r w:rsidRPr="00827C7D">
        <w:rPr>
          <w:rFonts w:ascii="Arial" w:hAnsi="Arial" w:cs="Arial"/>
          <w:sz w:val="24"/>
          <w:szCs w:val="24"/>
        </w:rPr>
        <w:t xml:space="preserve"> &lt; 0.05, **</w:t>
      </w:r>
      <w:r w:rsidRPr="00827C7D">
        <w:rPr>
          <w:rFonts w:ascii="Arial" w:hAnsi="Arial" w:cs="Arial"/>
          <w:i/>
          <w:iCs/>
          <w:sz w:val="24"/>
          <w:szCs w:val="24"/>
        </w:rPr>
        <w:t>p</w:t>
      </w:r>
      <w:r w:rsidRPr="00827C7D">
        <w:rPr>
          <w:rFonts w:ascii="Arial" w:hAnsi="Arial" w:cs="Arial"/>
          <w:sz w:val="24"/>
          <w:szCs w:val="24"/>
        </w:rPr>
        <w:t xml:space="preserve"> &lt; 0.01, ***</w:t>
      </w:r>
      <w:r w:rsidRPr="00827C7D">
        <w:rPr>
          <w:rFonts w:ascii="Arial" w:hAnsi="Arial" w:cs="Arial"/>
          <w:i/>
          <w:iCs/>
          <w:sz w:val="24"/>
          <w:szCs w:val="24"/>
        </w:rPr>
        <w:t>p</w:t>
      </w:r>
      <w:r w:rsidRPr="00827C7D">
        <w:rPr>
          <w:rFonts w:ascii="Arial" w:hAnsi="Arial" w:cs="Arial"/>
          <w:sz w:val="24"/>
          <w:szCs w:val="24"/>
        </w:rPr>
        <w:t xml:space="preserve"> &lt; 0.001, ****</w:t>
      </w:r>
      <w:r w:rsidRPr="00827C7D">
        <w:rPr>
          <w:rFonts w:ascii="Arial" w:hAnsi="Arial" w:cs="Arial"/>
          <w:i/>
          <w:iCs/>
          <w:sz w:val="24"/>
          <w:szCs w:val="24"/>
        </w:rPr>
        <w:t>p</w:t>
      </w:r>
      <w:r w:rsidRPr="00827C7D">
        <w:rPr>
          <w:rFonts w:ascii="Arial" w:hAnsi="Arial" w:cs="Arial"/>
          <w:sz w:val="24"/>
          <w:szCs w:val="24"/>
        </w:rPr>
        <w:t xml:space="preserve"> &lt; 0.0001. </w:t>
      </w:r>
      <w:r w:rsidRPr="00827C7D">
        <w:rPr>
          <w:rFonts w:ascii="Arial" w:hAnsi="Arial" w:cs="Arial"/>
          <w:b/>
          <w:bCs/>
          <w:sz w:val="24"/>
          <w:szCs w:val="24"/>
        </w:rPr>
        <w:t>(C)</w:t>
      </w:r>
      <w:r w:rsidRPr="00827C7D">
        <w:rPr>
          <w:rFonts w:ascii="Arial" w:hAnsi="Arial" w:cs="Arial"/>
          <w:sz w:val="24"/>
          <w:szCs w:val="24"/>
        </w:rPr>
        <w:t xml:space="preserve"> Density and morphology of PMA-stimulated THP-1 macrophage co-cultured on aligned and random hMSC/hDF-ECM scaffolds observed by macrophage specific CD68 marker at day 3 and 7 post macrophage seeding (green). F-actin (red) stains both, macrophage and underlying (aligned and random) hMSC sheets developed on (anisotropic and isotropic) hDF-ECM scaffolds (Scale bar 100 µm)   </w:t>
      </w:r>
    </w:p>
    <w:p w14:paraId="6141B301" w14:textId="77777777" w:rsidR="001541B7" w:rsidRPr="00827C7D" w:rsidRDefault="001541B7" w:rsidP="001541B7">
      <w:pPr>
        <w:spacing w:line="276" w:lineRule="auto"/>
        <w:rPr>
          <w:rFonts w:ascii="Arial" w:hAnsi="Arial" w:cs="Arial"/>
          <w:sz w:val="24"/>
          <w:szCs w:val="24"/>
        </w:rPr>
      </w:pPr>
      <w:r w:rsidRPr="00827C7D">
        <w:rPr>
          <w:rFonts w:ascii="Arial" w:hAnsi="Arial" w:cs="Arial"/>
          <w:sz w:val="24"/>
          <w:szCs w:val="24"/>
        </w:rPr>
        <w:t xml:space="preserve"> </w:t>
      </w:r>
    </w:p>
    <w:p w14:paraId="307D2493" w14:textId="77777777" w:rsidR="001541B7" w:rsidRPr="00827C7D" w:rsidRDefault="001541B7" w:rsidP="001541B7">
      <w:pPr>
        <w:spacing w:line="276" w:lineRule="auto"/>
        <w:rPr>
          <w:rFonts w:ascii="Arial" w:hAnsi="Arial" w:cs="Arial"/>
          <w:sz w:val="24"/>
          <w:szCs w:val="24"/>
        </w:rPr>
      </w:pPr>
      <w:r w:rsidRPr="00827C7D">
        <w:rPr>
          <w:rFonts w:ascii="Arial" w:hAnsi="Arial" w:cs="Arial"/>
          <w:noProof/>
          <w:sz w:val="24"/>
          <w:szCs w:val="24"/>
        </w:rPr>
        <w:drawing>
          <wp:inline distT="0" distB="0" distL="0" distR="0" wp14:anchorId="22FB9DED" wp14:editId="29E640F3">
            <wp:extent cx="5943600" cy="2499995"/>
            <wp:effectExtent l="0" t="0" r="0" b="0"/>
            <wp:docPr id="30" name="Picture 30"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Chart, box and whisker char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2499995"/>
                    </a:xfrm>
                    <a:prstGeom prst="rect">
                      <a:avLst/>
                    </a:prstGeom>
                    <a:noFill/>
                    <a:ln>
                      <a:noFill/>
                    </a:ln>
                  </pic:spPr>
                </pic:pic>
              </a:graphicData>
            </a:graphic>
          </wp:inline>
        </w:drawing>
      </w:r>
    </w:p>
    <w:p w14:paraId="4BF0F4DE" w14:textId="77777777" w:rsidR="001541B7" w:rsidRDefault="001541B7" w:rsidP="001541B7">
      <w:pPr>
        <w:spacing w:line="276" w:lineRule="auto"/>
        <w:jc w:val="both"/>
        <w:rPr>
          <w:rFonts w:ascii="Arial" w:hAnsi="Arial" w:cs="Arial"/>
          <w:sz w:val="24"/>
          <w:szCs w:val="24"/>
        </w:rPr>
      </w:pPr>
      <w:r w:rsidRPr="00827C7D">
        <w:rPr>
          <w:rFonts w:ascii="Arial" w:hAnsi="Arial" w:cs="Arial"/>
          <w:b/>
          <w:bCs/>
          <w:sz w:val="24"/>
          <w:szCs w:val="24"/>
        </w:rPr>
        <w:t>Figure S3 FAD autofluorescence lifetime metrics of macrophages on aligned and random engineered ECM scaffolds with and without ECs on days 3 and 7 post-cell seeding,</w:t>
      </w:r>
      <w:r w:rsidRPr="00827C7D">
        <w:rPr>
          <w:rFonts w:ascii="Arial" w:hAnsi="Arial" w:cs="Arial"/>
          <w:sz w:val="24"/>
          <w:szCs w:val="24"/>
        </w:rPr>
        <w:t xml:space="preserve"> </w:t>
      </w:r>
      <w:r w:rsidRPr="00827C7D">
        <w:rPr>
          <w:rFonts w:ascii="Arial" w:hAnsi="Arial" w:cs="Arial"/>
          <w:b/>
          <w:bCs/>
          <w:sz w:val="24"/>
          <w:szCs w:val="24"/>
        </w:rPr>
        <w:t>(A)</w:t>
      </w:r>
      <w:r w:rsidRPr="00827C7D">
        <w:rPr>
          <w:rFonts w:ascii="Arial" w:hAnsi="Arial" w:cs="Arial"/>
          <w:sz w:val="24"/>
          <w:szCs w:val="24"/>
        </w:rPr>
        <w:t xml:space="preserve"> Fraction of bound FAD (</w:t>
      </w:r>
      <w:r w:rsidRPr="00827C7D">
        <w:rPr>
          <w:rFonts w:ascii="Arial" w:hAnsi="Arial" w:cs="Arial"/>
          <w:i/>
          <w:sz w:val="24"/>
          <w:szCs w:val="24"/>
        </w:rPr>
        <w:t>α</w:t>
      </w:r>
      <w:r w:rsidRPr="00827C7D">
        <w:rPr>
          <w:rFonts w:ascii="Arial" w:hAnsi="Arial" w:cs="Arial"/>
          <w:i/>
          <w:sz w:val="24"/>
          <w:szCs w:val="24"/>
          <w:vertAlign w:val="subscript"/>
        </w:rPr>
        <w:t>1</w:t>
      </w:r>
      <w:r w:rsidRPr="00827C7D">
        <w:rPr>
          <w:rFonts w:ascii="Arial" w:hAnsi="Arial" w:cs="Arial"/>
          <w:sz w:val="24"/>
          <w:szCs w:val="24"/>
        </w:rPr>
        <w:t xml:space="preserve">), </w:t>
      </w:r>
      <w:r w:rsidRPr="00827C7D">
        <w:rPr>
          <w:rFonts w:ascii="Arial" w:hAnsi="Arial" w:cs="Arial"/>
          <w:b/>
          <w:bCs/>
          <w:sz w:val="24"/>
          <w:szCs w:val="24"/>
        </w:rPr>
        <w:t>(B)</w:t>
      </w:r>
      <w:r w:rsidRPr="00827C7D">
        <w:rPr>
          <w:rFonts w:ascii="Arial" w:hAnsi="Arial" w:cs="Arial"/>
          <w:sz w:val="24"/>
          <w:szCs w:val="24"/>
        </w:rPr>
        <w:t xml:space="preserve"> bound FAD fluorescence lifetime (</w:t>
      </w:r>
      <w:r w:rsidRPr="00827C7D">
        <w:rPr>
          <w:rFonts w:ascii="Arial" w:hAnsi="Arial" w:cs="Arial"/>
          <w:i/>
          <w:sz w:val="24"/>
          <w:szCs w:val="24"/>
        </w:rPr>
        <w:t>τ</w:t>
      </w:r>
      <w:r w:rsidRPr="00827C7D">
        <w:rPr>
          <w:rFonts w:ascii="Arial" w:hAnsi="Arial" w:cs="Arial"/>
          <w:i/>
          <w:sz w:val="24"/>
          <w:szCs w:val="24"/>
          <w:vertAlign w:val="subscript"/>
        </w:rPr>
        <w:t>1</w:t>
      </w:r>
      <w:r w:rsidRPr="00827C7D">
        <w:rPr>
          <w:rFonts w:ascii="Arial" w:hAnsi="Arial" w:cs="Arial"/>
          <w:sz w:val="24"/>
          <w:szCs w:val="24"/>
        </w:rPr>
        <w:t xml:space="preserve">), and </w:t>
      </w:r>
      <w:r w:rsidRPr="00827C7D">
        <w:rPr>
          <w:rFonts w:ascii="Arial" w:hAnsi="Arial" w:cs="Arial"/>
          <w:b/>
          <w:bCs/>
          <w:sz w:val="24"/>
          <w:szCs w:val="24"/>
        </w:rPr>
        <w:t>(C)</w:t>
      </w:r>
      <w:r w:rsidRPr="00827C7D">
        <w:rPr>
          <w:rFonts w:ascii="Arial" w:hAnsi="Arial" w:cs="Arial"/>
          <w:sz w:val="24"/>
          <w:szCs w:val="24"/>
        </w:rPr>
        <w:t xml:space="preserve"> free FAD fluorescence lifetime (</w:t>
      </w:r>
      <w:r w:rsidRPr="00827C7D">
        <w:rPr>
          <w:rFonts w:ascii="Arial" w:hAnsi="Arial" w:cs="Arial"/>
          <w:i/>
          <w:sz w:val="24"/>
          <w:szCs w:val="24"/>
        </w:rPr>
        <w:t>τ</w:t>
      </w:r>
      <w:r w:rsidRPr="00827C7D">
        <w:rPr>
          <w:rFonts w:ascii="Arial" w:hAnsi="Arial" w:cs="Arial"/>
          <w:i/>
          <w:sz w:val="24"/>
          <w:szCs w:val="24"/>
          <w:vertAlign w:val="subscript"/>
        </w:rPr>
        <w:t>2</w:t>
      </w:r>
      <w:r w:rsidRPr="00827C7D">
        <w:rPr>
          <w:rFonts w:ascii="Arial" w:hAnsi="Arial" w:cs="Arial"/>
          <w:sz w:val="24"/>
          <w:szCs w:val="24"/>
        </w:rPr>
        <w:t>). Overall reduction in free FAD mean lifetime was observed in macrophages within all groups overtime from day 3 to day 7. Results displayed as mean ± standard deviation and were considered statistically significant for *</w:t>
      </w:r>
      <w:r w:rsidRPr="00827C7D">
        <w:rPr>
          <w:rFonts w:ascii="Arial" w:hAnsi="Arial" w:cs="Arial"/>
          <w:i/>
          <w:iCs/>
          <w:sz w:val="24"/>
          <w:szCs w:val="24"/>
        </w:rPr>
        <w:t>p</w:t>
      </w:r>
      <w:r w:rsidRPr="00827C7D">
        <w:rPr>
          <w:rFonts w:ascii="Arial" w:hAnsi="Arial" w:cs="Arial"/>
          <w:sz w:val="24"/>
          <w:szCs w:val="24"/>
        </w:rPr>
        <w:t xml:space="preserve"> &lt; 0.05, **</w:t>
      </w:r>
      <w:r w:rsidRPr="00827C7D">
        <w:rPr>
          <w:rFonts w:ascii="Arial" w:hAnsi="Arial" w:cs="Arial"/>
          <w:i/>
          <w:iCs/>
          <w:sz w:val="24"/>
          <w:szCs w:val="24"/>
        </w:rPr>
        <w:t>p</w:t>
      </w:r>
      <w:r w:rsidRPr="00827C7D">
        <w:rPr>
          <w:rFonts w:ascii="Arial" w:hAnsi="Arial" w:cs="Arial"/>
          <w:sz w:val="24"/>
          <w:szCs w:val="24"/>
        </w:rPr>
        <w:t xml:space="preserve"> &lt; 0.01, ***</w:t>
      </w:r>
      <w:r w:rsidRPr="00827C7D">
        <w:rPr>
          <w:rFonts w:ascii="Arial" w:hAnsi="Arial" w:cs="Arial"/>
          <w:i/>
          <w:iCs/>
          <w:sz w:val="24"/>
          <w:szCs w:val="24"/>
        </w:rPr>
        <w:t>p</w:t>
      </w:r>
      <w:r w:rsidRPr="00827C7D">
        <w:rPr>
          <w:rFonts w:ascii="Arial" w:hAnsi="Arial" w:cs="Arial"/>
          <w:sz w:val="24"/>
          <w:szCs w:val="24"/>
        </w:rPr>
        <w:t xml:space="preserve"> &lt; 0.001, ****</w:t>
      </w:r>
      <w:r w:rsidRPr="00827C7D">
        <w:rPr>
          <w:rFonts w:ascii="Arial" w:hAnsi="Arial" w:cs="Arial"/>
          <w:i/>
          <w:iCs/>
          <w:sz w:val="24"/>
          <w:szCs w:val="24"/>
        </w:rPr>
        <w:t>p</w:t>
      </w:r>
      <w:r w:rsidRPr="00827C7D">
        <w:rPr>
          <w:rFonts w:ascii="Arial" w:hAnsi="Arial" w:cs="Arial"/>
          <w:sz w:val="24"/>
          <w:szCs w:val="24"/>
        </w:rPr>
        <w:t> &lt; 0.0001.</w:t>
      </w:r>
    </w:p>
    <w:p w14:paraId="75EEBDD7" w14:textId="77777777" w:rsidR="001541B7" w:rsidRDefault="001541B7" w:rsidP="001541B7">
      <w:pPr>
        <w:spacing w:line="276" w:lineRule="auto"/>
        <w:jc w:val="both"/>
        <w:rPr>
          <w:rFonts w:ascii="Arial" w:hAnsi="Arial" w:cs="Arial"/>
          <w:sz w:val="24"/>
          <w:szCs w:val="24"/>
        </w:rPr>
      </w:pPr>
    </w:p>
    <w:p w14:paraId="62F5CF19" w14:textId="77777777" w:rsidR="001541B7" w:rsidRPr="00827C7D" w:rsidRDefault="001541B7" w:rsidP="001541B7">
      <w:pPr>
        <w:spacing w:line="276" w:lineRule="auto"/>
        <w:jc w:val="both"/>
        <w:rPr>
          <w:rFonts w:ascii="Arial" w:hAnsi="Arial" w:cs="Arial"/>
          <w:sz w:val="24"/>
          <w:szCs w:val="24"/>
        </w:rPr>
      </w:pPr>
    </w:p>
    <w:p w14:paraId="0B16E4CD" w14:textId="77777777" w:rsidR="001541B7" w:rsidRPr="00827C7D" w:rsidRDefault="001541B7" w:rsidP="001541B7">
      <w:pPr>
        <w:spacing w:line="276" w:lineRule="auto"/>
        <w:jc w:val="both"/>
        <w:rPr>
          <w:rFonts w:ascii="Arial" w:hAnsi="Arial" w:cs="Arial"/>
          <w:sz w:val="24"/>
          <w:szCs w:val="24"/>
        </w:rPr>
      </w:pPr>
    </w:p>
    <w:p w14:paraId="08544379" w14:textId="77777777" w:rsidR="001541B7" w:rsidRPr="00827C7D" w:rsidRDefault="001541B7" w:rsidP="001541B7">
      <w:pPr>
        <w:spacing w:line="276" w:lineRule="auto"/>
        <w:rPr>
          <w:rFonts w:ascii="Arial" w:hAnsi="Arial" w:cs="Arial"/>
          <w:sz w:val="24"/>
          <w:szCs w:val="24"/>
        </w:rPr>
      </w:pPr>
      <w:r w:rsidRPr="00827C7D">
        <w:rPr>
          <w:rFonts w:ascii="Arial" w:hAnsi="Arial" w:cs="Arial"/>
          <w:noProof/>
          <w:sz w:val="24"/>
          <w:szCs w:val="24"/>
        </w:rPr>
        <w:lastRenderedPageBreak/>
        <w:drawing>
          <wp:inline distT="0" distB="0" distL="0" distR="0" wp14:anchorId="0156786F" wp14:editId="6D56D8BE">
            <wp:extent cx="6086475" cy="4446040"/>
            <wp:effectExtent l="0" t="0" r="0" b="0"/>
            <wp:docPr id="31" name="Picture 31"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Background pattern&#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02719" cy="4457906"/>
                    </a:xfrm>
                    <a:prstGeom prst="rect">
                      <a:avLst/>
                    </a:prstGeom>
                    <a:noFill/>
                    <a:ln>
                      <a:noFill/>
                    </a:ln>
                  </pic:spPr>
                </pic:pic>
              </a:graphicData>
            </a:graphic>
          </wp:inline>
        </w:drawing>
      </w:r>
    </w:p>
    <w:p w14:paraId="23AD38DF" w14:textId="77777777" w:rsidR="001541B7" w:rsidRPr="00827C7D" w:rsidRDefault="001541B7" w:rsidP="001541B7">
      <w:pPr>
        <w:spacing w:line="276" w:lineRule="auto"/>
        <w:jc w:val="both"/>
        <w:rPr>
          <w:rFonts w:ascii="Arial" w:hAnsi="Arial" w:cs="Arial"/>
          <w:sz w:val="24"/>
          <w:szCs w:val="24"/>
        </w:rPr>
      </w:pPr>
      <w:r w:rsidRPr="00827C7D">
        <w:rPr>
          <w:rFonts w:ascii="Arial" w:hAnsi="Arial" w:cs="Arial"/>
          <w:b/>
          <w:bCs/>
          <w:sz w:val="24"/>
          <w:szCs w:val="24"/>
        </w:rPr>
        <w:t>Figure S4. Histological analysis of implanted tissue-constructs in the subcutaneous space of RNU nude rats.</w:t>
      </w:r>
      <w:r w:rsidRPr="00827C7D">
        <w:rPr>
          <w:rFonts w:ascii="Arial" w:hAnsi="Arial" w:cs="Arial"/>
          <w:sz w:val="24"/>
          <w:szCs w:val="24"/>
        </w:rPr>
        <w:t xml:space="preserve"> H&amp;E staining reveals the morphology of MSC/hDF-ECM and hMSC/EC/hDF-ECM constructs in the subcutaneous space (black star) from day 3 to day 28. Samples harvested from the area other that implant site shows the native architecture of skin, subcutaneous space, and underlying muscle layers over the period of 28 days (third column) (scale bar 1 mm). Overall, increased recruitment of host cells (purple nuclei) surrounding the implant boundary was observed during the first week of implantation, as a typical innate immune response, which was resolved over time.  The day 28 implants were well-integrated within subcutaneous space without any signs of ongoing active recruitment of host cells or inflammatory response.   </w:t>
      </w:r>
    </w:p>
    <w:p w14:paraId="476B9A87" w14:textId="77777777" w:rsidR="001541B7" w:rsidRPr="00827C7D" w:rsidRDefault="001541B7" w:rsidP="001541B7">
      <w:pPr>
        <w:spacing w:line="276" w:lineRule="auto"/>
        <w:rPr>
          <w:rFonts w:ascii="Arial" w:hAnsi="Arial" w:cs="Arial"/>
          <w:sz w:val="24"/>
          <w:szCs w:val="24"/>
        </w:rPr>
      </w:pPr>
      <w:r w:rsidRPr="00827C7D">
        <w:rPr>
          <w:rFonts w:ascii="Arial" w:hAnsi="Arial" w:cs="Arial"/>
          <w:noProof/>
          <w:sz w:val="24"/>
          <w:szCs w:val="24"/>
        </w:rPr>
        <w:lastRenderedPageBreak/>
        <w:drawing>
          <wp:inline distT="0" distB="0" distL="0" distR="0" wp14:anchorId="37C5E77D" wp14:editId="3E4E6C2B">
            <wp:extent cx="6324600" cy="6840894"/>
            <wp:effectExtent l="0" t="0" r="0" b="0"/>
            <wp:docPr id="32" name="Picture 32"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calendar&#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26909" cy="6843391"/>
                    </a:xfrm>
                    <a:prstGeom prst="rect">
                      <a:avLst/>
                    </a:prstGeom>
                    <a:noFill/>
                    <a:ln>
                      <a:noFill/>
                    </a:ln>
                  </pic:spPr>
                </pic:pic>
              </a:graphicData>
            </a:graphic>
          </wp:inline>
        </w:drawing>
      </w:r>
    </w:p>
    <w:p w14:paraId="06140CE1" w14:textId="77777777" w:rsidR="001541B7" w:rsidRPr="00827C7D" w:rsidRDefault="001541B7" w:rsidP="001541B7">
      <w:pPr>
        <w:spacing w:line="276" w:lineRule="auto"/>
        <w:jc w:val="both"/>
        <w:rPr>
          <w:rFonts w:ascii="Arial" w:hAnsi="Arial" w:cs="Arial"/>
          <w:sz w:val="24"/>
          <w:szCs w:val="24"/>
        </w:rPr>
      </w:pPr>
      <w:r w:rsidRPr="00827C7D">
        <w:rPr>
          <w:rFonts w:ascii="Arial" w:hAnsi="Arial" w:cs="Arial"/>
          <w:b/>
          <w:bCs/>
          <w:sz w:val="24"/>
          <w:szCs w:val="24"/>
        </w:rPr>
        <w:t>Figure S5 Evaluation of engineered constructs post-subcutaneous implantation in RNU nude rats.</w:t>
      </w:r>
      <w:r w:rsidRPr="00827C7D">
        <w:rPr>
          <w:rFonts w:ascii="Arial" w:hAnsi="Arial" w:cs="Arial"/>
          <w:sz w:val="24"/>
          <w:szCs w:val="24"/>
        </w:rPr>
        <w:t xml:space="preserve"> </w:t>
      </w:r>
      <w:r w:rsidRPr="00827C7D">
        <w:rPr>
          <w:rFonts w:ascii="Arial" w:hAnsi="Arial" w:cs="Arial"/>
          <w:b/>
          <w:bCs/>
          <w:sz w:val="24"/>
          <w:szCs w:val="24"/>
        </w:rPr>
        <w:t xml:space="preserve">(A) </w:t>
      </w:r>
      <w:r w:rsidRPr="00827C7D">
        <w:rPr>
          <w:rFonts w:ascii="Arial" w:hAnsi="Arial" w:cs="Arial"/>
          <w:sz w:val="24"/>
          <w:szCs w:val="24"/>
        </w:rPr>
        <w:t xml:space="preserve">Higher magnification images of the UEA-I positive lumen structures (green) found in subcutaneous implant site clearly indicate that the engineered micro-vessels maintained open lumen structure and formed a functional anastomosis with host vessels within one week of implantation (Scale bar 20 µm). </w:t>
      </w:r>
      <w:r w:rsidRPr="00827C7D">
        <w:rPr>
          <w:rFonts w:ascii="Arial" w:hAnsi="Arial" w:cs="Arial"/>
          <w:b/>
          <w:bCs/>
          <w:sz w:val="24"/>
          <w:szCs w:val="24"/>
        </w:rPr>
        <w:t>(B)</w:t>
      </w:r>
      <w:r w:rsidRPr="00827C7D">
        <w:rPr>
          <w:rFonts w:ascii="Arial" w:hAnsi="Arial" w:cs="Arial"/>
          <w:sz w:val="24"/>
          <w:szCs w:val="24"/>
        </w:rPr>
        <w:t xml:space="preserve"> Quantification of UEA-1 positive lumen diameter from day 3 to day 28. An increase in micro-vessel diameter from </w:t>
      </w:r>
      <w:r w:rsidRPr="00827C7D">
        <w:rPr>
          <w:rFonts w:ascii="Arial" w:hAnsi="Arial" w:cs="Arial"/>
          <w:sz w:val="24"/>
          <w:szCs w:val="24"/>
        </w:rPr>
        <w:lastRenderedPageBreak/>
        <w:t xml:space="preserve">day 3 onwards indicated the active remodeling of engineered micro-vessels </w:t>
      </w:r>
      <w:r w:rsidRPr="00827C7D">
        <w:rPr>
          <w:rFonts w:ascii="Arial" w:hAnsi="Arial" w:cs="Arial"/>
          <w:i/>
          <w:iCs/>
          <w:sz w:val="24"/>
          <w:szCs w:val="24"/>
        </w:rPr>
        <w:t>in vivo</w:t>
      </w:r>
      <w:r w:rsidRPr="00827C7D">
        <w:rPr>
          <w:rFonts w:ascii="Arial" w:hAnsi="Arial" w:cs="Arial"/>
          <w:sz w:val="24"/>
          <w:szCs w:val="24"/>
        </w:rPr>
        <w:t>. Results displayed as mean ± standard deviation and were considered statistically significant for *</w:t>
      </w:r>
      <w:r w:rsidRPr="00827C7D">
        <w:rPr>
          <w:rFonts w:ascii="Arial" w:hAnsi="Arial" w:cs="Arial"/>
          <w:i/>
          <w:iCs/>
          <w:sz w:val="24"/>
          <w:szCs w:val="24"/>
        </w:rPr>
        <w:t>p</w:t>
      </w:r>
      <w:r w:rsidRPr="00827C7D">
        <w:rPr>
          <w:rFonts w:ascii="Arial" w:hAnsi="Arial" w:cs="Arial"/>
          <w:sz w:val="24"/>
          <w:szCs w:val="24"/>
        </w:rPr>
        <w:t xml:space="preserve"> &lt; 0.05, **</w:t>
      </w:r>
      <w:r w:rsidRPr="00827C7D">
        <w:rPr>
          <w:rFonts w:ascii="Arial" w:hAnsi="Arial" w:cs="Arial"/>
          <w:i/>
          <w:iCs/>
          <w:sz w:val="24"/>
          <w:szCs w:val="24"/>
        </w:rPr>
        <w:t>p</w:t>
      </w:r>
      <w:r w:rsidRPr="00827C7D">
        <w:rPr>
          <w:rFonts w:ascii="Arial" w:hAnsi="Arial" w:cs="Arial"/>
          <w:sz w:val="24"/>
          <w:szCs w:val="24"/>
        </w:rPr>
        <w:t xml:space="preserve"> &lt; 0.01, ***</w:t>
      </w:r>
      <w:r w:rsidRPr="00827C7D">
        <w:rPr>
          <w:rFonts w:ascii="Arial" w:hAnsi="Arial" w:cs="Arial"/>
          <w:i/>
          <w:iCs/>
          <w:sz w:val="24"/>
          <w:szCs w:val="24"/>
        </w:rPr>
        <w:t>p</w:t>
      </w:r>
      <w:r w:rsidRPr="00827C7D">
        <w:rPr>
          <w:rFonts w:ascii="Arial" w:hAnsi="Arial" w:cs="Arial"/>
          <w:sz w:val="24"/>
          <w:szCs w:val="24"/>
        </w:rPr>
        <w:t xml:space="preserve"> &lt; 0.001, ****</w:t>
      </w:r>
      <w:r w:rsidRPr="00827C7D">
        <w:rPr>
          <w:rFonts w:ascii="Arial" w:hAnsi="Arial" w:cs="Arial"/>
          <w:i/>
          <w:iCs/>
          <w:sz w:val="24"/>
          <w:szCs w:val="24"/>
        </w:rPr>
        <w:t>p</w:t>
      </w:r>
      <w:r w:rsidRPr="00827C7D">
        <w:rPr>
          <w:rFonts w:ascii="Arial" w:hAnsi="Arial" w:cs="Arial"/>
          <w:sz w:val="24"/>
          <w:szCs w:val="24"/>
        </w:rPr>
        <w:t> &lt; 0.0001.</w:t>
      </w:r>
    </w:p>
    <w:p w14:paraId="4A3ED36D" w14:textId="77777777" w:rsidR="001541B7" w:rsidRPr="00827C7D" w:rsidRDefault="001541B7" w:rsidP="001541B7">
      <w:pPr>
        <w:spacing w:line="276" w:lineRule="auto"/>
        <w:jc w:val="both"/>
        <w:rPr>
          <w:rFonts w:ascii="Arial" w:hAnsi="Arial" w:cs="Arial"/>
          <w:sz w:val="24"/>
          <w:szCs w:val="24"/>
        </w:rPr>
      </w:pPr>
      <w:r w:rsidRPr="00827C7D">
        <w:rPr>
          <w:noProof/>
          <w:sz w:val="24"/>
          <w:szCs w:val="24"/>
        </w:rPr>
        <w:drawing>
          <wp:inline distT="0" distB="0" distL="0" distR="0" wp14:anchorId="61988B94" wp14:editId="342FA46D">
            <wp:extent cx="5943600" cy="2260600"/>
            <wp:effectExtent l="0" t="0" r="0" b="0"/>
            <wp:docPr id="6" name="Picture 6"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waterfall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260600"/>
                    </a:xfrm>
                    <a:prstGeom prst="rect">
                      <a:avLst/>
                    </a:prstGeom>
                    <a:noFill/>
                    <a:ln>
                      <a:noFill/>
                    </a:ln>
                  </pic:spPr>
                </pic:pic>
              </a:graphicData>
            </a:graphic>
          </wp:inline>
        </w:drawing>
      </w:r>
    </w:p>
    <w:p w14:paraId="6741E592" w14:textId="77777777" w:rsidR="001541B7" w:rsidRPr="00827C7D" w:rsidRDefault="001541B7" w:rsidP="001541B7">
      <w:pPr>
        <w:spacing w:line="276" w:lineRule="auto"/>
        <w:jc w:val="both"/>
        <w:rPr>
          <w:rFonts w:ascii="Arial" w:hAnsi="Arial" w:cs="Arial"/>
          <w:sz w:val="24"/>
          <w:szCs w:val="24"/>
        </w:rPr>
      </w:pPr>
      <w:r w:rsidRPr="00827C7D">
        <w:rPr>
          <w:rFonts w:ascii="Arial" w:hAnsi="Arial" w:cs="Arial"/>
          <w:b/>
          <w:bCs/>
          <w:sz w:val="24"/>
          <w:szCs w:val="24"/>
        </w:rPr>
        <w:t xml:space="preserve">Figure S6 Evaluation of macrophage recruitment </w:t>
      </w:r>
      <w:r w:rsidRPr="00827C7D">
        <w:rPr>
          <w:rFonts w:ascii="Arial" w:hAnsi="Arial" w:cs="Arial"/>
          <w:b/>
          <w:bCs/>
          <w:i/>
          <w:iCs/>
          <w:sz w:val="24"/>
          <w:szCs w:val="24"/>
        </w:rPr>
        <w:t xml:space="preserve">in vivo </w:t>
      </w:r>
      <w:r w:rsidRPr="00827C7D">
        <w:rPr>
          <w:rFonts w:ascii="Arial" w:hAnsi="Arial" w:cs="Arial"/>
          <w:b/>
          <w:bCs/>
          <w:sz w:val="24"/>
          <w:szCs w:val="24"/>
        </w:rPr>
        <w:t xml:space="preserve">at the subcutaneous implant site. </w:t>
      </w:r>
      <w:r w:rsidRPr="00827C7D">
        <w:rPr>
          <w:rFonts w:ascii="Arial" w:hAnsi="Arial" w:cs="Arial"/>
          <w:sz w:val="24"/>
          <w:szCs w:val="24"/>
        </w:rPr>
        <w:t>Quantification of number of recruited macrophage (CD68, green) surrounding the implants hMSCs/hDF-ECM and hMSC/EC/hDF-ECM and their comparison with control (skin without any implant) at day 3 (A), 7 (B) 14 (C) and 28 (D).</w:t>
      </w:r>
      <w:r w:rsidRPr="00827C7D">
        <w:rPr>
          <w:rFonts w:ascii="Arial" w:hAnsi="Arial" w:cs="Arial"/>
          <w:b/>
          <w:bCs/>
          <w:sz w:val="24"/>
          <w:szCs w:val="24"/>
        </w:rPr>
        <w:t xml:space="preserve"> </w:t>
      </w:r>
      <w:r w:rsidRPr="00827C7D">
        <w:rPr>
          <w:rFonts w:ascii="Arial" w:hAnsi="Arial" w:cs="Arial"/>
          <w:sz w:val="24"/>
          <w:szCs w:val="24"/>
        </w:rPr>
        <w:t>Overall, both hMSC/hDF-ECM and pre-vascularized (hMSC/EC/hDF-ECM) groups similarly showed an increased macrophage recruitment during the first week of implantation, which eventually reduced over time and indicated a lack of ongoing active inflammation. Results displayed as mean ± standard deviation and were considered statistically significant for *</w:t>
      </w:r>
      <w:r w:rsidRPr="00827C7D">
        <w:rPr>
          <w:rFonts w:ascii="Arial" w:hAnsi="Arial" w:cs="Arial"/>
          <w:i/>
          <w:iCs/>
          <w:sz w:val="24"/>
          <w:szCs w:val="24"/>
        </w:rPr>
        <w:t>p</w:t>
      </w:r>
      <w:r w:rsidRPr="00827C7D">
        <w:rPr>
          <w:rFonts w:ascii="Arial" w:hAnsi="Arial" w:cs="Arial"/>
          <w:sz w:val="24"/>
          <w:szCs w:val="24"/>
        </w:rPr>
        <w:t xml:space="preserve"> &lt; 0.05, **</w:t>
      </w:r>
      <w:r w:rsidRPr="00827C7D">
        <w:rPr>
          <w:rFonts w:ascii="Arial" w:hAnsi="Arial" w:cs="Arial"/>
          <w:i/>
          <w:iCs/>
          <w:sz w:val="24"/>
          <w:szCs w:val="24"/>
        </w:rPr>
        <w:t>p</w:t>
      </w:r>
      <w:r w:rsidRPr="00827C7D">
        <w:rPr>
          <w:rFonts w:ascii="Arial" w:hAnsi="Arial" w:cs="Arial"/>
          <w:sz w:val="24"/>
          <w:szCs w:val="24"/>
        </w:rPr>
        <w:t xml:space="preserve"> &lt; 0.01, ***</w:t>
      </w:r>
      <w:r w:rsidRPr="00827C7D">
        <w:rPr>
          <w:rFonts w:ascii="Arial" w:hAnsi="Arial" w:cs="Arial"/>
          <w:i/>
          <w:iCs/>
          <w:sz w:val="24"/>
          <w:szCs w:val="24"/>
        </w:rPr>
        <w:t>p</w:t>
      </w:r>
      <w:r w:rsidRPr="00827C7D">
        <w:rPr>
          <w:rFonts w:ascii="Arial" w:hAnsi="Arial" w:cs="Arial"/>
          <w:sz w:val="24"/>
          <w:szCs w:val="24"/>
        </w:rPr>
        <w:t xml:space="preserve"> &lt; 0.001, ****</w:t>
      </w:r>
      <w:r w:rsidRPr="00827C7D">
        <w:rPr>
          <w:rFonts w:ascii="Arial" w:hAnsi="Arial" w:cs="Arial"/>
          <w:i/>
          <w:iCs/>
          <w:sz w:val="24"/>
          <w:szCs w:val="24"/>
        </w:rPr>
        <w:t>p</w:t>
      </w:r>
      <w:r w:rsidRPr="00827C7D">
        <w:rPr>
          <w:rFonts w:ascii="Arial" w:hAnsi="Arial" w:cs="Arial"/>
          <w:sz w:val="24"/>
          <w:szCs w:val="24"/>
        </w:rPr>
        <w:t> &lt; 0.0001.</w:t>
      </w:r>
    </w:p>
    <w:p w14:paraId="6610FE3C" w14:textId="77777777" w:rsidR="001541B7" w:rsidRPr="00827C7D" w:rsidRDefault="001541B7" w:rsidP="001541B7">
      <w:pPr>
        <w:spacing w:line="276" w:lineRule="auto"/>
        <w:ind w:left="142"/>
        <w:rPr>
          <w:rFonts w:ascii="Arial" w:hAnsi="Arial" w:cs="Arial"/>
          <w:sz w:val="24"/>
          <w:szCs w:val="24"/>
        </w:rPr>
      </w:pPr>
    </w:p>
    <w:p w14:paraId="34F628BA" w14:textId="77777777" w:rsidR="001541B7" w:rsidRPr="00827C7D" w:rsidRDefault="001541B7" w:rsidP="001541B7">
      <w:pPr>
        <w:spacing w:line="276" w:lineRule="auto"/>
        <w:jc w:val="both"/>
        <w:rPr>
          <w:rFonts w:ascii="Arial" w:hAnsi="Arial" w:cs="Arial"/>
          <w:b/>
          <w:bCs/>
          <w:sz w:val="24"/>
          <w:szCs w:val="24"/>
        </w:rPr>
      </w:pPr>
      <w:r w:rsidRPr="00827C7D">
        <w:rPr>
          <w:rFonts w:ascii="Arial" w:hAnsi="Arial" w:cs="Arial"/>
          <w:b/>
          <w:bCs/>
          <w:sz w:val="24"/>
          <w:szCs w:val="24"/>
        </w:rPr>
        <w:t> Table S1. List of primer sequences</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0"/>
        <w:gridCol w:w="3840"/>
        <w:gridCol w:w="3977"/>
      </w:tblGrid>
      <w:tr w:rsidR="001541B7" w:rsidRPr="00827C7D" w14:paraId="060B9863" w14:textId="77777777" w:rsidTr="00C1119E">
        <w:trPr>
          <w:trHeight w:val="204"/>
        </w:trPr>
        <w:tc>
          <w:tcPr>
            <w:tcW w:w="980" w:type="dxa"/>
            <w:shd w:val="clear" w:color="auto" w:fill="auto"/>
            <w:noWrap/>
            <w:vAlign w:val="bottom"/>
            <w:hideMark/>
          </w:tcPr>
          <w:p w14:paraId="628534BF" w14:textId="77777777" w:rsidR="001541B7" w:rsidRPr="00827C7D" w:rsidRDefault="001541B7" w:rsidP="00C1119E">
            <w:pPr>
              <w:spacing w:after="0" w:line="240" w:lineRule="auto"/>
              <w:jc w:val="center"/>
              <w:rPr>
                <w:rFonts w:ascii="Arial" w:eastAsia="Times New Roman" w:hAnsi="Arial" w:cs="Arial"/>
                <w:b/>
                <w:bCs/>
                <w:color w:val="000000"/>
                <w:sz w:val="24"/>
                <w:szCs w:val="24"/>
              </w:rPr>
            </w:pPr>
            <w:r w:rsidRPr="00827C7D">
              <w:rPr>
                <w:rFonts w:ascii="Arial" w:eastAsia="Times New Roman" w:hAnsi="Arial" w:cs="Arial"/>
                <w:b/>
                <w:bCs/>
                <w:color w:val="000000"/>
                <w:sz w:val="24"/>
                <w:szCs w:val="24"/>
              </w:rPr>
              <w:t>Gene</w:t>
            </w:r>
          </w:p>
        </w:tc>
        <w:tc>
          <w:tcPr>
            <w:tcW w:w="3840" w:type="dxa"/>
            <w:shd w:val="clear" w:color="auto" w:fill="auto"/>
            <w:noWrap/>
            <w:vAlign w:val="bottom"/>
            <w:hideMark/>
          </w:tcPr>
          <w:p w14:paraId="2B4560AD" w14:textId="77777777" w:rsidR="001541B7" w:rsidRPr="00827C7D" w:rsidRDefault="001541B7" w:rsidP="00C1119E">
            <w:pPr>
              <w:spacing w:after="0" w:line="240" w:lineRule="auto"/>
              <w:jc w:val="center"/>
              <w:rPr>
                <w:rFonts w:ascii="Arial" w:eastAsia="Times New Roman" w:hAnsi="Arial" w:cs="Arial"/>
                <w:b/>
                <w:bCs/>
                <w:color w:val="000000"/>
                <w:sz w:val="24"/>
                <w:szCs w:val="24"/>
              </w:rPr>
            </w:pPr>
            <w:r w:rsidRPr="00827C7D">
              <w:rPr>
                <w:rFonts w:ascii="Arial" w:eastAsia="Times New Roman" w:hAnsi="Arial" w:cs="Arial"/>
                <w:b/>
                <w:bCs/>
                <w:color w:val="000000"/>
                <w:sz w:val="24"/>
                <w:szCs w:val="24"/>
              </w:rPr>
              <w:t>Forward sequence</w:t>
            </w:r>
          </w:p>
        </w:tc>
        <w:tc>
          <w:tcPr>
            <w:tcW w:w="3969" w:type="dxa"/>
            <w:shd w:val="clear" w:color="auto" w:fill="auto"/>
            <w:noWrap/>
            <w:vAlign w:val="bottom"/>
            <w:hideMark/>
          </w:tcPr>
          <w:p w14:paraId="1F9A85CC" w14:textId="77777777" w:rsidR="001541B7" w:rsidRPr="00827C7D" w:rsidRDefault="001541B7" w:rsidP="00C1119E">
            <w:pPr>
              <w:spacing w:after="0" w:line="240" w:lineRule="auto"/>
              <w:jc w:val="center"/>
              <w:rPr>
                <w:rFonts w:ascii="Arial" w:eastAsia="Times New Roman" w:hAnsi="Arial" w:cs="Arial"/>
                <w:b/>
                <w:bCs/>
                <w:color w:val="000000"/>
                <w:sz w:val="24"/>
                <w:szCs w:val="24"/>
              </w:rPr>
            </w:pPr>
            <w:r w:rsidRPr="00827C7D">
              <w:rPr>
                <w:rFonts w:ascii="Arial" w:eastAsia="Times New Roman" w:hAnsi="Arial" w:cs="Arial"/>
                <w:b/>
                <w:bCs/>
                <w:color w:val="000000"/>
                <w:sz w:val="24"/>
                <w:szCs w:val="24"/>
              </w:rPr>
              <w:t>Reverse sequence</w:t>
            </w:r>
          </w:p>
        </w:tc>
      </w:tr>
      <w:tr w:rsidR="001541B7" w:rsidRPr="00827C7D" w14:paraId="0634CA05" w14:textId="77777777" w:rsidTr="00C1119E">
        <w:trPr>
          <w:trHeight w:val="204"/>
        </w:trPr>
        <w:tc>
          <w:tcPr>
            <w:tcW w:w="980" w:type="dxa"/>
            <w:shd w:val="clear" w:color="auto" w:fill="auto"/>
            <w:noWrap/>
            <w:vAlign w:val="bottom"/>
            <w:hideMark/>
          </w:tcPr>
          <w:p w14:paraId="05E1C710" w14:textId="77777777" w:rsidR="001541B7" w:rsidRPr="00827C7D" w:rsidRDefault="001541B7" w:rsidP="00C1119E">
            <w:pPr>
              <w:spacing w:after="0" w:line="240" w:lineRule="auto"/>
              <w:rPr>
                <w:rFonts w:ascii="Arial" w:eastAsia="Times New Roman" w:hAnsi="Arial" w:cs="Arial"/>
                <w:color w:val="000000"/>
                <w:sz w:val="24"/>
                <w:szCs w:val="24"/>
              </w:rPr>
            </w:pPr>
          </w:p>
        </w:tc>
        <w:tc>
          <w:tcPr>
            <w:tcW w:w="3840" w:type="dxa"/>
            <w:shd w:val="clear" w:color="auto" w:fill="auto"/>
            <w:noWrap/>
            <w:vAlign w:val="bottom"/>
            <w:hideMark/>
          </w:tcPr>
          <w:p w14:paraId="419E7406" w14:textId="77777777" w:rsidR="001541B7" w:rsidRPr="00827C7D" w:rsidRDefault="001541B7" w:rsidP="00C1119E">
            <w:pPr>
              <w:spacing w:after="0" w:line="240" w:lineRule="auto"/>
              <w:rPr>
                <w:rFonts w:ascii="Times New Roman" w:eastAsia="Times New Roman" w:hAnsi="Times New Roman" w:cs="Times New Roman"/>
                <w:sz w:val="24"/>
                <w:szCs w:val="24"/>
              </w:rPr>
            </w:pPr>
          </w:p>
        </w:tc>
        <w:tc>
          <w:tcPr>
            <w:tcW w:w="3969" w:type="dxa"/>
            <w:shd w:val="clear" w:color="auto" w:fill="auto"/>
            <w:noWrap/>
            <w:vAlign w:val="bottom"/>
            <w:hideMark/>
          </w:tcPr>
          <w:p w14:paraId="76D5E165" w14:textId="77777777" w:rsidR="001541B7" w:rsidRPr="00827C7D" w:rsidRDefault="001541B7" w:rsidP="00C1119E">
            <w:pPr>
              <w:spacing w:after="0" w:line="240" w:lineRule="auto"/>
              <w:rPr>
                <w:rFonts w:ascii="Times New Roman" w:eastAsia="Times New Roman" w:hAnsi="Times New Roman" w:cs="Times New Roman"/>
                <w:sz w:val="24"/>
                <w:szCs w:val="24"/>
              </w:rPr>
            </w:pPr>
          </w:p>
        </w:tc>
      </w:tr>
      <w:tr w:rsidR="001541B7" w:rsidRPr="00827C7D" w14:paraId="528AE42F" w14:textId="77777777" w:rsidTr="00C1119E">
        <w:trPr>
          <w:trHeight w:val="204"/>
        </w:trPr>
        <w:tc>
          <w:tcPr>
            <w:tcW w:w="980" w:type="dxa"/>
            <w:shd w:val="clear" w:color="auto" w:fill="auto"/>
            <w:noWrap/>
            <w:vAlign w:val="bottom"/>
            <w:hideMark/>
          </w:tcPr>
          <w:p w14:paraId="3236CBB4" w14:textId="77777777" w:rsidR="001541B7" w:rsidRPr="00827C7D" w:rsidRDefault="001541B7" w:rsidP="00C1119E">
            <w:pPr>
              <w:spacing w:after="0" w:line="240" w:lineRule="auto"/>
              <w:rPr>
                <w:rFonts w:ascii="Arial" w:eastAsia="Times New Roman" w:hAnsi="Arial" w:cs="Arial"/>
                <w:color w:val="000000"/>
                <w:sz w:val="24"/>
                <w:szCs w:val="24"/>
              </w:rPr>
            </w:pPr>
            <w:r w:rsidRPr="00827C7D">
              <w:rPr>
                <w:rFonts w:ascii="Arial" w:eastAsia="Times New Roman" w:hAnsi="Arial" w:cs="Arial"/>
                <w:color w:val="000000"/>
                <w:sz w:val="24"/>
                <w:szCs w:val="24"/>
              </w:rPr>
              <w:t>CD14</w:t>
            </w:r>
          </w:p>
        </w:tc>
        <w:tc>
          <w:tcPr>
            <w:tcW w:w="3840" w:type="dxa"/>
            <w:shd w:val="clear" w:color="auto" w:fill="auto"/>
            <w:noWrap/>
            <w:vAlign w:val="bottom"/>
            <w:hideMark/>
          </w:tcPr>
          <w:p w14:paraId="7B318078" w14:textId="77777777" w:rsidR="001541B7" w:rsidRPr="00827C7D" w:rsidRDefault="001541B7" w:rsidP="00C1119E">
            <w:pPr>
              <w:spacing w:after="0" w:line="240" w:lineRule="auto"/>
              <w:rPr>
                <w:rFonts w:ascii="Arial" w:eastAsia="Times New Roman" w:hAnsi="Arial" w:cs="Arial"/>
                <w:color w:val="000000"/>
                <w:sz w:val="24"/>
                <w:szCs w:val="24"/>
              </w:rPr>
            </w:pPr>
            <w:r w:rsidRPr="00827C7D">
              <w:rPr>
                <w:rFonts w:ascii="Arial" w:eastAsia="Times New Roman" w:hAnsi="Arial" w:cs="Arial"/>
                <w:color w:val="000000"/>
                <w:sz w:val="24"/>
                <w:szCs w:val="24"/>
              </w:rPr>
              <w:t>5' - GATTCATAAACTGTCAGAGGC</w:t>
            </w:r>
          </w:p>
        </w:tc>
        <w:tc>
          <w:tcPr>
            <w:tcW w:w="3969" w:type="dxa"/>
            <w:shd w:val="clear" w:color="auto" w:fill="auto"/>
            <w:noWrap/>
            <w:vAlign w:val="bottom"/>
            <w:hideMark/>
          </w:tcPr>
          <w:p w14:paraId="351A71C2" w14:textId="77777777" w:rsidR="001541B7" w:rsidRPr="00827C7D" w:rsidRDefault="001541B7" w:rsidP="00C1119E">
            <w:pPr>
              <w:spacing w:after="0" w:line="240" w:lineRule="auto"/>
              <w:rPr>
                <w:rFonts w:ascii="Arial" w:eastAsia="Times New Roman" w:hAnsi="Arial" w:cs="Arial"/>
                <w:color w:val="000000"/>
                <w:sz w:val="24"/>
                <w:szCs w:val="24"/>
              </w:rPr>
            </w:pPr>
            <w:r w:rsidRPr="00827C7D">
              <w:rPr>
                <w:rFonts w:ascii="Arial" w:eastAsia="Times New Roman" w:hAnsi="Arial" w:cs="Arial"/>
                <w:color w:val="000000"/>
                <w:sz w:val="24"/>
                <w:szCs w:val="24"/>
              </w:rPr>
              <w:t>5' - TCCATGGTCGATAAGTCTTC</w:t>
            </w:r>
          </w:p>
        </w:tc>
      </w:tr>
      <w:tr w:rsidR="001541B7" w:rsidRPr="00827C7D" w14:paraId="0B8C32C6" w14:textId="77777777" w:rsidTr="00C1119E">
        <w:trPr>
          <w:trHeight w:val="204"/>
        </w:trPr>
        <w:tc>
          <w:tcPr>
            <w:tcW w:w="980" w:type="dxa"/>
            <w:shd w:val="clear" w:color="auto" w:fill="auto"/>
            <w:noWrap/>
            <w:vAlign w:val="bottom"/>
            <w:hideMark/>
          </w:tcPr>
          <w:p w14:paraId="3560CE92" w14:textId="77777777" w:rsidR="001541B7" w:rsidRPr="00827C7D" w:rsidRDefault="001541B7" w:rsidP="00C1119E">
            <w:pPr>
              <w:spacing w:after="0" w:line="240" w:lineRule="auto"/>
              <w:rPr>
                <w:rFonts w:ascii="Arial" w:eastAsia="Times New Roman" w:hAnsi="Arial" w:cs="Arial"/>
                <w:color w:val="000000"/>
                <w:sz w:val="24"/>
                <w:szCs w:val="24"/>
              </w:rPr>
            </w:pPr>
          </w:p>
        </w:tc>
        <w:tc>
          <w:tcPr>
            <w:tcW w:w="3840" w:type="dxa"/>
            <w:shd w:val="clear" w:color="auto" w:fill="auto"/>
            <w:noWrap/>
            <w:vAlign w:val="bottom"/>
            <w:hideMark/>
          </w:tcPr>
          <w:p w14:paraId="5DE1754E" w14:textId="77777777" w:rsidR="001541B7" w:rsidRPr="00827C7D" w:rsidRDefault="001541B7" w:rsidP="00C1119E">
            <w:pPr>
              <w:spacing w:after="0" w:line="240" w:lineRule="auto"/>
              <w:rPr>
                <w:rFonts w:ascii="Times New Roman" w:eastAsia="Times New Roman" w:hAnsi="Times New Roman" w:cs="Times New Roman"/>
                <w:sz w:val="24"/>
                <w:szCs w:val="24"/>
              </w:rPr>
            </w:pPr>
          </w:p>
        </w:tc>
        <w:tc>
          <w:tcPr>
            <w:tcW w:w="3969" w:type="dxa"/>
            <w:shd w:val="clear" w:color="auto" w:fill="auto"/>
            <w:noWrap/>
            <w:vAlign w:val="bottom"/>
            <w:hideMark/>
          </w:tcPr>
          <w:p w14:paraId="2D5E0901" w14:textId="77777777" w:rsidR="001541B7" w:rsidRPr="00827C7D" w:rsidRDefault="001541B7" w:rsidP="00C1119E">
            <w:pPr>
              <w:spacing w:after="0" w:line="240" w:lineRule="auto"/>
              <w:rPr>
                <w:rFonts w:ascii="Times New Roman" w:eastAsia="Times New Roman" w:hAnsi="Times New Roman" w:cs="Times New Roman"/>
                <w:sz w:val="24"/>
                <w:szCs w:val="24"/>
              </w:rPr>
            </w:pPr>
          </w:p>
        </w:tc>
      </w:tr>
      <w:tr w:rsidR="001541B7" w:rsidRPr="00827C7D" w14:paraId="3FA1C561" w14:textId="77777777" w:rsidTr="00C1119E">
        <w:trPr>
          <w:trHeight w:val="204"/>
        </w:trPr>
        <w:tc>
          <w:tcPr>
            <w:tcW w:w="980" w:type="dxa"/>
            <w:shd w:val="clear" w:color="auto" w:fill="auto"/>
            <w:noWrap/>
            <w:vAlign w:val="bottom"/>
            <w:hideMark/>
          </w:tcPr>
          <w:p w14:paraId="1C848D61" w14:textId="77777777" w:rsidR="001541B7" w:rsidRPr="00827C7D" w:rsidRDefault="001541B7" w:rsidP="00C1119E">
            <w:pPr>
              <w:spacing w:after="0" w:line="240" w:lineRule="auto"/>
              <w:rPr>
                <w:rFonts w:ascii="Arial" w:eastAsia="Times New Roman" w:hAnsi="Arial" w:cs="Arial"/>
                <w:color w:val="000000"/>
                <w:sz w:val="24"/>
                <w:szCs w:val="24"/>
              </w:rPr>
            </w:pPr>
            <w:r w:rsidRPr="00827C7D">
              <w:rPr>
                <w:rFonts w:ascii="Arial" w:eastAsia="Times New Roman" w:hAnsi="Arial" w:cs="Arial"/>
                <w:color w:val="000000"/>
                <w:sz w:val="24"/>
                <w:szCs w:val="24"/>
              </w:rPr>
              <w:t>CD68</w:t>
            </w:r>
          </w:p>
        </w:tc>
        <w:tc>
          <w:tcPr>
            <w:tcW w:w="3840" w:type="dxa"/>
            <w:shd w:val="clear" w:color="auto" w:fill="auto"/>
            <w:noWrap/>
            <w:vAlign w:val="bottom"/>
            <w:hideMark/>
          </w:tcPr>
          <w:p w14:paraId="2430859A" w14:textId="77777777" w:rsidR="001541B7" w:rsidRPr="00827C7D" w:rsidRDefault="001541B7" w:rsidP="00C1119E">
            <w:pPr>
              <w:spacing w:after="0" w:line="240" w:lineRule="auto"/>
              <w:rPr>
                <w:rFonts w:ascii="Arial" w:eastAsia="Times New Roman" w:hAnsi="Arial" w:cs="Arial"/>
                <w:color w:val="000000"/>
                <w:sz w:val="24"/>
                <w:szCs w:val="24"/>
              </w:rPr>
            </w:pPr>
            <w:r w:rsidRPr="00827C7D">
              <w:rPr>
                <w:rFonts w:ascii="Arial" w:eastAsia="Times New Roman" w:hAnsi="Arial" w:cs="Arial"/>
                <w:color w:val="000000"/>
                <w:sz w:val="24"/>
                <w:szCs w:val="24"/>
              </w:rPr>
              <w:t>5' - GTACTGAACCCCAACAAAAC</w:t>
            </w:r>
          </w:p>
        </w:tc>
        <w:tc>
          <w:tcPr>
            <w:tcW w:w="3969" w:type="dxa"/>
            <w:shd w:val="clear" w:color="auto" w:fill="auto"/>
            <w:noWrap/>
            <w:vAlign w:val="bottom"/>
            <w:hideMark/>
          </w:tcPr>
          <w:p w14:paraId="748223BB" w14:textId="77777777" w:rsidR="001541B7" w:rsidRPr="00827C7D" w:rsidRDefault="001541B7" w:rsidP="00C1119E">
            <w:pPr>
              <w:spacing w:after="0" w:line="240" w:lineRule="auto"/>
              <w:rPr>
                <w:rFonts w:ascii="Arial" w:eastAsia="Times New Roman" w:hAnsi="Arial" w:cs="Arial"/>
                <w:color w:val="000000"/>
                <w:sz w:val="24"/>
                <w:szCs w:val="24"/>
              </w:rPr>
            </w:pPr>
            <w:r w:rsidRPr="00827C7D">
              <w:rPr>
                <w:rFonts w:ascii="Arial" w:eastAsia="Times New Roman" w:hAnsi="Arial" w:cs="Arial"/>
                <w:color w:val="000000"/>
                <w:sz w:val="24"/>
                <w:szCs w:val="24"/>
              </w:rPr>
              <w:t>5' - ATGTAGCTCAGGTAGACAAC</w:t>
            </w:r>
          </w:p>
        </w:tc>
      </w:tr>
      <w:tr w:rsidR="001541B7" w:rsidRPr="00827C7D" w14:paraId="00C1A812" w14:textId="77777777" w:rsidTr="00C1119E">
        <w:trPr>
          <w:trHeight w:val="204"/>
        </w:trPr>
        <w:tc>
          <w:tcPr>
            <w:tcW w:w="980" w:type="dxa"/>
            <w:shd w:val="clear" w:color="auto" w:fill="auto"/>
            <w:noWrap/>
            <w:vAlign w:val="bottom"/>
            <w:hideMark/>
          </w:tcPr>
          <w:p w14:paraId="3C1DEB3D" w14:textId="77777777" w:rsidR="001541B7" w:rsidRPr="00827C7D" w:rsidRDefault="001541B7" w:rsidP="00C1119E">
            <w:pPr>
              <w:spacing w:after="0" w:line="240" w:lineRule="auto"/>
              <w:rPr>
                <w:rFonts w:ascii="Arial" w:eastAsia="Times New Roman" w:hAnsi="Arial" w:cs="Arial"/>
                <w:color w:val="000000"/>
                <w:sz w:val="24"/>
                <w:szCs w:val="24"/>
              </w:rPr>
            </w:pPr>
          </w:p>
        </w:tc>
        <w:tc>
          <w:tcPr>
            <w:tcW w:w="3840" w:type="dxa"/>
            <w:shd w:val="clear" w:color="auto" w:fill="auto"/>
            <w:noWrap/>
            <w:vAlign w:val="bottom"/>
            <w:hideMark/>
          </w:tcPr>
          <w:p w14:paraId="62D64432" w14:textId="77777777" w:rsidR="001541B7" w:rsidRPr="00827C7D" w:rsidRDefault="001541B7" w:rsidP="00C1119E">
            <w:pPr>
              <w:spacing w:after="0" w:line="240" w:lineRule="auto"/>
              <w:rPr>
                <w:rFonts w:ascii="Times New Roman" w:eastAsia="Times New Roman" w:hAnsi="Times New Roman" w:cs="Times New Roman"/>
                <w:sz w:val="24"/>
                <w:szCs w:val="24"/>
              </w:rPr>
            </w:pPr>
          </w:p>
        </w:tc>
        <w:tc>
          <w:tcPr>
            <w:tcW w:w="3969" w:type="dxa"/>
            <w:shd w:val="clear" w:color="auto" w:fill="auto"/>
            <w:noWrap/>
            <w:vAlign w:val="bottom"/>
            <w:hideMark/>
          </w:tcPr>
          <w:p w14:paraId="5103257A" w14:textId="77777777" w:rsidR="001541B7" w:rsidRPr="00827C7D" w:rsidRDefault="001541B7" w:rsidP="00C1119E">
            <w:pPr>
              <w:spacing w:after="0" w:line="240" w:lineRule="auto"/>
              <w:rPr>
                <w:rFonts w:ascii="Times New Roman" w:eastAsia="Times New Roman" w:hAnsi="Times New Roman" w:cs="Times New Roman"/>
                <w:sz w:val="24"/>
                <w:szCs w:val="24"/>
              </w:rPr>
            </w:pPr>
          </w:p>
        </w:tc>
      </w:tr>
      <w:tr w:rsidR="001541B7" w:rsidRPr="00827C7D" w14:paraId="2D36E645" w14:textId="77777777" w:rsidTr="00C1119E">
        <w:trPr>
          <w:trHeight w:val="204"/>
        </w:trPr>
        <w:tc>
          <w:tcPr>
            <w:tcW w:w="980" w:type="dxa"/>
            <w:shd w:val="clear" w:color="auto" w:fill="auto"/>
            <w:noWrap/>
            <w:vAlign w:val="bottom"/>
            <w:hideMark/>
          </w:tcPr>
          <w:p w14:paraId="2059597D" w14:textId="77777777" w:rsidR="001541B7" w:rsidRPr="00827C7D" w:rsidRDefault="001541B7" w:rsidP="00C1119E">
            <w:pPr>
              <w:spacing w:after="0" w:line="240" w:lineRule="auto"/>
              <w:rPr>
                <w:rFonts w:ascii="Arial" w:eastAsia="Times New Roman" w:hAnsi="Arial" w:cs="Arial"/>
                <w:color w:val="000000"/>
                <w:sz w:val="24"/>
                <w:szCs w:val="24"/>
              </w:rPr>
            </w:pPr>
            <w:r w:rsidRPr="00827C7D">
              <w:rPr>
                <w:rFonts w:ascii="Arial" w:eastAsia="Times New Roman" w:hAnsi="Arial" w:cs="Arial"/>
                <w:color w:val="000000"/>
                <w:sz w:val="24"/>
                <w:szCs w:val="24"/>
              </w:rPr>
              <w:t>CD80</w:t>
            </w:r>
          </w:p>
        </w:tc>
        <w:tc>
          <w:tcPr>
            <w:tcW w:w="3840" w:type="dxa"/>
            <w:shd w:val="clear" w:color="auto" w:fill="auto"/>
            <w:noWrap/>
            <w:vAlign w:val="bottom"/>
            <w:hideMark/>
          </w:tcPr>
          <w:p w14:paraId="1ECAC490" w14:textId="77777777" w:rsidR="001541B7" w:rsidRPr="00827C7D" w:rsidRDefault="001541B7" w:rsidP="00C1119E">
            <w:pPr>
              <w:spacing w:after="0" w:line="240" w:lineRule="auto"/>
              <w:rPr>
                <w:rFonts w:ascii="Arial" w:eastAsia="Times New Roman" w:hAnsi="Arial" w:cs="Arial"/>
                <w:color w:val="000000"/>
                <w:sz w:val="24"/>
                <w:szCs w:val="24"/>
              </w:rPr>
            </w:pPr>
            <w:r w:rsidRPr="00827C7D">
              <w:rPr>
                <w:rFonts w:ascii="Arial" w:eastAsia="Times New Roman" w:hAnsi="Arial" w:cs="Arial"/>
                <w:color w:val="000000"/>
                <w:sz w:val="24"/>
                <w:szCs w:val="24"/>
              </w:rPr>
              <w:t>5' - AGGAGGAATGAGAGATTGAG</w:t>
            </w:r>
          </w:p>
        </w:tc>
        <w:tc>
          <w:tcPr>
            <w:tcW w:w="3969" w:type="dxa"/>
            <w:shd w:val="clear" w:color="auto" w:fill="auto"/>
            <w:noWrap/>
            <w:vAlign w:val="bottom"/>
            <w:hideMark/>
          </w:tcPr>
          <w:p w14:paraId="63E39779" w14:textId="77777777" w:rsidR="001541B7" w:rsidRPr="00827C7D" w:rsidRDefault="001541B7" w:rsidP="00C1119E">
            <w:pPr>
              <w:spacing w:after="0" w:line="240" w:lineRule="auto"/>
              <w:rPr>
                <w:rFonts w:ascii="Arial" w:eastAsia="Times New Roman" w:hAnsi="Arial" w:cs="Arial"/>
                <w:color w:val="000000"/>
                <w:sz w:val="24"/>
                <w:szCs w:val="24"/>
              </w:rPr>
            </w:pPr>
            <w:r w:rsidRPr="00827C7D">
              <w:rPr>
                <w:rFonts w:ascii="Arial" w:eastAsia="Times New Roman" w:hAnsi="Arial" w:cs="Arial"/>
                <w:color w:val="000000"/>
                <w:sz w:val="24"/>
                <w:szCs w:val="24"/>
              </w:rPr>
              <w:t>5' - GACCTTCAGATCTTTTCAGC</w:t>
            </w:r>
          </w:p>
        </w:tc>
      </w:tr>
      <w:tr w:rsidR="001541B7" w:rsidRPr="00827C7D" w14:paraId="111D50D8" w14:textId="77777777" w:rsidTr="00C1119E">
        <w:trPr>
          <w:trHeight w:val="204"/>
        </w:trPr>
        <w:tc>
          <w:tcPr>
            <w:tcW w:w="980" w:type="dxa"/>
            <w:shd w:val="clear" w:color="auto" w:fill="auto"/>
            <w:noWrap/>
            <w:vAlign w:val="bottom"/>
            <w:hideMark/>
          </w:tcPr>
          <w:p w14:paraId="2E2CB70A" w14:textId="77777777" w:rsidR="001541B7" w:rsidRPr="00827C7D" w:rsidRDefault="001541B7" w:rsidP="00C1119E">
            <w:pPr>
              <w:spacing w:after="0" w:line="240" w:lineRule="auto"/>
              <w:rPr>
                <w:rFonts w:ascii="Arial" w:eastAsia="Times New Roman" w:hAnsi="Arial" w:cs="Arial"/>
                <w:color w:val="000000"/>
                <w:sz w:val="24"/>
                <w:szCs w:val="24"/>
              </w:rPr>
            </w:pPr>
          </w:p>
        </w:tc>
        <w:tc>
          <w:tcPr>
            <w:tcW w:w="3840" w:type="dxa"/>
            <w:shd w:val="clear" w:color="auto" w:fill="auto"/>
            <w:noWrap/>
            <w:vAlign w:val="bottom"/>
            <w:hideMark/>
          </w:tcPr>
          <w:p w14:paraId="0476C989" w14:textId="77777777" w:rsidR="001541B7" w:rsidRPr="00827C7D" w:rsidRDefault="001541B7" w:rsidP="00C1119E">
            <w:pPr>
              <w:spacing w:after="0" w:line="240" w:lineRule="auto"/>
              <w:rPr>
                <w:rFonts w:ascii="Times New Roman" w:eastAsia="Times New Roman" w:hAnsi="Times New Roman" w:cs="Times New Roman"/>
                <w:sz w:val="24"/>
                <w:szCs w:val="24"/>
              </w:rPr>
            </w:pPr>
          </w:p>
        </w:tc>
        <w:tc>
          <w:tcPr>
            <w:tcW w:w="3969" w:type="dxa"/>
            <w:shd w:val="clear" w:color="auto" w:fill="auto"/>
            <w:noWrap/>
            <w:vAlign w:val="bottom"/>
            <w:hideMark/>
          </w:tcPr>
          <w:p w14:paraId="5C1E4A82" w14:textId="77777777" w:rsidR="001541B7" w:rsidRPr="00827C7D" w:rsidRDefault="001541B7" w:rsidP="00C1119E">
            <w:pPr>
              <w:spacing w:after="0" w:line="240" w:lineRule="auto"/>
              <w:rPr>
                <w:rFonts w:ascii="Times New Roman" w:eastAsia="Times New Roman" w:hAnsi="Times New Roman" w:cs="Times New Roman"/>
                <w:sz w:val="24"/>
                <w:szCs w:val="24"/>
              </w:rPr>
            </w:pPr>
          </w:p>
        </w:tc>
      </w:tr>
      <w:tr w:rsidR="001541B7" w:rsidRPr="00827C7D" w14:paraId="45178183" w14:textId="77777777" w:rsidTr="00C1119E">
        <w:trPr>
          <w:trHeight w:val="204"/>
        </w:trPr>
        <w:tc>
          <w:tcPr>
            <w:tcW w:w="980" w:type="dxa"/>
            <w:shd w:val="clear" w:color="auto" w:fill="auto"/>
            <w:noWrap/>
            <w:vAlign w:val="bottom"/>
            <w:hideMark/>
          </w:tcPr>
          <w:p w14:paraId="2CB32C5C" w14:textId="77777777" w:rsidR="001541B7" w:rsidRPr="00827C7D" w:rsidRDefault="001541B7" w:rsidP="00C1119E">
            <w:pPr>
              <w:spacing w:after="0" w:line="240" w:lineRule="auto"/>
              <w:rPr>
                <w:rFonts w:ascii="Arial" w:eastAsia="Times New Roman" w:hAnsi="Arial" w:cs="Arial"/>
                <w:color w:val="000000"/>
                <w:sz w:val="24"/>
                <w:szCs w:val="24"/>
              </w:rPr>
            </w:pPr>
            <w:r w:rsidRPr="00827C7D">
              <w:rPr>
                <w:rFonts w:ascii="Arial" w:eastAsia="Times New Roman" w:hAnsi="Arial" w:cs="Arial"/>
                <w:color w:val="000000"/>
                <w:sz w:val="24"/>
                <w:szCs w:val="24"/>
              </w:rPr>
              <w:t>GAPDH</w:t>
            </w:r>
          </w:p>
        </w:tc>
        <w:tc>
          <w:tcPr>
            <w:tcW w:w="3840" w:type="dxa"/>
            <w:shd w:val="clear" w:color="auto" w:fill="auto"/>
            <w:noWrap/>
            <w:vAlign w:val="bottom"/>
            <w:hideMark/>
          </w:tcPr>
          <w:p w14:paraId="70B9A09B" w14:textId="77777777" w:rsidR="001541B7" w:rsidRPr="00827C7D" w:rsidRDefault="001541B7" w:rsidP="00C1119E">
            <w:pPr>
              <w:spacing w:after="0" w:line="240" w:lineRule="auto"/>
              <w:rPr>
                <w:rFonts w:ascii="Arial" w:eastAsia="Times New Roman" w:hAnsi="Arial" w:cs="Arial"/>
                <w:color w:val="000000"/>
                <w:sz w:val="24"/>
                <w:szCs w:val="24"/>
              </w:rPr>
            </w:pPr>
            <w:r w:rsidRPr="00827C7D">
              <w:rPr>
                <w:rFonts w:ascii="Arial" w:eastAsia="Times New Roman" w:hAnsi="Arial" w:cs="Arial"/>
                <w:color w:val="000000"/>
                <w:sz w:val="24"/>
                <w:szCs w:val="24"/>
              </w:rPr>
              <w:t>5' - TCGGAGTCAACGGATTG</w:t>
            </w:r>
          </w:p>
        </w:tc>
        <w:tc>
          <w:tcPr>
            <w:tcW w:w="3969" w:type="dxa"/>
            <w:shd w:val="clear" w:color="auto" w:fill="auto"/>
            <w:noWrap/>
            <w:vAlign w:val="bottom"/>
            <w:hideMark/>
          </w:tcPr>
          <w:p w14:paraId="1C535CB0" w14:textId="77777777" w:rsidR="001541B7" w:rsidRPr="00827C7D" w:rsidRDefault="001541B7" w:rsidP="00C1119E">
            <w:pPr>
              <w:spacing w:after="0" w:line="240" w:lineRule="auto"/>
              <w:rPr>
                <w:rFonts w:ascii="Arial" w:eastAsia="Times New Roman" w:hAnsi="Arial" w:cs="Arial"/>
                <w:color w:val="000000"/>
                <w:sz w:val="24"/>
                <w:szCs w:val="24"/>
              </w:rPr>
            </w:pPr>
            <w:r w:rsidRPr="00827C7D">
              <w:rPr>
                <w:rFonts w:ascii="Arial" w:eastAsia="Times New Roman" w:hAnsi="Arial" w:cs="Arial"/>
                <w:color w:val="000000"/>
                <w:sz w:val="24"/>
                <w:szCs w:val="24"/>
              </w:rPr>
              <w:t>5' - CAACAATATCCACTTTACCAGAG</w:t>
            </w:r>
          </w:p>
        </w:tc>
      </w:tr>
      <w:bookmarkEnd w:id="1"/>
    </w:tbl>
    <w:p w14:paraId="31D0538F" w14:textId="77777777" w:rsidR="001541B7" w:rsidRPr="00827C7D" w:rsidRDefault="001541B7" w:rsidP="001541B7">
      <w:pPr>
        <w:spacing w:line="276" w:lineRule="auto"/>
        <w:ind w:left="142"/>
        <w:rPr>
          <w:rFonts w:ascii="Arial" w:hAnsi="Arial" w:cs="Arial"/>
          <w:sz w:val="24"/>
          <w:szCs w:val="24"/>
        </w:rPr>
      </w:pPr>
    </w:p>
    <w:p w14:paraId="0AABBC4D" w14:textId="77777777" w:rsidR="00000F57" w:rsidRDefault="001541B7"/>
    <w:sectPr w:rsidR="00000F5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1B7"/>
    <w:rsid w:val="0007695B"/>
    <w:rsid w:val="001541B7"/>
    <w:rsid w:val="005615C6"/>
    <w:rsid w:val="005E078B"/>
    <w:rsid w:val="00781D71"/>
    <w:rsid w:val="007D4061"/>
    <w:rsid w:val="008B4EED"/>
    <w:rsid w:val="00B03778"/>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5D37B"/>
  <w15:chartTrackingRefBased/>
  <w15:docId w15:val="{A1AAB896-5758-4BE8-A177-CB491F416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1B7"/>
    <w:rPr>
      <w:szCs w:val="20"/>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704</Words>
  <Characters>4018</Characters>
  <Application>Microsoft Office Word</Application>
  <DocSecurity>0</DocSecurity>
  <Lines>33</Lines>
  <Paragraphs>9</Paragraphs>
  <ScaleCrop>false</ScaleCrop>
  <Company>Springer Nature</Company>
  <LinksUpToDate>false</LinksUpToDate>
  <CharactersWithSpaces>4713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2022-12-09T06:59:00Z</dcterms:created>
  <dcterms:modified xsi:type="dcterms:W3CDTF">2022-12-09T06:59:00Z</dcterms:modified>
</cp:coreProperties>
</file>