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F57A4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026F869D" wp14:editId="0B8BF507">
            <wp:extent cx="5274310" cy="53276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22B2F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Figure S1. Single-cell clustering analysis of PBMCs from mice to evaluate changes in immune cell proportions during aging.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Clustering of single cells in 8-week-old (young) mice. (B) Clustering of singles cells in 16-month-old (aged) mice. (C) Comparison of clustering of single cells in young and aged mice. (D) Relative population abundances of cell types in young and aged mice. (E) </w:t>
      </w:r>
      <w:bookmarkStart w:id="0" w:name="_Hlk120632030"/>
      <w:r w:rsidRPr="006E41F2">
        <w:rPr>
          <w:rFonts w:ascii="Times New Roman" w:eastAsia="SimSun" w:hAnsi="Times New Roman" w:cs="Times New Roman"/>
          <w:sz w:val="24"/>
          <w:szCs w:val="24"/>
        </w:rPr>
        <w:t>Kyoto Encyclopedia of Genes and Genomes (KEGG</w:t>
      </w:r>
      <w:r>
        <w:rPr>
          <w:rFonts w:ascii="Times New Roman" w:eastAsia="SimSun" w:hAnsi="Times New Roman" w:cs="Times New Roman"/>
          <w:sz w:val="24"/>
          <w:szCs w:val="24"/>
        </w:rPr>
        <w:t>)</w:t>
      </w:r>
      <w:bookmarkEnd w:id="0"/>
      <w:r>
        <w:rPr>
          <w:rFonts w:ascii="Times New Roman" w:eastAsia="SimSun" w:hAnsi="Times New Roman" w:cs="Times New Roman"/>
          <w:sz w:val="24"/>
          <w:szCs w:val="24"/>
        </w:rPr>
        <w:t xml:space="preserve"> analysis of differentially expressed genes in Cluster 1 (T cells,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Igfbp4</w:t>
      </w:r>
      <w:r>
        <w:rPr>
          <w:rFonts w:ascii="Times New Roman" w:eastAsia="SimSun" w:hAnsi="Times New Roman" w:cs="Times New Roman"/>
          <w:sz w:val="24"/>
          <w:szCs w:val="24"/>
        </w:rPr>
        <w:t xml:space="preserve"> as marker gene). (F) KEGG analysis of differentially expressed genes in Cluster 2 (T cells,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Cd8b1</w:t>
      </w:r>
      <w:r>
        <w:rPr>
          <w:rFonts w:ascii="Times New Roman" w:eastAsia="SimSun" w:hAnsi="Times New Roman" w:cs="Times New Roman"/>
          <w:sz w:val="24"/>
          <w:szCs w:val="24"/>
        </w:rPr>
        <w:t xml:space="preserve"> as marker gene). (G) KEGG analysis of differentially expressed genes in Cluster 7 (basal cells,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Dapl1</w:t>
      </w:r>
      <w:r>
        <w:rPr>
          <w:rFonts w:ascii="Times New Roman" w:eastAsia="SimSun" w:hAnsi="Times New Roman" w:cs="Times New Roman"/>
          <w:sz w:val="24"/>
          <w:szCs w:val="24"/>
        </w:rPr>
        <w:t xml:space="preserve"> as marker gene).</w:t>
      </w:r>
    </w:p>
    <w:p w14:paraId="0985D869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18E42A" wp14:editId="26F5C087">
            <wp:extent cx="5274310" cy="504380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BFBEC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Figure S2. Proposed temporal developmental trajectory of PBMCs from single-cell sequencing of GA-treated aged mice.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A temporal developmental trajectory constructed from PBMCs of GA-treated aged mice.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SimSun" w:hAnsi="Times New Roman" w:cs="Times New Roman"/>
          <w:sz w:val="24"/>
          <w:szCs w:val="24"/>
        </w:rPr>
        <w:t xml:space="preserve"> indicates the temporal developmental trajectory, whereby the darker color represents the earlier developmental stage after temporal differentiation;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SimSun" w:hAnsi="Times New Roman" w:cs="Times New Roman"/>
          <w:sz w:val="24"/>
          <w:szCs w:val="24"/>
        </w:rPr>
        <w:t xml:space="preserve"> indicates the position of the developmental stage on the developmental trajectory; and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SimSun" w:hAnsi="Times New Roman" w:cs="Times New Roman"/>
          <w:sz w:val="24"/>
          <w:szCs w:val="24"/>
        </w:rPr>
        <w:t xml:space="preserve"> indicates the distribution of each cell taxon on the developmental trajectory after clustering of single-cell sequencing results. (B) Clustering of single cells in aged+GA mice. (C) Cell clusters were divided into three stages according to the proposed temporal developmental stage. (D) Expression of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 xml:space="preserve"> in each cell cluster.</w:t>
      </w:r>
    </w:p>
    <w:p w14:paraId="228C8D63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45C941A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16A7D356" wp14:editId="3F633879">
            <wp:extent cx="2541039" cy="2772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039" cy="27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A4F0F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3</w:t>
      </w: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GA increased the proliferation of T and B cell subsets </w:t>
      </w:r>
      <w:r>
        <w:rPr>
          <w:rFonts w:ascii="Times New Roman" w:eastAsia="SimSun" w:hAnsi="Times New Roman" w:cs="Times New Roman"/>
          <w:b/>
          <w:bCs/>
          <w:i/>
          <w:iCs/>
          <w:sz w:val="24"/>
          <w:szCs w:val="24"/>
        </w:rPr>
        <w:t>in vitro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bookmarkStart w:id="1" w:name="_Hlk118212813"/>
      <w:r>
        <w:rPr>
          <w:rFonts w:ascii="Times New Roman" w:eastAsia="SimSun" w:hAnsi="Times New Roman" w:cs="Times New Roman"/>
          <w:sz w:val="24"/>
          <w:szCs w:val="24"/>
        </w:rPr>
        <w:t>(A) Representative FACS plots of CD3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SimSun" w:hAnsi="Times New Roman" w:cs="Times New Roman"/>
          <w:sz w:val="24"/>
          <w:szCs w:val="24"/>
        </w:rPr>
        <w:t xml:space="preserve"> T cells and CD45R/B220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SimSun" w:hAnsi="Times New Roman" w:cs="Times New Roman"/>
          <w:sz w:val="24"/>
          <w:szCs w:val="24"/>
        </w:rPr>
        <w:t xml:space="preserve"> B cells in spleen cells of GA-treated C57BL/6 mice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eastAsia="SimSun" w:hAnsi="Times New Roman" w:cs="Times New Roman"/>
          <w:sz w:val="24"/>
          <w:szCs w:val="24"/>
        </w:rPr>
        <w:t xml:space="preserve">. (B) Bar graph of T and B cell statistics of spleen cells from GA-treated C57BL/6 mice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eastAsia="SimSun" w:hAnsi="Times New Roman" w:cs="Times New Roman"/>
          <w:sz w:val="24"/>
          <w:szCs w:val="24"/>
        </w:rPr>
        <w:t>. Data represent mean ± SEM. n = 9, ****P &lt; 0.0001.</w:t>
      </w:r>
    </w:p>
    <w:bookmarkEnd w:id="1"/>
    <w:p w14:paraId="3B128B09" w14:textId="5C7A5691" w:rsidR="00FB53F5" w:rsidRDefault="00FB53F5"/>
    <w:p w14:paraId="5C57E5FF" w14:textId="4CA8ECE6" w:rsidR="00FB53F5" w:rsidRDefault="00FB53F5"/>
    <w:p w14:paraId="0275C47B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59C99D" wp14:editId="799887AA">
            <wp:extent cx="3052416" cy="3276000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2416" cy="32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F4E10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4</w:t>
      </w: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. RNA-seq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of GA-treated Lin</w:t>
      </w:r>
      <w:r>
        <w:rPr>
          <w:rFonts w:ascii="Times New Roman" w:eastAsia="SimSun" w:hAnsi="Times New Roman" w:cs="Times New Roman"/>
          <w:b/>
          <w:bCs/>
          <w:sz w:val="24"/>
          <w:szCs w:val="24"/>
          <w:vertAlign w:val="superscript"/>
        </w:rPr>
        <w:t>-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CD117</w:t>
      </w:r>
      <w:r>
        <w:rPr>
          <w:rFonts w:ascii="Times New Roman" w:eastAsia="SimSun" w:hAnsi="Times New Roman" w:cs="Times New Roman"/>
          <w:b/>
          <w:bCs/>
          <w:sz w:val="24"/>
          <w:szCs w:val="24"/>
          <w:vertAlign w:val="superscript"/>
        </w:rPr>
        <w:t>+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HSCs </w:t>
      </w:r>
      <w:r>
        <w:rPr>
          <w:rFonts w:ascii="Times New Roman" w:eastAsia="SimSun" w:hAnsi="Times New Roman" w:cs="Times New Roman"/>
          <w:b/>
          <w:bCs/>
          <w:i/>
          <w:iCs/>
          <w:sz w:val="24"/>
          <w:szCs w:val="24"/>
        </w:rPr>
        <w:t>in vitro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Differentially expressed genes in GA versus control;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S100A9</w:t>
      </w:r>
      <w:r>
        <w:rPr>
          <w:rFonts w:ascii="Times New Roman" w:eastAsia="SimSun" w:hAnsi="Times New Roman" w:cs="Times New Roman"/>
          <w:sz w:val="24"/>
          <w:szCs w:val="24"/>
        </w:rPr>
        <w:t xml:space="preserve"> were upregulated. (B) KEGG pathway enrichment map of GA and control differentially expressed genes. (C) Bar graph showing upregulated S100A8 expression in GA-treated Lin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eastAsia="SimSun" w:hAnsi="Times New Roman" w:cs="Times New Roman"/>
          <w:sz w:val="24"/>
          <w:szCs w:val="24"/>
        </w:rPr>
        <w:t>CD117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SimSun" w:hAnsi="Times New Roman" w:cs="Times New Roman"/>
          <w:sz w:val="24"/>
          <w:szCs w:val="24"/>
        </w:rPr>
        <w:t xml:space="preserve"> HSCs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eastAsia="SimSun" w:hAnsi="Times New Roman" w:cs="Times New Roman"/>
          <w:sz w:val="24"/>
          <w:szCs w:val="24"/>
        </w:rPr>
        <w:t xml:space="preserve"> by </w:t>
      </w:r>
      <w:r w:rsidRPr="009F6542">
        <w:rPr>
          <w:rFonts w:ascii="Times New Roman" w:eastAsia="SimSun" w:hAnsi="Times New Roman" w:cs="Times New Roman"/>
          <w:sz w:val="24"/>
          <w:szCs w:val="24"/>
        </w:rPr>
        <w:t>qRT-PCR</w:t>
      </w:r>
      <w:r>
        <w:rPr>
          <w:rFonts w:ascii="Times New Roman" w:eastAsia="SimSun" w:hAnsi="Times New Roman" w:cs="Times New Roman"/>
          <w:sz w:val="24"/>
          <w:szCs w:val="24"/>
        </w:rPr>
        <w:t>. (D) Bar graph showing upregulated S100A9 expression in GA-treated Lin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eastAsia="SimSun" w:hAnsi="Times New Roman" w:cs="Times New Roman"/>
          <w:sz w:val="24"/>
          <w:szCs w:val="24"/>
        </w:rPr>
        <w:t>CD117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SimSun" w:hAnsi="Times New Roman" w:cs="Times New Roman"/>
          <w:sz w:val="24"/>
          <w:szCs w:val="24"/>
        </w:rPr>
        <w:t xml:space="preserve"> HSCs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 in vitro</w:t>
      </w:r>
      <w:r>
        <w:rPr>
          <w:rFonts w:ascii="Times New Roman" w:eastAsia="SimSun" w:hAnsi="Times New Roman" w:cs="Times New Roman"/>
          <w:sz w:val="24"/>
          <w:szCs w:val="24"/>
        </w:rPr>
        <w:t xml:space="preserve"> by </w:t>
      </w:r>
      <w:r w:rsidRPr="009F6542">
        <w:rPr>
          <w:rFonts w:ascii="Times New Roman" w:eastAsia="SimSun" w:hAnsi="Times New Roman" w:cs="Times New Roman"/>
          <w:sz w:val="24"/>
          <w:szCs w:val="24"/>
        </w:rPr>
        <w:t>qRT-PCR</w:t>
      </w:r>
      <w:r>
        <w:rPr>
          <w:rFonts w:ascii="Times New Roman" w:eastAsia="SimSun" w:hAnsi="Times New Roman" w:cs="Times New Roman"/>
          <w:sz w:val="24"/>
          <w:szCs w:val="24"/>
        </w:rPr>
        <w:t>. Data represent mean ± SEM. n = 3, *P &lt; 0.05.</w:t>
      </w:r>
    </w:p>
    <w:p w14:paraId="2F62C28A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7ACDE2F3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9979DE" wp14:editId="79E53640">
            <wp:extent cx="5274310" cy="45542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874AB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5</w:t>
      </w: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. G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A reduced </w:t>
      </w:r>
      <w:r>
        <w:rPr>
          <w:rFonts w:ascii="Times New Roman" w:eastAsia="SimSun" w:hAnsi="Times New Roman" w:cs="Times New Roman"/>
          <w:b/>
          <w:bCs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expression levels in PBMCs. </w:t>
      </w:r>
      <w:r>
        <w:rPr>
          <w:rFonts w:ascii="Times New Roman" w:eastAsia="SimSun" w:hAnsi="Times New Roman" w:cs="Times New Roman"/>
          <w:sz w:val="24"/>
          <w:szCs w:val="24"/>
        </w:rPr>
        <w:t xml:space="preserve">(A) Cell clustering maps of single-cell sequencing for PBMCs of young, aged, and aged-GA mice. (B) Annotated cell clustering maps of single-cell sequencing for PBMCs in young, aged, and aged-GA mice. (C) Expression levels of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 xml:space="preserve"> in young, aged, and aged-GA mice.</w:t>
      </w:r>
    </w:p>
    <w:p w14:paraId="58F0AFA4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248F1985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20D2CF39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5F3826" wp14:editId="04F9F03C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47142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6</w:t>
      </w: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. R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NA-seq of MEFs with point mutation (E69 and N67) and knockdown of </w:t>
      </w:r>
      <w:r>
        <w:rPr>
          <w:rFonts w:ascii="Times New Roman" w:eastAsia="SimSun" w:hAnsi="Times New Roman" w:cs="Times New Roman"/>
          <w:b/>
          <w:bCs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SimSun" w:hAnsi="Times New Roman" w:cs="Times New Roman"/>
          <w:sz w:val="24"/>
          <w:szCs w:val="24"/>
        </w:rPr>
        <w:t xml:space="preserve">(A) Venn diagram of differentially expressed genes for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point mutations E69 and N67 compared with control. (B) Bar graph showing </w:t>
      </w:r>
      <w:r w:rsidRPr="009F6542">
        <w:rPr>
          <w:rFonts w:ascii="Times New Roman" w:eastAsia="SimSun" w:hAnsi="Times New Roman" w:cs="Times New Roman"/>
          <w:sz w:val="24"/>
          <w:szCs w:val="24"/>
        </w:rPr>
        <w:t>qRT-PCR</w:t>
      </w:r>
      <w:r>
        <w:rPr>
          <w:rFonts w:ascii="Times New Roman" w:eastAsia="SimSun" w:hAnsi="Times New Roman" w:cs="Times New Roman"/>
          <w:sz w:val="24"/>
          <w:szCs w:val="24"/>
        </w:rPr>
        <w:t xml:space="preserve"> validation of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 xml:space="preserve"> knockdown in MEFs. (C) Differentially expressed genes in GA-treated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 xml:space="preserve">-knockdown MEFs. (D) KEGG pathway enrichment map of differentially expressed genes in GA-treated </w:t>
      </w:r>
      <w:r>
        <w:rPr>
          <w:rFonts w:ascii="Times New Roman" w:eastAsia="SimSun" w:hAnsi="Times New Roman" w:cs="Times New Roman"/>
          <w:i/>
          <w:iCs/>
          <w:sz w:val="24"/>
          <w:szCs w:val="24"/>
        </w:rPr>
        <w:t>S100A8</w:t>
      </w:r>
      <w:r>
        <w:rPr>
          <w:rFonts w:ascii="Times New Roman" w:eastAsia="SimSun" w:hAnsi="Times New Roman" w:cs="Times New Roman"/>
          <w:sz w:val="24"/>
          <w:szCs w:val="24"/>
        </w:rPr>
        <w:t>-knockdown MEFs. (E) Enrichment map of IL-17 signaling pathway gene expression profiles with barcodes indicating the location of genes in each gene set. NES, normalized enrichment score. Data represent mean ± SEM. n = 3, *P &lt; 0.05.</w:t>
      </w:r>
    </w:p>
    <w:p w14:paraId="2789F14E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6452715" wp14:editId="65F93601">
            <wp:extent cx="4135388" cy="2700000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53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B06EA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7</w:t>
      </w:r>
      <w:r w:rsidRPr="00A84ED5"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  <w:r w:rsidRPr="00A84ED5">
        <w:rPr>
          <w:rFonts w:ascii="Times New Roman" w:eastAsia="SimSun" w:hAnsi="Times New Roman" w:cs="Times New Roman"/>
          <w:sz w:val="24"/>
          <w:szCs w:val="24"/>
        </w:rPr>
        <w:t xml:space="preserve"> Re</w:t>
      </w:r>
      <w:r>
        <w:rPr>
          <w:rFonts w:ascii="Times New Roman" w:eastAsia="SimSun" w:hAnsi="Times New Roman" w:cs="Times New Roman"/>
          <w:sz w:val="24"/>
          <w:szCs w:val="24"/>
        </w:rPr>
        <w:t>presentative FACS plots and bar graphs showi</w:t>
      </w:r>
      <w:r w:rsidRPr="004B7D43">
        <w:rPr>
          <w:rFonts w:ascii="Times New Roman" w:eastAsia="SimSun" w:hAnsi="Times New Roman" w:cs="Times New Roman"/>
          <w:sz w:val="24"/>
          <w:szCs w:val="24"/>
        </w:rPr>
        <w:t>ng CD45R/B220</w:t>
      </w:r>
      <w:r w:rsidRPr="004B7D43">
        <w:rPr>
          <w:rFonts w:ascii="Times New Roman" w:eastAsia="SimSun" w:hAnsi="Times New Roman" w:cs="Times New Roman"/>
          <w:sz w:val="24"/>
          <w:szCs w:val="24"/>
          <w:vertAlign w:val="superscript"/>
        </w:rPr>
        <w:t>+</w:t>
      </w:r>
      <w:r w:rsidRPr="004B7D43">
        <w:rPr>
          <w:rFonts w:ascii="Times New Roman" w:eastAsia="SimSun" w:hAnsi="Times New Roman" w:cs="Times New Roman"/>
          <w:sz w:val="24"/>
          <w:szCs w:val="24"/>
        </w:rPr>
        <w:t xml:space="preserve"> B cells in the spleens of B-NDG mice in non-IR+PBS, IR+PBS, IR+GA, IR-OEa8+PBS, and IR-OEa8 (PM69) +GA groups.</w:t>
      </w:r>
    </w:p>
    <w:p w14:paraId="07950468" w14:textId="58244A7A" w:rsidR="00FB53F5" w:rsidRDefault="00FB53F5"/>
    <w:p w14:paraId="4D4B9F80" w14:textId="77777777" w:rsidR="00FB53F5" w:rsidRDefault="00FB53F5" w:rsidP="00FB53F5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5DEEC2EC" wp14:editId="2BB8D158">
            <wp:extent cx="3206545" cy="406800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545" cy="40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2D3A8" w14:textId="77777777" w:rsidR="00FB53F5" w:rsidRDefault="00FB53F5" w:rsidP="00FB53F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 xml:space="preserve">Figure S8. GA is competitively bound to S100A9 in binding S100A8. </w:t>
      </w:r>
      <w:r>
        <w:rPr>
          <w:rFonts w:ascii="Times New Roman" w:eastAsia="SimSun" w:hAnsi="Times New Roman" w:cs="Times New Roman"/>
          <w:sz w:val="24"/>
          <w:szCs w:val="24"/>
        </w:rPr>
        <w:t>(A)</w:t>
      </w:r>
      <w: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Binding affinity of SPR COOH and S100A8-S100A9 interactions. S100A8 was immobilized on a COOH chip with S100A9 concentrations (from top to bottom) of 800, 400, 200, 100, and 50 </w:t>
      </w:r>
      <w:r>
        <w:rPr>
          <w:rFonts w:ascii="Times New Roman" w:eastAsia="SimSun" w:hAnsi="Times New Roman" w:cs="Times New Roman"/>
          <w:sz w:val="24"/>
          <w:szCs w:val="24"/>
        </w:rPr>
        <w:sym w:font="Symbol" w:char="F06D"/>
      </w:r>
      <w:r>
        <w:rPr>
          <w:rFonts w:ascii="Times New Roman" w:eastAsia="SimSun" w:hAnsi="Times New Roman" w:cs="Times New Roman"/>
          <w:sz w:val="24"/>
          <w:szCs w:val="24"/>
        </w:rPr>
        <w:t xml:space="preserve">M. (B) GA affects the binding affinity of S100A9 in 400 nM S100A8. Concentrations of GA (from top to bottom) were 1 mM, 500 </w:t>
      </w:r>
      <w:r>
        <w:rPr>
          <w:rFonts w:ascii="Times New Roman" w:eastAsia="SimSun" w:hAnsi="Times New Roman" w:cs="Times New Roman"/>
          <w:sz w:val="24"/>
          <w:szCs w:val="24"/>
        </w:rPr>
        <w:sym w:font="Symbol" w:char="F06D"/>
      </w:r>
      <w:r>
        <w:rPr>
          <w:rFonts w:ascii="Times New Roman" w:eastAsia="SimSun" w:hAnsi="Times New Roman" w:cs="Times New Roman"/>
          <w:sz w:val="24"/>
          <w:szCs w:val="24"/>
        </w:rPr>
        <w:t xml:space="preserve">M, 250 </w:t>
      </w:r>
      <w:r>
        <w:rPr>
          <w:rFonts w:ascii="Times New Roman" w:eastAsia="SimSun" w:hAnsi="Times New Roman" w:cs="Times New Roman"/>
          <w:sz w:val="24"/>
          <w:szCs w:val="24"/>
        </w:rPr>
        <w:sym w:font="Symbol" w:char="F06D"/>
      </w:r>
      <w:r>
        <w:rPr>
          <w:rFonts w:ascii="Times New Roman" w:eastAsia="SimSun" w:hAnsi="Times New Roman" w:cs="Times New Roman"/>
          <w:sz w:val="24"/>
          <w:szCs w:val="24"/>
        </w:rPr>
        <w:t xml:space="preserve">M, and 125 </w:t>
      </w:r>
      <w:r>
        <w:rPr>
          <w:rFonts w:ascii="Times New Roman" w:eastAsia="SimSun" w:hAnsi="Times New Roman" w:cs="Times New Roman"/>
          <w:sz w:val="24"/>
          <w:szCs w:val="24"/>
        </w:rPr>
        <w:sym w:font="Symbol" w:char="F06D"/>
      </w:r>
      <w:r>
        <w:rPr>
          <w:rFonts w:ascii="Times New Roman" w:eastAsia="SimSun" w:hAnsi="Times New Roman" w:cs="Times New Roman"/>
          <w:sz w:val="24"/>
          <w:szCs w:val="24"/>
        </w:rPr>
        <w:t>M; in addition, 400 nM S100A8 was evaluated.</w:t>
      </w:r>
    </w:p>
    <w:p w14:paraId="034A1D1D" w14:textId="77777777" w:rsidR="00FB53F5" w:rsidRDefault="00FB53F5"/>
    <w:sectPr w:rsidR="00FB53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3F5"/>
    <w:rsid w:val="00FB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90C1B"/>
  <w15:chartTrackingRefBased/>
  <w15:docId w15:val="{C309BDFB-8519-4348-920F-EB27D7F3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3F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590</Words>
  <Characters>3369</Characters>
  <Application>Microsoft Office Word</Application>
  <DocSecurity>0</DocSecurity>
  <Lines>28</Lines>
  <Paragraphs>7</Paragraphs>
  <ScaleCrop>false</ScaleCrop>
  <Company>Springer Nature</Company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2022-12-03T08:40:00Z</dcterms:created>
  <dcterms:modified xsi:type="dcterms:W3CDTF">2022-12-03T08:42:00Z</dcterms:modified>
</cp:coreProperties>
</file>