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CDD32" w14:textId="18FB03E2" w:rsidR="00891A3E" w:rsidRPr="00306CFE" w:rsidRDefault="00306CFE" w:rsidP="00306CFE">
      <w:pPr>
        <w:jc w:val="center"/>
        <w:rPr>
          <w:rFonts w:ascii="Arial" w:hAnsi="Arial" w:cs="Arial"/>
          <w:b/>
          <w:bCs/>
          <w:sz w:val="24"/>
          <w:szCs w:val="24"/>
        </w:rPr>
      </w:pPr>
      <w:r w:rsidRPr="00306CFE">
        <w:rPr>
          <w:rFonts w:ascii="Arial" w:hAnsi="Arial" w:cs="Arial"/>
          <w:b/>
          <w:bCs/>
          <w:sz w:val="24"/>
          <w:szCs w:val="24"/>
        </w:rPr>
        <w:t>Supplementary Information (SI)</w:t>
      </w:r>
    </w:p>
    <w:p w14:paraId="70D0AE28" w14:textId="10B62DCE" w:rsidR="00306CFE" w:rsidRDefault="00306CFE" w:rsidP="00306CFE">
      <w:pPr>
        <w:jc w:val="center"/>
        <w:rPr>
          <w:b/>
          <w:bCs/>
          <w:sz w:val="24"/>
          <w:szCs w:val="24"/>
        </w:rPr>
      </w:pPr>
    </w:p>
    <w:p w14:paraId="3807FE0B" w14:textId="766A0177" w:rsidR="00306CFE" w:rsidRDefault="00306CFE" w:rsidP="00306CFE">
      <w:pPr>
        <w:rPr>
          <w:rFonts w:ascii="Arial" w:hAnsi="Arial" w:cs="Arial"/>
          <w:b/>
          <w:bCs/>
          <w:sz w:val="24"/>
          <w:szCs w:val="24"/>
          <w:lang w:val="en-US"/>
        </w:rPr>
      </w:pPr>
      <w:r w:rsidRPr="00306CFE">
        <w:rPr>
          <w:rFonts w:ascii="Arial" w:hAnsi="Arial" w:cs="Arial"/>
          <w:b/>
          <w:bCs/>
          <w:sz w:val="24"/>
          <w:szCs w:val="24"/>
          <w:lang w:val="en-US"/>
        </w:rPr>
        <w:t>Vestibular Compound Action Potentials and Macular Velocity Evoked by Sound and Vibration in the Guinea Pig</w:t>
      </w:r>
    </w:p>
    <w:p w14:paraId="5BC7222C" w14:textId="0176DA37" w:rsidR="00306CFE" w:rsidRDefault="00306CFE" w:rsidP="00306CFE">
      <w:pPr>
        <w:rPr>
          <w:rFonts w:ascii="Arial" w:hAnsi="Arial" w:cs="Arial"/>
          <w:b/>
          <w:bCs/>
          <w:sz w:val="24"/>
          <w:szCs w:val="24"/>
          <w:lang w:val="en-US"/>
        </w:rPr>
      </w:pPr>
    </w:p>
    <w:p w14:paraId="16D1C78E" w14:textId="77777777" w:rsidR="00306CFE" w:rsidRPr="00306CFE" w:rsidRDefault="00306CFE" w:rsidP="00306CFE">
      <w:pPr>
        <w:spacing w:after="120" w:line="480" w:lineRule="auto"/>
        <w:jc w:val="both"/>
        <w:rPr>
          <w:rFonts w:ascii="Arial" w:hAnsi="Arial" w:cs="Arial"/>
          <w:i/>
          <w:iCs/>
          <w:vertAlign w:val="superscript"/>
          <w:lang w:val="en-US"/>
        </w:rPr>
      </w:pPr>
      <w:r w:rsidRPr="00306CFE">
        <w:rPr>
          <w:rFonts w:ascii="Arial" w:hAnsi="Arial" w:cs="Arial"/>
          <w:i/>
          <w:iCs/>
          <w:lang w:val="en-US"/>
        </w:rPr>
        <w:t>Christopher J. Pastras</w:t>
      </w:r>
      <w:r w:rsidRPr="00306CFE">
        <w:rPr>
          <w:rFonts w:ascii="Arial" w:hAnsi="Arial" w:cs="Arial"/>
          <w:i/>
          <w:iCs/>
          <w:vertAlign w:val="superscript"/>
          <w:lang w:val="en-US"/>
        </w:rPr>
        <w:t>1,2*</w:t>
      </w:r>
      <w:r w:rsidRPr="00306CFE">
        <w:rPr>
          <w:rFonts w:ascii="Arial" w:hAnsi="Arial" w:cs="Arial"/>
          <w:i/>
          <w:iCs/>
          <w:lang w:val="en-US"/>
        </w:rPr>
        <w:t>, Ian S. Curthoys</w:t>
      </w:r>
      <w:r w:rsidRPr="00306CFE">
        <w:rPr>
          <w:rFonts w:ascii="Arial" w:hAnsi="Arial" w:cs="Arial"/>
          <w:i/>
          <w:iCs/>
          <w:vertAlign w:val="superscript"/>
          <w:lang w:val="en-US"/>
        </w:rPr>
        <w:t>3</w:t>
      </w:r>
      <w:r w:rsidRPr="00306CFE">
        <w:rPr>
          <w:rFonts w:ascii="Arial" w:hAnsi="Arial" w:cs="Arial"/>
          <w:i/>
          <w:iCs/>
          <w:lang w:val="en-US"/>
        </w:rPr>
        <w:t>, Richard D. Rabbitt</w:t>
      </w:r>
      <w:r w:rsidRPr="00306CFE">
        <w:rPr>
          <w:rFonts w:ascii="Arial" w:hAnsi="Arial" w:cs="Arial"/>
          <w:i/>
          <w:iCs/>
          <w:vertAlign w:val="superscript"/>
          <w:lang w:val="en-US"/>
        </w:rPr>
        <w:t>4#</w:t>
      </w:r>
      <w:r w:rsidRPr="00306CFE">
        <w:rPr>
          <w:rFonts w:ascii="Arial" w:hAnsi="Arial" w:cs="Arial"/>
          <w:i/>
          <w:iCs/>
          <w:lang w:val="en-US"/>
        </w:rPr>
        <w:t>,</w:t>
      </w:r>
      <w:r w:rsidRPr="00306CFE">
        <w:rPr>
          <w:rFonts w:ascii="Arial" w:hAnsi="Arial" w:cs="Arial"/>
          <w:i/>
          <w:iCs/>
          <w:vertAlign w:val="superscript"/>
          <w:lang w:val="en-US"/>
        </w:rPr>
        <w:t xml:space="preserve"> </w:t>
      </w:r>
      <w:r w:rsidRPr="00306CFE">
        <w:rPr>
          <w:rFonts w:ascii="Arial" w:hAnsi="Arial" w:cs="Arial"/>
          <w:i/>
          <w:iCs/>
          <w:lang w:val="en-US"/>
        </w:rPr>
        <w:t>Daniel J. Brown</w:t>
      </w:r>
      <w:r w:rsidRPr="00306CFE">
        <w:rPr>
          <w:rFonts w:ascii="Arial" w:hAnsi="Arial" w:cs="Arial"/>
          <w:i/>
          <w:iCs/>
          <w:vertAlign w:val="superscript"/>
          <w:lang w:val="en-US"/>
        </w:rPr>
        <w:t>5#</w:t>
      </w:r>
      <w:r w:rsidRPr="00306CFE">
        <w:rPr>
          <w:rFonts w:ascii="Arial" w:hAnsi="Arial" w:cs="Arial"/>
          <w:i/>
          <w:iCs/>
          <w:lang w:val="en-US"/>
        </w:rPr>
        <w:t>.</w:t>
      </w:r>
    </w:p>
    <w:p w14:paraId="1FB2E217" w14:textId="76446244" w:rsidR="00306CFE" w:rsidRPr="00306CFE" w:rsidRDefault="00306CFE" w:rsidP="00306CFE">
      <w:pPr>
        <w:rPr>
          <w:rFonts w:ascii="Arial" w:hAnsi="Arial" w:cs="Arial"/>
          <w:b/>
          <w:bCs/>
        </w:rPr>
      </w:pPr>
      <w:r w:rsidRPr="00306CFE">
        <w:rPr>
          <w:rFonts w:ascii="Arial" w:hAnsi="Arial" w:cs="Arial"/>
          <w:b/>
          <w:bCs/>
        </w:rPr>
        <w:t>Affiliations</w:t>
      </w:r>
    </w:p>
    <w:p w14:paraId="2C9856E9" w14:textId="77777777" w:rsidR="00306CFE" w:rsidRPr="00306CFE" w:rsidRDefault="00306CFE" w:rsidP="00306CFE">
      <w:pPr>
        <w:spacing w:after="0" w:line="360" w:lineRule="auto"/>
        <w:jc w:val="both"/>
        <w:rPr>
          <w:rFonts w:ascii="Arial" w:hAnsi="Arial" w:cs="Arial"/>
          <w:lang w:val="en-US"/>
        </w:rPr>
      </w:pPr>
      <w:r w:rsidRPr="00306CFE">
        <w:rPr>
          <w:rFonts w:ascii="Arial" w:hAnsi="Arial" w:cs="Arial"/>
          <w:b/>
          <w:bCs/>
          <w:vertAlign w:val="superscript"/>
          <w:lang w:val="en-US"/>
        </w:rPr>
        <w:t>1</w:t>
      </w:r>
      <w:r w:rsidRPr="00306CFE">
        <w:rPr>
          <w:rFonts w:ascii="Arial" w:hAnsi="Arial" w:cs="Arial"/>
          <w:lang w:val="en-US"/>
        </w:rPr>
        <w:t>Faculty of Science and Engineering, School of Engineering, Macquarie University, Sydney, NSW, 2109, Australia.</w:t>
      </w:r>
    </w:p>
    <w:p w14:paraId="6B4AF837" w14:textId="77777777" w:rsidR="00306CFE" w:rsidRPr="00306CFE" w:rsidRDefault="00306CFE" w:rsidP="00306CFE">
      <w:pPr>
        <w:spacing w:after="0" w:line="360" w:lineRule="auto"/>
        <w:jc w:val="both"/>
        <w:rPr>
          <w:rFonts w:ascii="Arial" w:hAnsi="Arial" w:cs="Arial"/>
          <w:lang w:val="en-US"/>
        </w:rPr>
      </w:pPr>
      <w:r w:rsidRPr="00306CFE">
        <w:rPr>
          <w:rFonts w:ascii="Arial" w:hAnsi="Arial" w:cs="Arial"/>
          <w:b/>
          <w:bCs/>
          <w:vertAlign w:val="superscript"/>
          <w:lang w:val="en-US"/>
        </w:rPr>
        <w:t>2</w:t>
      </w:r>
      <w:r w:rsidRPr="00306CFE">
        <w:rPr>
          <w:rFonts w:ascii="Arial" w:hAnsi="Arial" w:cs="Arial"/>
          <w:lang w:val="en-US"/>
        </w:rPr>
        <w:t>School of Medical Sciences, The University of Sydney, Sydney, NSW, 2050, Australia.</w:t>
      </w:r>
    </w:p>
    <w:p w14:paraId="36215270" w14:textId="77777777" w:rsidR="00306CFE" w:rsidRPr="00306CFE" w:rsidRDefault="00306CFE" w:rsidP="00306CFE">
      <w:pPr>
        <w:spacing w:after="0" w:line="360" w:lineRule="auto"/>
        <w:jc w:val="both"/>
        <w:rPr>
          <w:rFonts w:ascii="Arial" w:hAnsi="Arial" w:cs="Arial"/>
          <w:lang w:val="en-US"/>
        </w:rPr>
      </w:pPr>
      <w:r w:rsidRPr="00306CFE">
        <w:rPr>
          <w:rFonts w:ascii="Arial" w:hAnsi="Arial" w:cs="Arial"/>
          <w:b/>
          <w:bCs/>
          <w:vertAlign w:val="superscript"/>
          <w:lang w:val="en-US"/>
        </w:rPr>
        <w:t>3</w:t>
      </w:r>
      <w:r w:rsidRPr="00306CFE">
        <w:rPr>
          <w:rFonts w:ascii="Arial" w:hAnsi="Arial" w:cs="Arial"/>
          <w:lang w:val="en-US"/>
        </w:rPr>
        <w:t>Vestibular Research Laboratory, The University of Sydney, School of Psychology, Sydney, NSW, 2050, Australia</w:t>
      </w:r>
    </w:p>
    <w:p w14:paraId="3764614A" w14:textId="77777777" w:rsidR="00306CFE" w:rsidRPr="00306CFE" w:rsidRDefault="00306CFE" w:rsidP="00306CFE">
      <w:pPr>
        <w:spacing w:after="0" w:line="360" w:lineRule="auto"/>
        <w:jc w:val="both"/>
        <w:rPr>
          <w:rFonts w:ascii="Arial" w:hAnsi="Arial" w:cs="Arial"/>
          <w:lang w:val="en-US"/>
        </w:rPr>
      </w:pPr>
      <w:r w:rsidRPr="00306CFE">
        <w:rPr>
          <w:rFonts w:ascii="Arial" w:hAnsi="Arial" w:cs="Arial"/>
          <w:b/>
          <w:bCs/>
          <w:vertAlign w:val="superscript"/>
          <w:lang w:val="en-US"/>
        </w:rPr>
        <w:t>4</w:t>
      </w:r>
      <w:r w:rsidRPr="00306CFE">
        <w:rPr>
          <w:rFonts w:ascii="Arial" w:hAnsi="Arial" w:cs="Arial"/>
          <w:lang w:val="en-US"/>
        </w:rPr>
        <w:t>Departments of Biomedical Engineering, Otolaryngology and Neuroscience Program, University of Utah, Salt Lake City, UT, 84112, USA.</w:t>
      </w:r>
    </w:p>
    <w:p w14:paraId="20F51C1E" w14:textId="77777777" w:rsidR="00306CFE" w:rsidRPr="00306CFE" w:rsidRDefault="00306CFE" w:rsidP="00306CFE">
      <w:pPr>
        <w:spacing w:after="0" w:line="360" w:lineRule="auto"/>
        <w:jc w:val="both"/>
        <w:rPr>
          <w:rFonts w:ascii="Arial" w:hAnsi="Arial" w:cs="Arial"/>
        </w:rPr>
      </w:pPr>
      <w:r w:rsidRPr="00306CFE">
        <w:rPr>
          <w:rFonts w:ascii="Arial" w:hAnsi="Arial" w:cs="Arial"/>
          <w:b/>
          <w:bCs/>
          <w:vertAlign w:val="superscript"/>
          <w:lang w:val="en-US"/>
        </w:rPr>
        <w:t>5</w:t>
      </w:r>
      <w:r w:rsidRPr="00306CFE">
        <w:rPr>
          <w:rFonts w:ascii="Arial" w:hAnsi="Arial" w:cs="Arial"/>
        </w:rPr>
        <w:t>School of Pharmacy and Biomedical Sciences, Curtin University, Bentley, Western Australia 6102, Australia</w:t>
      </w:r>
    </w:p>
    <w:p w14:paraId="3BB4BC91" w14:textId="50940B6B" w:rsidR="00306CFE" w:rsidRDefault="00306CFE" w:rsidP="00306CFE">
      <w:pPr>
        <w:rPr>
          <w:rFonts w:ascii="Arial" w:hAnsi="Arial" w:cs="Arial"/>
        </w:rPr>
      </w:pPr>
    </w:p>
    <w:p w14:paraId="5A86F664" w14:textId="2CFBEF32" w:rsidR="00306CFE" w:rsidRDefault="00306CFE" w:rsidP="00306CFE">
      <w:pPr>
        <w:rPr>
          <w:rStyle w:val="Hyperlink"/>
          <w:rFonts w:ascii="Arial" w:hAnsi="Arial" w:cs="Arial"/>
          <w:color w:val="0000FF"/>
        </w:rPr>
      </w:pPr>
      <w:r>
        <w:rPr>
          <w:rFonts w:ascii="Arial" w:hAnsi="Arial" w:cs="Arial"/>
        </w:rPr>
        <w:t xml:space="preserve">*Correspondence: </w:t>
      </w:r>
      <w:hyperlink r:id="rId6" w:history="1">
        <w:r w:rsidRPr="00306CFE">
          <w:rPr>
            <w:rStyle w:val="Hyperlink"/>
            <w:rFonts w:ascii="Arial" w:hAnsi="Arial" w:cs="Arial"/>
            <w:color w:val="0000FF"/>
          </w:rPr>
          <w:t>christopher.pastras@mq.edu.au</w:t>
        </w:r>
      </w:hyperlink>
      <w:r w:rsidRPr="00306CFE">
        <w:rPr>
          <w:rFonts w:ascii="Arial" w:hAnsi="Arial" w:cs="Arial"/>
          <w:color w:val="0000FF"/>
        </w:rPr>
        <w:t xml:space="preserve"> </w:t>
      </w:r>
    </w:p>
    <w:p w14:paraId="581411AD" w14:textId="14F702C0" w:rsidR="002E6B2B" w:rsidRPr="002E6B2B" w:rsidRDefault="002E6B2B" w:rsidP="002E6B2B">
      <w:pPr>
        <w:rPr>
          <w:rFonts w:ascii="Arial" w:hAnsi="Arial" w:cs="Arial"/>
        </w:rPr>
      </w:pPr>
    </w:p>
    <w:p w14:paraId="63313E9D" w14:textId="733BF615" w:rsidR="002E6B2B" w:rsidRPr="002E6B2B" w:rsidRDefault="002E6B2B" w:rsidP="002E6B2B">
      <w:pPr>
        <w:rPr>
          <w:rFonts w:ascii="Arial" w:hAnsi="Arial" w:cs="Arial"/>
        </w:rPr>
      </w:pPr>
    </w:p>
    <w:p w14:paraId="5E5C76CB" w14:textId="1C462AA2" w:rsidR="002E6B2B" w:rsidRPr="002E6B2B" w:rsidRDefault="002E6B2B" w:rsidP="002E6B2B">
      <w:pPr>
        <w:rPr>
          <w:rFonts w:ascii="Arial" w:hAnsi="Arial" w:cs="Arial"/>
        </w:rPr>
      </w:pPr>
    </w:p>
    <w:p w14:paraId="4ADE3702" w14:textId="49F11D5F" w:rsidR="002E6B2B" w:rsidRDefault="002E6B2B" w:rsidP="002E6B2B">
      <w:pPr>
        <w:rPr>
          <w:rStyle w:val="Hyperlink"/>
          <w:rFonts w:ascii="Arial" w:hAnsi="Arial" w:cs="Arial"/>
          <w:color w:val="0000FF"/>
        </w:rPr>
      </w:pPr>
    </w:p>
    <w:p w14:paraId="42009097" w14:textId="67EDA013" w:rsidR="002E6B2B" w:rsidRDefault="002E6B2B" w:rsidP="002E6B2B">
      <w:pPr>
        <w:tabs>
          <w:tab w:val="left" w:pos="2295"/>
        </w:tabs>
        <w:rPr>
          <w:rFonts w:ascii="Arial" w:hAnsi="Arial" w:cs="Arial"/>
        </w:rPr>
      </w:pPr>
      <w:r>
        <w:rPr>
          <w:rFonts w:ascii="Arial" w:hAnsi="Arial" w:cs="Arial"/>
        </w:rPr>
        <w:tab/>
      </w:r>
    </w:p>
    <w:p w14:paraId="2222F06A" w14:textId="316DE17C" w:rsidR="002E6B2B" w:rsidRDefault="002E6B2B" w:rsidP="002E6B2B">
      <w:pPr>
        <w:tabs>
          <w:tab w:val="left" w:pos="2295"/>
        </w:tabs>
        <w:rPr>
          <w:rFonts w:ascii="Arial" w:hAnsi="Arial" w:cs="Arial"/>
        </w:rPr>
      </w:pPr>
    </w:p>
    <w:p w14:paraId="5F7016C1" w14:textId="6A25D99B" w:rsidR="002E6B2B" w:rsidRDefault="002E6B2B" w:rsidP="002E6B2B">
      <w:pPr>
        <w:tabs>
          <w:tab w:val="left" w:pos="2295"/>
        </w:tabs>
        <w:rPr>
          <w:rFonts w:ascii="Arial" w:hAnsi="Arial" w:cs="Arial"/>
        </w:rPr>
      </w:pPr>
    </w:p>
    <w:p w14:paraId="4919F3F0" w14:textId="03B015DC" w:rsidR="002E6B2B" w:rsidRDefault="002E6B2B" w:rsidP="002E6B2B">
      <w:pPr>
        <w:tabs>
          <w:tab w:val="left" w:pos="2295"/>
        </w:tabs>
        <w:rPr>
          <w:rFonts w:ascii="Arial" w:hAnsi="Arial" w:cs="Arial"/>
        </w:rPr>
      </w:pPr>
    </w:p>
    <w:p w14:paraId="154339F8" w14:textId="4F13968A" w:rsidR="002E6B2B" w:rsidRDefault="002E6B2B" w:rsidP="002E6B2B">
      <w:pPr>
        <w:tabs>
          <w:tab w:val="left" w:pos="2295"/>
        </w:tabs>
        <w:rPr>
          <w:rFonts w:ascii="Arial" w:hAnsi="Arial" w:cs="Arial"/>
        </w:rPr>
      </w:pPr>
    </w:p>
    <w:p w14:paraId="3D8315DB" w14:textId="68EA57B6" w:rsidR="002E6B2B" w:rsidRDefault="002E6B2B" w:rsidP="002E6B2B">
      <w:pPr>
        <w:tabs>
          <w:tab w:val="left" w:pos="2295"/>
        </w:tabs>
        <w:rPr>
          <w:rFonts w:ascii="Arial" w:hAnsi="Arial" w:cs="Arial"/>
        </w:rPr>
      </w:pPr>
    </w:p>
    <w:p w14:paraId="0133C334" w14:textId="39D44C73" w:rsidR="002E6B2B" w:rsidRDefault="002E6B2B" w:rsidP="002E6B2B">
      <w:pPr>
        <w:tabs>
          <w:tab w:val="left" w:pos="2295"/>
        </w:tabs>
        <w:rPr>
          <w:rFonts w:ascii="Arial" w:hAnsi="Arial" w:cs="Arial"/>
        </w:rPr>
      </w:pPr>
    </w:p>
    <w:p w14:paraId="2085B837" w14:textId="44F8CC27" w:rsidR="002E6B2B" w:rsidRDefault="002E6B2B" w:rsidP="002E6B2B">
      <w:pPr>
        <w:tabs>
          <w:tab w:val="left" w:pos="2295"/>
        </w:tabs>
        <w:rPr>
          <w:rFonts w:ascii="Arial" w:hAnsi="Arial" w:cs="Arial"/>
        </w:rPr>
      </w:pPr>
    </w:p>
    <w:p w14:paraId="17BCDA86" w14:textId="4317FECD" w:rsidR="002E6B2B" w:rsidRDefault="002E6B2B" w:rsidP="002E6B2B">
      <w:pPr>
        <w:tabs>
          <w:tab w:val="left" w:pos="2295"/>
        </w:tabs>
        <w:rPr>
          <w:rFonts w:ascii="Arial" w:hAnsi="Arial" w:cs="Arial"/>
        </w:rPr>
      </w:pPr>
    </w:p>
    <w:p w14:paraId="0A96DA30" w14:textId="583D2380" w:rsidR="002E6B2B" w:rsidRDefault="002E6B2B" w:rsidP="002E6B2B">
      <w:pPr>
        <w:tabs>
          <w:tab w:val="left" w:pos="2295"/>
        </w:tabs>
        <w:rPr>
          <w:rFonts w:ascii="Arial" w:hAnsi="Arial" w:cs="Arial"/>
        </w:rPr>
      </w:pPr>
    </w:p>
    <w:p w14:paraId="5C4294AC" w14:textId="77777777" w:rsidR="004414EE" w:rsidRDefault="004414EE">
      <w:pPr>
        <w:rPr>
          <w:rFonts w:ascii="Arial" w:hAnsi="Arial" w:cs="Arial"/>
          <w:b/>
          <w:bCs/>
        </w:rPr>
      </w:pPr>
      <w:r>
        <w:rPr>
          <w:rFonts w:ascii="Arial" w:hAnsi="Arial" w:cs="Arial"/>
          <w:b/>
          <w:bCs/>
        </w:rPr>
        <w:br w:type="page"/>
      </w:r>
    </w:p>
    <w:p w14:paraId="48839ECA" w14:textId="063D66D6" w:rsidR="004414EE" w:rsidRPr="00686D5F" w:rsidRDefault="004414EE" w:rsidP="004414EE">
      <w:pPr>
        <w:tabs>
          <w:tab w:val="left" w:pos="2925"/>
        </w:tabs>
        <w:jc w:val="both"/>
        <w:rPr>
          <w:noProof/>
        </w:rPr>
      </w:pPr>
      <w:r w:rsidRPr="00686D5F">
        <w:rPr>
          <w:rFonts w:ascii="Arial" w:hAnsi="Arial" w:cs="Arial"/>
          <w:b/>
          <w:bCs/>
        </w:rPr>
        <w:lastRenderedPageBreak/>
        <w:t xml:space="preserve">Supplementary Note </w:t>
      </w:r>
      <w:r>
        <w:rPr>
          <w:rFonts w:ascii="Arial" w:hAnsi="Arial" w:cs="Arial"/>
          <w:b/>
          <w:bCs/>
        </w:rPr>
        <w:t>1</w:t>
      </w:r>
      <w:r w:rsidRPr="00686D5F">
        <w:rPr>
          <w:rFonts w:ascii="Arial" w:hAnsi="Arial" w:cs="Arial"/>
          <w:b/>
          <w:bCs/>
        </w:rPr>
        <w:t xml:space="preserve">. </w:t>
      </w:r>
      <w:r w:rsidRPr="00686D5F">
        <w:rPr>
          <w:rFonts w:ascii="Arial" w:hAnsi="Arial" w:cs="Arial"/>
          <w:lang w:val="en-US"/>
        </w:rPr>
        <w:t xml:space="preserve">Vestibular Compound Action Potentials were evoked by transient pulses (&lt;1ms) or tone-burst stimuli (e.g., 800Hz). Neural origins of </w:t>
      </w:r>
      <w:proofErr w:type="spellStart"/>
      <w:r w:rsidRPr="00686D5F">
        <w:rPr>
          <w:rFonts w:ascii="Arial" w:hAnsi="Arial" w:cs="Arial"/>
          <w:lang w:val="en-US"/>
        </w:rPr>
        <w:t>vCAP</w:t>
      </w:r>
      <w:proofErr w:type="spellEnd"/>
      <w:r w:rsidRPr="00686D5F">
        <w:rPr>
          <w:rFonts w:ascii="Arial" w:hAnsi="Arial" w:cs="Arial"/>
          <w:lang w:val="en-US"/>
        </w:rPr>
        <w:t xml:space="preserve"> response</w:t>
      </w:r>
      <w:r>
        <w:rPr>
          <w:rFonts w:ascii="Arial" w:hAnsi="Arial" w:cs="Arial"/>
          <w:lang w:val="en-US"/>
        </w:rPr>
        <w:t>s</w:t>
      </w:r>
      <w:r w:rsidRPr="00686D5F">
        <w:rPr>
          <w:rFonts w:ascii="Arial" w:hAnsi="Arial" w:cs="Arial"/>
          <w:lang w:val="en-US"/>
        </w:rPr>
        <w:t xml:space="preserve"> were </w:t>
      </w:r>
      <w:r>
        <w:rPr>
          <w:rFonts w:ascii="Arial" w:hAnsi="Arial" w:cs="Arial"/>
          <w:lang w:val="en-US"/>
        </w:rPr>
        <w:t>validated</w:t>
      </w:r>
      <w:r w:rsidRPr="00686D5F">
        <w:rPr>
          <w:rFonts w:ascii="Arial" w:hAnsi="Arial" w:cs="Arial"/>
          <w:lang w:val="en-US"/>
        </w:rPr>
        <w:t xml:space="preserve"> following the perfusion of neurotoxin, Tetrodotoxin (TTX; 100µM in artificial perilymph; Sigma Aldrich, AUS)</w:t>
      </w:r>
      <w:r>
        <w:rPr>
          <w:rFonts w:ascii="Arial" w:hAnsi="Arial" w:cs="Arial"/>
          <w:lang w:val="en-US"/>
        </w:rPr>
        <w:t>,</w:t>
      </w:r>
      <w:r w:rsidRPr="00686D5F">
        <w:rPr>
          <w:rFonts w:ascii="Arial" w:hAnsi="Arial" w:cs="Arial"/>
          <w:lang w:val="en-US"/>
        </w:rPr>
        <w:t xml:space="preserve"> into the </w:t>
      </w:r>
      <w:proofErr w:type="spellStart"/>
      <w:r w:rsidRPr="00686D5F">
        <w:rPr>
          <w:rFonts w:ascii="Arial" w:hAnsi="Arial" w:cs="Arial"/>
          <w:lang w:val="en-US"/>
        </w:rPr>
        <w:t>perilymphatic</w:t>
      </w:r>
      <w:proofErr w:type="spellEnd"/>
      <w:r w:rsidRPr="00686D5F">
        <w:rPr>
          <w:rFonts w:ascii="Arial" w:hAnsi="Arial" w:cs="Arial"/>
          <w:lang w:val="en-US"/>
        </w:rPr>
        <w:t xml:space="preserve"> space at the basal epithelium of the utricular macula.</w:t>
      </w:r>
    </w:p>
    <w:p w14:paraId="7C6F807F" w14:textId="77777777" w:rsidR="004414EE" w:rsidRPr="00686D5F" w:rsidRDefault="004414EE" w:rsidP="004414EE">
      <w:pPr>
        <w:tabs>
          <w:tab w:val="left" w:pos="2925"/>
        </w:tabs>
        <w:jc w:val="center"/>
        <w:rPr>
          <w:noProof/>
        </w:rPr>
      </w:pPr>
      <w:r w:rsidRPr="00686D5F">
        <w:rPr>
          <w:noProof/>
        </w:rPr>
        <w:drawing>
          <wp:inline distT="0" distB="0" distL="0" distR="0" wp14:anchorId="7E4B6AE0" wp14:editId="2E4FFFDF">
            <wp:extent cx="5665304" cy="4852320"/>
            <wp:effectExtent l="0" t="0" r="0" b="0"/>
            <wp:docPr id="33" name="Picture 32">
              <a:extLst xmlns:a="http://schemas.openxmlformats.org/drawingml/2006/main">
                <a:ext uri="{FF2B5EF4-FFF2-40B4-BE49-F238E27FC236}">
                  <a16:creationId xmlns:a16="http://schemas.microsoft.com/office/drawing/2014/main" id="{93F549E2-CD3C-7BF9-3962-4F88760AC7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93F549E2-CD3C-7BF9-3962-4F88760AC78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7505" cy="4871335"/>
                    </a:xfrm>
                    <a:prstGeom prst="rect">
                      <a:avLst/>
                    </a:prstGeom>
                  </pic:spPr>
                </pic:pic>
              </a:graphicData>
            </a:graphic>
          </wp:inline>
        </w:drawing>
      </w:r>
    </w:p>
    <w:p w14:paraId="5CA19586" w14:textId="77777777" w:rsidR="004414EE" w:rsidRPr="00686D5F" w:rsidRDefault="004414EE" w:rsidP="004414EE">
      <w:pPr>
        <w:jc w:val="both"/>
        <w:rPr>
          <w:noProof/>
        </w:rPr>
      </w:pPr>
    </w:p>
    <w:p w14:paraId="3DF22C97" w14:textId="6B1FC926" w:rsidR="004414EE" w:rsidRPr="00686D5F" w:rsidRDefault="004414EE" w:rsidP="004414EE">
      <w:pPr>
        <w:spacing w:before="120" w:line="240" w:lineRule="auto"/>
        <w:contextualSpacing/>
        <w:jc w:val="both"/>
        <w:rPr>
          <w:rFonts w:ascii="Arial" w:hAnsi="Arial" w:cs="Arial"/>
        </w:rPr>
      </w:pPr>
      <w:r w:rsidRPr="00686D5F">
        <w:rPr>
          <w:rFonts w:ascii="Arial" w:hAnsi="Arial" w:cs="Arial"/>
          <w:b/>
          <w:bCs/>
        </w:rPr>
        <w:t xml:space="preserve">Supplementary Figure </w:t>
      </w:r>
      <w:r>
        <w:rPr>
          <w:rFonts w:ascii="Arial" w:hAnsi="Arial" w:cs="Arial"/>
          <w:b/>
          <w:bCs/>
        </w:rPr>
        <w:t>1</w:t>
      </w:r>
      <w:r w:rsidRPr="00686D5F">
        <w:rPr>
          <w:rFonts w:ascii="Arial" w:hAnsi="Arial" w:cs="Arial"/>
          <w:b/>
          <w:bCs/>
        </w:rPr>
        <w:t xml:space="preserve"> (S</w:t>
      </w:r>
      <w:r>
        <w:rPr>
          <w:rFonts w:ascii="Arial" w:hAnsi="Arial" w:cs="Arial"/>
          <w:b/>
          <w:bCs/>
        </w:rPr>
        <w:t>1</w:t>
      </w:r>
      <w:r w:rsidRPr="00686D5F">
        <w:rPr>
          <w:rFonts w:ascii="Arial" w:hAnsi="Arial" w:cs="Arial"/>
          <w:b/>
          <w:bCs/>
        </w:rPr>
        <w:t xml:space="preserve">).  </w:t>
      </w:r>
      <w:r w:rsidRPr="00686D5F">
        <w:rPr>
          <w:rFonts w:ascii="Arial" w:hAnsi="Arial" w:cs="Arial"/>
          <w:lang w:val="en-US"/>
        </w:rPr>
        <w:t xml:space="preserve">Vestibular </w:t>
      </w:r>
      <w:proofErr w:type="spellStart"/>
      <w:r w:rsidRPr="00686D5F">
        <w:rPr>
          <w:rFonts w:ascii="Arial" w:hAnsi="Arial" w:cs="Arial"/>
          <w:lang w:val="en-US"/>
        </w:rPr>
        <w:t>striolar</w:t>
      </w:r>
      <w:proofErr w:type="spellEnd"/>
      <w:r w:rsidRPr="00686D5F">
        <w:rPr>
          <w:rFonts w:ascii="Arial" w:hAnsi="Arial" w:cs="Arial"/>
          <w:lang w:val="en-US"/>
        </w:rPr>
        <w:t xml:space="preserve"> primary afferents fire synchronized action potentials at short latencies and precise phase angles relative to input BCV or ACS pulses or train bursts, respectively. A. 0.5ms BCV pulses (0.25ms rise-fall) generate punctate B. ear-bar acceleration transients which evoke robust C. vestibular nerve Compound Action Potentials (</w:t>
      </w:r>
      <w:proofErr w:type="spellStart"/>
      <w:r w:rsidRPr="00686D5F">
        <w:rPr>
          <w:rFonts w:ascii="Arial" w:hAnsi="Arial" w:cs="Arial"/>
          <w:lang w:val="en-US"/>
        </w:rPr>
        <w:t>vCAPs</w:t>
      </w:r>
      <w:proofErr w:type="spellEnd"/>
      <w:r w:rsidRPr="00686D5F">
        <w:rPr>
          <w:rFonts w:ascii="Arial" w:hAnsi="Arial" w:cs="Arial"/>
          <w:lang w:val="en-US"/>
        </w:rPr>
        <w:t xml:space="preserve">, averaged; 100 presentations). The neural origin of </w:t>
      </w:r>
      <w:proofErr w:type="spellStart"/>
      <w:r w:rsidRPr="00686D5F">
        <w:rPr>
          <w:rFonts w:ascii="Arial" w:hAnsi="Arial" w:cs="Arial"/>
          <w:lang w:val="en-US"/>
        </w:rPr>
        <w:t>vCAPs</w:t>
      </w:r>
      <w:proofErr w:type="spellEnd"/>
      <w:r w:rsidRPr="00686D5F">
        <w:rPr>
          <w:rFonts w:ascii="Arial" w:hAnsi="Arial" w:cs="Arial"/>
          <w:lang w:val="en-US"/>
        </w:rPr>
        <w:t xml:space="preserve"> was validated by their chemical ablation following the perfusion of TTX (red line). D. 800Hz sinusoidal BCV results in a E. high-frequency acceleration burst, and a F. volley of extracellular </w:t>
      </w:r>
      <w:proofErr w:type="spellStart"/>
      <w:r w:rsidRPr="00686D5F">
        <w:rPr>
          <w:rFonts w:ascii="Arial" w:hAnsi="Arial" w:cs="Arial"/>
          <w:lang w:val="en-US"/>
        </w:rPr>
        <w:t>vCAPs</w:t>
      </w:r>
      <w:proofErr w:type="spellEnd"/>
      <w:r w:rsidRPr="00686D5F">
        <w:rPr>
          <w:rFonts w:ascii="Arial" w:hAnsi="Arial" w:cs="Arial"/>
          <w:lang w:val="en-US"/>
        </w:rPr>
        <w:t xml:space="preserve">, also referred to as the Vestibular Nerve </w:t>
      </w:r>
      <w:proofErr w:type="spellStart"/>
      <w:r w:rsidRPr="00686D5F">
        <w:rPr>
          <w:rFonts w:ascii="Arial" w:hAnsi="Arial" w:cs="Arial"/>
          <w:lang w:val="en-US"/>
        </w:rPr>
        <w:t>Neurophonic</w:t>
      </w:r>
      <w:proofErr w:type="spellEnd"/>
      <w:r w:rsidRPr="00686D5F">
        <w:rPr>
          <w:rFonts w:ascii="Arial" w:hAnsi="Arial" w:cs="Arial"/>
          <w:lang w:val="en-US"/>
        </w:rPr>
        <w:t>.</w:t>
      </w:r>
    </w:p>
    <w:p w14:paraId="0EA580D0" w14:textId="77777777" w:rsidR="004414EE" w:rsidRPr="00686D5F" w:rsidRDefault="004414EE" w:rsidP="004414EE">
      <w:pPr>
        <w:tabs>
          <w:tab w:val="left" w:pos="1847"/>
        </w:tabs>
        <w:jc w:val="both"/>
        <w:rPr>
          <w:rFonts w:ascii="Arial" w:hAnsi="Arial" w:cs="Arial"/>
        </w:rPr>
      </w:pPr>
    </w:p>
    <w:p w14:paraId="3ABB8FAC" w14:textId="77777777" w:rsidR="004414EE" w:rsidRDefault="004414EE">
      <w:pPr>
        <w:rPr>
          <w:rFonts w:ascii="Arial" w:hAnsi="Arial" w:cs="Arial"/>
          <w:b/>
          <w:bCs/>
        </w:rPr>
      </w:pPr>
      <w:r>
        <w:rPr>
          <w:rFonts w:ascii="Arial" w:hAnsi="Arial" w:cs="Arial"/>
          <w:b/>
          <w:bCs/>
        </w:rPr>
        <w:br w:type="page"/>
      </w:r>
    </w:p>
    <w:p w14:paraId="4E38203C" w14:textId="4917C6F7" w:rsidR="002E6B2B" w:rsidRPr="00686D5F" w:rsidRDefault="00F063A1" w:rsidP="00686D5F">
      <w:pPr>
        <w:tabs>
          <w:tab w:val="left" w:pos="2295"/>
        </w:tabs>
        <w:jc w:val="both"/>
        <w:rPr>
          <w:rFonts w:ascii="Arial" w:hAnsi="Arial" w:cs="Arial"/>
        </w:rPr>
      </w:pPr>
      <w:r w:rsidRPr="00686D5F">
        <w:rPr>
          <w:rFonts w:ascii="Arial" w:hAnsi="Arial" w:cs="Arial"/>
          <w:b/>
          <w:bCs/>
        </w:rPr>
        <w:lastRenderedPageBreak/>
        <w:t xml:space="preserve">Supplementary Note </w:t>
      </w:r>
      <w:r w:rsidR="005A377C">
        <w:rPr>
          <w:rFonts w:ascii="Arial" w:hAnsi="Arial" w:cs="Arial"/>
          <w:b/>
          <w:bCs/>
        </w:rPr>
        <w:t>2</w:t>
      </w:r>
      <w:r w:rsidRPr="00686D5F">
        <w:rPr>
          <w:rFonts w:ascii="Arial" w:hAnsi="Arial" w:cs="Arial"/>
          <w:b/>
          <w:bCs/>
        </w:rPr>
        <w:t xml:space="preserve">. </w:t>
      </w:r>
      <w:r w:rsidR="00166074" w:rsidRPr="00686D5F">
        <w:rPr>
          <w:rFonts w:ascii="Arial" w:hAnsi="Arial" w:cs="Arial"/>
        </w:rPr>
        <w:t xml:space="preserve">The </w:t>
      </w:r>
      <w:r w:rsidR="00277661" w:rsidRPr="00686D5F">
        <w:rPr>
          <w:rFonts w:ascii="Arial" w:hAnsi="Arial" w:cs="Arial"/>
        </w:rPr>
        <w:t>L</w:t>
      </w:r>
      <w:r w:rsidR="00166074" w:rsidRPr="00686D5F">
        <w:rPr>
          <w:rFonts w:ascii="Arial" w:hAnsi="Arial" w:cs="Arial"/>
        </w:rPr>
        <w:t xml:space="preserve">aser </w:t>
      </w:r>
      <w:r w:rsidR="00FF76E2" w:rsidRPr="00686D5F">
        <w:rPr>
          <w:rFonts w:ascii="Arial" w:hAnsi="Arial" w:cs="Arial"/>
        </w:rPr>
        <w:t>D</w:t>
      </w:r>
      <w:r w:rsidR="00166074" w:rsidRPr="00686D5F">
        <w:rPr>
          <w:rFonts w:ascii="Arial" w:hAnsi="Arial" w:cs="Arial"/>
        </w:rPr>
        <w:t xml:space="preserve">oppler </w:t>
      </w:r>
      <w:r w:rsidR="00277661" w:rsidRPr="00686D5F">
        <w:rPr>
          <w:rFonts w:ascii="Arial" w:hAnsi="Arial" w:cs="Arial"/>
        </w:rPr>
        <w:t>V</w:t>
      </w:r>
      <w:r w:rsidR="00166074" w:rsidRPr="00686D5F">
        <w:rPr>
          <w:rFonts w:ascii="Arial" w:hAnsi="Arial" w:cs="Arial"/>
        </w:rPr>
        <w:t xml:space="preserve">ibrometer was calibrated </w:t>
      </w:r>
      <w:r w:rsidR="00B623EC" w:rsidRPr="00686D5F">
        <w:rPr>
          <w:rFonts w:ascii="Arial" w:hAnsi="Arial" w:cs="Arial"/>
        </w:rPr>
        <w:t>prior to</w:t>
      </w:r>
      <w:r w:rsidR="008E7428" w:rsidRPr="00686D5F">
        <w:rPr>
          <w:rFonts w:ascii="Arial" w:hAnsi="Arial" w:cs="Arial"/>
        </w:rPr>
        <w:t xml:space="preserve"> </w:t>
      </w:r>
      <w:r w:rsidR="000A1490" w:rsidRPr="00686D5F">
        <w:rPr>
          <w:rFonts w:ascii="Arial" w:hAnsi="Arial" w:cs="Arial"/>
        </w:rPr>
        <w:t>each</w:t>
      </w:r>
      <w:r w:rsidR="008E7428" w:rsidRPr="00686D5F">
        <w:rPr>
          <w:rFonts w:ascii="Arial" w:hAnsi="Arial" w:cs="Arial"/>
        </w:rPr>
        <w:t xml:space="preserve"> </w:t>
      </w:r>
      <w:r w:rsidR="00166074" w:rsidRPr="00686D5F">
        <w:rPr>
          <w:rFonts w:ascii="Arial" w:hAnsi="Arial" w:cs="Arial"/>
        </w:rPr>
        <w:t>experiment</w:t>
      </w:r>
      <w:r w:rsidR="000A1490" w:rsidRPr="00686D5F">
        <w:rPr>
          <w:rFonts w:ascii="Arial" w:hAnsi="Arial" w:cs="Arial"/>
        </w:rPr>
        <w:t>.</w:t>
      </w:r>
      <w:r w:rsidR="00166074" w:rsidRPr="00686D5F">
        <w:rPr>
          <w:rFonts w:ascii="Arial" w:hAnsi="Arial" w:cs="Arial"/>
        </w:rPr>
        <w:t xml:space="preserve"> Here, </w:t>
      </w:r>
      <w:r w:rsidR="008E7428" w:rsidRPr="00686D5F">
        <w:rPr>
          <w:rFonts w:ascii="Arial" w:hAnsi="Arial" w:cs="Arial"/>
        </w:rPr>
        <w:t>the laser</w:t>
      </w:r>
      <w:r w:rsidR="00ED715D" w:rsidRPr="00686D5F">
        <w:rPr>
          <w:rFonts w:ascii="Arial" w:hAnsi="Arial" w:cs="Arial"/>
        </w:rPr>
        <w:t xml:space="preserve"> beam</w:t>
      </w:r>
      <w:r w:rsidR="008E7428" w:rsidRPr="00686D5F">
        <w:rPr>
          <w:rFonts w:ascii="Arial" w:hAnsi="Arial" w:cs="Arial"/>
        </w:rPr>
        <w:t xml:space="preserve"> </w:t>
      </w:r>
      <w:r w:rsidR="009056BD" w:rsidRPr="00686D5F">
        <w:rPr>
          <w:rFonts w:ascii="Arial" w:hAnsi="Arial" w:cs="Arial"/>
        </w:rPr>
        <w:t xml:space="preserve">from the LDV </w:t>
      </w:r>
      <w:r w:rsidR="008E7428" w:rsidRPr="00686D5F">
        <w:rPr>
          <w:rFonts w:ascii="Arial" w:hAnsi="Arial" w:cs="Arial"/>
        </w:rPr>
        <w:t>was focused onto the tri-axial accelerometer</w:t>
      </w:r>
      <w:r w:rsidR="00DD3A59" w:rsidRPr="00686D5F">
        <w:rPr>
          <w:rFonts w:ascii="Arial" w:hAnsi="Arial" w:cs="Arial"/>
        </w:rPr>
        <w:t xml:space="preserve">, which </w:t>
      </w:r>
      <w:r w:rsidR="00F17667" w:rsidRPr="00686D5F">
        <w:rPr>
          <w:rFonts w:ascii="Arial" w:hAnsi="Arial" w:cs="Arial"/>
        </w:rPr>
        <w:t xml:space="preserve">was </w:t>
      </w:r>
      <w:r w:rsidR="000557C7" w:rsidRPr="00686D5F">
        <w:rPr>
          <w:rFonts w:ascii="Arial" w:hAnsi="Arial" w:cs="Arial"/>
        </w:rPr>
        <w:t>vibrated by a</w:t>
      </w:r>
      <w:r w:rsidR="00DD3A59" w:rsidRPr="00686D5F">
        <w:rPr>
          <w:rFonts w:ascii="Arial" w:hAnsi="Arial" w:cs="Arial"/>
        </w:rPr>
        <w:t xml:space="preserve"> </w:t>
      </w:r>
      <w:proofErr w:type="spellStart"/>
      <w:r w:rsidR="00DD3A59" w:rsidRPr="00686D5F">
        <w:rPr>
          <w:rFonts w:ascii="Arial" w:hAnsi="Arial" w:cs="Arial"/>
        </w:rPr>
        <w:t>Brüel</w:t>
      </w:r>
      <w:proofErr w:type="spellEnd"/>
      <w:r w:rsidR="00DD3A59" w:rsidRPr="00686D5F">
        <w:rPr>
          <w:rFonts w:ascii="Arial" w:hAnsi="Arial" w:cs="Arial"/>
        </w:rPr>
        <w:t xml:space="preserve"> &amp; </w:t>
      </w:r>
      <w:proofErr w:type="spellStart"/>
      <w:r w:rsidR="00DD3A59" w:rsidRPr="00686D5F">
        <w:rPr>
          <w:rFonts w:ascii="Arial" w:hAnsi="Arial" w:cs="Arial"/>
        </w:rPr>
        <w:t>Kjær</w:t>
      </w:r>
      <w:proofErr w:type="spellEnd"/>
      <w:r w:rsidR="00DD3A59" w:rsidRPr="00686D5F">
        <w:rPr>
          <w:rFonts w:ascii="Arial" w:hAnsi="Arial" w:cs="Arial"/>
        </w:rPr>
        <w:t xml:space="preserve"> </w:t>
      </w:r>
      <w:proofErr w:type="spellStart"/>
      <w:r w:rsidR="00DD3A59" w:rsidRPr="00686D5F">
        <w:rPr>
          <w:rFonts w:ascii="Arial" w:hAnsi="Arial" w:cs="Arial"/>
        </w:rPr>
        <w:t>minishak</w:t>
      </w:r>
      <w:r w:rsidR="00FE6CDA" w:rsidRPr="00686D5F">
        <w:rPr>
          <w:rFonts w:ascii="Arial" w:hAnsi="Arial" w:cs="Arial"/>
        </w:rPr>
        <w:t>er</w:t>
      </w:r>
      <w:proofErr w:type="spellEnd"/>
      <w:r w:rsidR="00FE6CDA" w:rsidRPr="00686D5F">
        <w:rPr>
          <w:rFonts w:ascii="Arial" w:hAnsi="Arial" w:cs="Arial"/>
        </w:rPr>
        <w:t xml:space="preserve">. LDV </w:t>
      </w:r>
      <w:r w:rsidR="00873EB5" w:rsidRPr="00686D5F">
        <w:rPr>
          <w:rFonts w:ascii="Arial" w:hAnsi="Arial" w:cs="Arial"/>
        </w:rPr>
        <w:t xml:space="preserve">velocity measurements were made in the same plane as the </w:t>
      </w:r>
      <w:r w:rsidR="000A1490" w:rsidRPr="00686D5F">
        <w:rPr>
          <w:rFonts w:ascii="Arial" w:hAnsi="Arial" w:cs="Arial"/>
        </w:rPr>
        <w:t>(in the left-right or x-axis</w:t>
      </w:r>
      <w:r w:rsidR="00173DA9" w:rsidRPr="00686D5F">
        <w:rPr>
          <w:rFonts w:ascii="Arial" w:hAnsi="Arial" w:cs="Arial"/>
        </w:rPr>
        <w:t>)</w:t>
      </w:r>
      <w:r w:rsidR="00873EB5" w:rsidRPr="00686D5F">
        <w:rPr>
          <w:rFonts w:ascii="Arial" w:hAnsi="Arial" w:cs="Arial"/>
        </w:rPr>
        <w:t>, and a</w:t>
      </w:r>
      <w:r w:rsidR="000A1490" w:rsidRPr="00686D5F">
        <w:rPr>
          <w:rFonts w:ascii="Arial" w:hAnsi="Arial" w:cs="Arial"/>
        </w:rPr>
        <w:t>cceler</w:t>
      </w:r>
      <w:r w:rsidR="00873EB5" w:rsidRPr="00686D5F">
        <w:rPr>
          <w:rFonts w:ascii="Arial" w:hAnsi="Arial" w:cs="Arial"/>
        </w:rPr>
        <w:t>ometer</w:t>
      </w:r>
      <w:r w:rsidR="000A1490" w:rsidRPr="00686D5F">
        <w:rPr>
          <w:rFonts w:ascii="Arial" w:hAnsi="Arial" w:cs="Arial"/>
        </w:rPr>
        <w:t xml:space="preserve"> output </w:t>
      </w:r>
      <w:r w:rsidR="00873EB5" w:rsidRPr="00686D5F">
        <w:rPr>
          <w:rFonts w:ascii="Arial" w:hAnsi="Arial" w:cs="Arial"/>
        </w:rPr>
        <w:t>was integrated to velocity to validate LDV system output.</w:t>
      </w:r>
      <w:r w:rsidR="00BB0FF5" w:rsidRPr="00686D5F">
        <w:rPr>
          <w:rFonts w:ascii="Arial" w:hAnsi="Arial" w:cs="Arial"/>
        </w:rPr>
        <w:t xml:space="preserve"> The LDV carrier delay was corrected programmatically on LabVIEW</w:t>
      </w:r>
      <w:r w:rsidR="002D6723" w:rsidRPr="00686D5F">
        <w:rPr>
          <w:rFonts w:ascii="Arial" w:hAnsi="Arial" w:cs="Arial"/>
        </w:rPr>
        <w:t>, and outputs were quantified across frequency using sinusoidal inputs</w:t>
      </w:r>
      <w:r w:rsidR="00BB0FF5" w:rsidRPr="00686D5F">
        <w:rPr>
          <w:rFonts w:ascii="Arial" w:hAnsi="Arial" w:cs="Arial"/>
        </w:rPr>
        <w:t xml:space="preserve">. Code can be made available from the corresponding author upon reasonable request. </w:t>
      </w:r>
    </w:p>
    <w:p w14:paraId="687311FD" w14:textId="1596627C" w:rsidR="00882694" w:rsidRPr="00686D5F" w:rsidRDefault="00BF41B0" w:rsidP="00686D5F">
      <w:pPr>
        <w:jc w:val="center"/>
        <w:rPr>
          <w:noProof/>
        </w:rPr>
      </w:pPr>
      <w:r w:rsidRPr="00686D5F">
        <w:rPr>
          <w:noProof/>
        </w:rPr>
        <w:drawing>
          <wp:inline distT="0" distB="0" distL="0" distR="0" wp14:anchorId="51D899FE" wp14:editId="51F1C7FD">
            <wp:extent cx="2712693" cy="63391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1753" cy="6430432"/>
                    </a:xfrm>
                    <a:prstGeom prst="rect">
                      <a:avLst/>
                    </a:prstGeom>
                  </pic:spPr>
                </pic:pic>
              </a:graphicData>
            </a:graphic>
          </wp:inline>
        </w:drawing>
      </w:r>
    </w:p>
    <w:p w14:paraId="3BF45CA4" w14:textId="7CE0E9DB" w:rsidR="00E1095C" w:rsidRPr="003F2DC0" w:rsidRDefault="00882694" w:rsidP="00686D5F">
      <w:pPr>
        <w:tabs>
          <w:tab w:val="left" w:pos="2925"/>
        </w:tabs>
        <w:jc w:val="both"/>
        <w:rPr>
          <w:rFonts w:ascii="Arial" w:hAnsi="Arial" w:cs="Arial"/>
        </w:rPr>
      </w:pPr>
      <w:r w:rsidRPr="00686D5F">
        <w:rPr>
          <w:rFonts w:ascii="Arial" w:hAnsi="Arial" w:cs="Arial"/>
          <w:b/>
          <w:bCs/>
        </w:rPr>
        <w:t xml:space="preserve">Supplementary Figure </w:t>
      </w:r>
      <w:r w:rsidR="005A377C">
        <w:rPr>
          <w:rFonts w:ascii="Arial" w:hAnsi="Arial" w:cs="Arial"/>
          <w:b/>
          <w:bCs/>
        </w:rPr>
        <w:t>2</w:t>
      </w:r>
      <w:r w:rsidR="007627C5" w:rsidRPr="00686D5F">
        <w:rPr>
          <w:rFonts w:ascii="Arial" w:hAnsi="Arial" w:cs="Arial"/>
          <w:b/>
          <w:bCs/>
        </w:rPr>
        <w:t xml:space="preserve"> (S</w:t>
      </w:r>
      <w:r w:rsidR="005A377C">
        <w:rPr>
          <w:rFonts w:ascii="Arial" w:hAnsi="Arial" w:cs="Arial"/>
          <w:b/>
          <w:bCs/>
        </w:rPr>
        <w:t>2</w:t>
      </w:r>
      <w:r w:rsidR="007627C5" w:rsidRPr="00686D5F">
        <w:rPr>
          <w:rFonts w:ascii="Arial" w:hAnsi="Arial" w:cs="Arial"/>
          <w:b/>
          <w:bCs/>
        </w:rPr>
        <w:t>).</w:t>
      </w:r>
      <w:r w:rsidRPr="00686D5F">
        <w:rPr>
          <w:rFonts w:ascii="Arial" w:hAnsi="Arial" w:cs="Arial"/>
          <w:b/>
          <w:bCs/>
        </w:rPr>
        <w:t xml:space="preserve"> </w:t>
      </w:r>
      <w:r w:rsidRPr="00686D5F">
        <w:rPr>
          <w:rFonts w:ascii="Arial" w:hAnsi="Arial" w:cs="Arial"/>
        </w:rPr>
        <w:t xml:space="preserve">Calibration of </w:t>
      </w:r>
      <w:r w:rsidR="00277661" w:rsidRPr="00686D5F">
        <w:rPr>
          <w:rFonts w:ascii="Arial" w:hAnsi="Arial" w:cs="Arial"/>
        </w:rPr>
        <w:t>L</w:t>
      </w:r>
      <w:r w:rsidRPr="00686D5F">
        <w:rPr>
          <w:rFonts w:ascii="Arial" w:hAnsi="Arial" w:cs="Arial"/>
        </w:rPr>
        <w:t xml:space="preserve">aser Doppler </w:t>
      </w:r>
      <w:proofErr w:type="spellStart"/>
      <w:r w:rsidR="00277661" w:rsidRPr="00686D5F">
        <w:rPr>
          <w:rFonts w:ascii="Arial" w:hAnsi="Arial" w:cs="Arial"/>
        </w:rPr>
        <w:t>V</w:t>
      </w:r>
      <w:r w:rsidRPr="00686D5F">
        <w:rPr>
          <w:rFonts w:ascii="Arial" w:hAnsi="Arial" w:cs="Arial"/>
        </w:rPr>
        <w:t>ibrometry</w:t>
      </w:r>
      <w:proofErr w:type="spellEnd"/>
      <w:r w:rsidRPr="00686D5F">
        <w:rPr>
          <w:rFonts w:ascii="Arial" w:hAnsi="Arial" w:cs="Arial"/>
        </w:rPr>
        <w:t xml:space="preserve"> system output. a. Schematic of the experimental setup </w:t>
      </w:r>
      <w:r w:rsidR="00CF1EDE" w:rsidRPr="00686D5F">
        <w:rPr>
          <w:rFonts w:ascii="Arial" w:hAnsi="Arial" w:cs="Arial"/>
        </w:rPr>
        <w:t>used to</w:t>
      </w:r>
      <w:r w:rsidRPr="00686D5F">
        <w:rPr>
          <w:rFonts w:ascii="Arial" w:hAnsi="Arial" w:cs="Arial"/>
        </w:rPr>
        <w:t xml:space="preserve"> calibrate</w:t>
      </w:r>
      <w:r w:rsidR="00CF1EDE" w:rsidRPr="00686D5F">
        <w:rPr>
          <w:rFonts w:ascii="Arial" w:hAnsi="Arial" w:cs="Arial"/>
        </w:rPr>
        <w:t xml:space="preserve"> </w:t>
      </w:r>
      <w:r w:rsidRPr="00686D5F">
        <w:rPr>
          <w:rFonts w:ascii="Arial" w:hAnsi="Arial" w:cs="Arial"/>
        </w:rPr>
        <w:t>LDV velocity against accelerometer velocity.</w:t>
      </w:r>
      <w:r w:rsidR="004A03F3" w:rsidRPr="00686D5F">
        <w:rPr>
          <w:rFonts w:ascii="Arial" w:hAnsi="Arial" w:cs="Arial"/>
        </w:rPr>
        <w:t xml:space="preserve"> b. </w:t>
      </w:r>
      <w:r w:rsidR="00277661" w:rsidRPr="00686D5F">
        <w:rPr>
          <w:rFonts w:ascii="Arial" w:hAnsi="Arial" w:cs="Arial"/>
        </w:rPr>
        <w:t>Representative</w:t>
      </w:r>
      <w:r w:rsidR="004A03F3" w:rsidRPr="00686D5F">
        <w:rPr>
          <w:rFonts w:ascii="Arial" w:hAnsi="Arial" w:cs="Arial"/>
        </w:rPr>
        <w:t xml:space="preserve"> LDV velocity</w:t>
      </w:r>
      <w:r w:rsidR="005805F6" w:rsidRPr="00686D5F">
        <w:rPr>
          <w:rFonts w:ascii="Arial" w:hAnsi="Arial" w:cs="Arial"/>
        </w:rPr>
        <w:t xml:space="preserve"> and </w:t>
      </w:r>
      <w:proofErr w:type="spellStart"/>
      <w:r w:rsidR="005805F6" w:rsidRPr="00686D5F">
        <w:rPr>
          <w:rFonts w:ascii="Arial" w:hAnsi="Arial" w:cs="Arial"/>
        </w:rPr>
        <w:t>earbar</w:t>
      </w:r>
      <w:proofErr w:type="spellEnd"/>
      <w:r w:rsidR="005805F6" w:rsidRPr="00686D5F">
        <w:rPr>
          <w:rFonts w:ascii="Arial" w:hAnsi="Arial" w:cs="Arial"/>
        </w:rPr>
        <w:t xml:space="preserve"> acceleration</w:t>
      </w:r>
      <w:r w:rsidR="004A03F3" w:rsidRPr="00686D5F">
        <w:rPr>
          <w:rFonts w:ascii="Arial" w:hAnsi="Arial" w:cs="Arial"/>
        </w:rPr>
        <w:t xml:space="preserve"> waveforms </w:t>
      </w:r>
      <w:r w:rsidR="00CF1EDE" w:rsidRPr="00686D5F">
        <w:rPr>
          <w:rFonts w:ascii="Arial" w:hAnsi="Arial" w:cs="Arial"/>
        </w:rPr>
        <w:t xml:space="preserve">following </w:t>
      </w:r>
      <w:proofErr w:type="spellStart"/>
      <w:r w:rsidR="00FE67BA" w:rsidRPr="00686D5F">
        <w:rPr>
          <w:rFonts w:ascii="Arial" w:hAnsi="Arial" w:cs="Arial"/>
        </w:rPr>
        <w:t>Brüel</w:t>
      </w:r>
      <w:proofErr w:type="spellEnd"/>
      <w:r w:rsidR="00FE67BA" w:rsidRPr="00686D5F">
        <w:rPr>
          <w:rFonts w:ascii="Arial" w:hAnsi="Arial" w:cs="Arial"/>
        </w:rPr>
        <w:t xml:space="preserve"> &amp; </w:t>
      </w:r>
      <w:proofErr w:type="spellStart"/>
      <w:r w:rsidR="00FE67BA" w:rsidRPr="00686D5F">
        <w:rPr>
          <w:rFonts w:ascii="Arial" w:hAnsi="Arial" w:cs="Arial"/>
        </w:rPr>
        <w:t>Kjær</w:t>
      </w:r>
      <w:proofErr w:type="spellEnd"/>
      <w:r w:rsidR="00FE67BA" w:rsidRPr="00686D5F">
        <w:rPr>
          <w:rFonts w:ascii="Arial" w:hAnsi="Arial" w:cs="Arial"/>
        </w:rPr>
        <w:t xml:space="preserve"> (B&amp;K) </w:t>
      </w:r>
      <w:proofErr w:type="spellStart"/>
      <w:r w:rsidR="00FE67BA" w:rsidRPr="00686D5F">
        <w:rPr>
          <w:rFonts w:ascii="Arial" w:hAnsi="Arial" w:cs="Arial"/>
        </w:rPr>
        <w:t>minishaker</w:t>
      </w:r>
      <w:proofErr w:type="spellEnd"/>
      <w:r w:rsidR="00FE67BA" w:rsidRPr="00686D5F">
        <w:rPr>
          <w:rFonts w:ascii="Arial" w:hAnsi="Arial" w:cs="Arial"/>
        </w:rPr>
        <w:t xml:space="preserve"> stimulation (</w:t>
      </w:r>
      <w:r w:rsidR="004A03F3" w:rsidRPr="00686D5F">
        <w:rPr>
          <w:rFonts w:ascii="Arial" w:hAnsi="Arial" w:cs="Arial"/>
        </w:rPr>
        <w:t>0.5ms vibration pulse</w:t>
      </w:r>
      <w:r w:rsidR="00FE67BA" w:rsidRPr="00686D5F">
        <w:rPr>
          <w:rFonts w:ascii="Arial" w:hAnsi="Arial" w:cs="Arial"/>
        </w:rPr>
        <w:t xml:space="preserve">). Accelerometer G integrated to velocity </w:t>
      </w:r>
      <w:r w:rsidR="000162D8" w:rsidRPr="00686D5F">
        <w:rPr>
          <w:rFonts w:ascii="Arial" w:hAnsi="Arial" w:cs="Arial"/>
        </w:rPr>
        <w:t xml:space="preserve">matches the waveshape and magnitude of LDV velocity, </w:t>
      </w:r>
      <w:r w:rsidR="002D6723" w:rsidRPr="00686D5F">
        <w:rPr>
          <w:rFonts w:ascii="Arial" w:hAnsi="Arial" w:cs="Arial"/>
        </w:rPr>
        <w:t>suggesting a</w:t>
      </w:r>
      <w:r w:rsidR="00173DA9" w:rsidRPr="00686D5F">
        <w:rPr>
          <w:rFonts w:ascii="Arial" w:hAnsi="Arial" w:cs="Arial"/>
        </w:rPr>
        <w:t xml:space="preserve"> robust calibration.</w:t>
      </w:r>
      <w:r w:rsidR="00012873" w:rsidRPr="00686D5F">
        <w:rPr>
          <w:rFonts w:ascii="Arial" w:hAnsi="Arial" w:cs="Arial"/>
        </w:rPr>
        <w:t xml:space="preserve"> c</w:t>
      </w:r>
      <w:r w:rsidR="002D6723" w:rsidRPr="00686D5F">
        <w:rPr>
          <w:rFonts w:ascii="Arial" w:hAnsi="Arial" w:cs="Arial"/>
        </w:rPr>
        <w:t xml:space="preserve">. Results of </w:t>
      </w:r>
      <w:r w:rsidR="004C0CEF" w:rsidRPr="00686D5F">
        <w:rPr>
          <w:rFonts w:ascii="Arial" w:hAnsi="Arial" w:cs="Arial"/>
        </w:rPr>
        <w:t>the</w:t>
      </w:r>
      <w:r w:rsidR="005D1A04" w:rsidRPr="00686D5F">
        <w:rPr>
          <w:rFonts w:ascii="Arial" w:hAnsi="Arial" w:cs="Arial"/>
        </w:rPr>
        <w:t xml:space="preserve"> 1.2ms</w:t>
      </w:r>
      <w:r w:rsidR="004C0CEF" w:rsidRPr="00686D5F">
        <w:rPr>
          <w:rFonts w:ascii="Arial" w:hAnsi="Arial" w:cs="Arial"/>
        </w:rPr>
        <w:t xml:space="preserve"> LDV carrier delay correction</w:t>
      </w:r>
      <w:r w:rsidR="005D1A04" w:rsidRPr="00686D5F">
        <w:rPr>
          <w:rFonts w:ascii="Arial" w:hAnsi="Arial" w:cs="Arial"/>
        </w:rPr>
        <w:t xml:space="preserve"> across frequency. </w:t>
      </w:r>
      <w:r w:rsidR="00E1095C" w:rsidRPr="00686D5F">
        <w:rPr>
          <w:rFonts w:ascii="Arial" w:hAnsi="Arial" w:cs="Arial"/>
          <w:b/>
          <w:bCs/>
        </w:rPr>
        <w:lastRenderedPageBreak/>
        <w:t xml:space="preserve">Supplementary Note </w:t>
      </w:r>
      <w:r w:rsidR="005A377C">
        <w:rPr>
          <w:rFonts w:ascii="Arial" w:hAnsi="Arial" w:cs="Arial"/>
          <w:b/>
          <w:bCs/>
        </w:rPr>
        <w:t>3</w:t>
      </w:r>
      <w:r w:rsidR="00E1095C" w:rsidRPr="00686D5F">
        <w:rPr>
          <w:rFonts w:ascii="Arial" w:hAnsi="Arial" w:cs="Arial"/>
          <w:b/>
          <w:bCs/>
        </w:rPr>
        <w:t xml:space="preserve">. </w:t>
      </w:r>
      <w:r w:rsidR="00E1095C" w:rsidRPr="00686D5F">
        <w:rPr>
          <w:rFonts w:ascii="Arial" w:hAnsi="Arial" w:cs="Arial"/>
        </w:rPr>
        <w:t xml:space="preserve">When recording vestibular responses, attempts were made to position the bead at the </w:t>
      </w:r>
      <w:r w:rsidR="00033424" w:rsidRPr="00686D5F">
        <w:rPr>
          <w:rFonts w:ascii="Arial" w:hAnsi="Arial" w:cs="Arial"/>
        </w:rPr>
        <w:t xml:space="preserve">central </w:t>
      </w:r>
      <w:r w:rsidR="00E1095C" w:rsidRPr="00686D5F">
        <w:rPr>
          <w:rFonts w:ascii="Arial" w:hAnsi="Arial" w:cs="Arial"/>
        </w:rPr>
        <w:t xml:space="preserve">dark band </w:t>
      </w:r>
      <w:r w:rsidR="00033424" w:rsidRPr="00686D5F">
        <w:rPr>
          <w:rFonts w:ascii="Arial" w:hAnsi="Arial" w:cs="Arial"/>
        </w:rPr>
        <w:t>in the middle of the</w:t>
      </w:r>
      <w:r w:rsidR="00E1095C" w:rsidRPr="00686D5F">
        <w:rPr>
          <w:rFonts w:ascii="Arial" w:hAnsi="Arial" w:cs="Arial"/>
        </w:rPr>
        <w:t xml:space="preserve"> macula, which corresponds approximately to the </w:t>
      </w:r>
      <w:proofErr w:type="spellStart"/>
      <w:r w:rsidR="00E1095C" w:rsidRPr="00686D5F">
        <w:rPr>
          <w:rFonts w:ascii="Arial" w:hAnsi="Arial" w:cs="Arial"/>
        </w:rPr>
        <w:t>striolar</w:t>
      </w:r>
      <w:proofErr w:type="spellEnd"/>
      <w:r w:rsidR="00E1095C" w:rsidRPr="00686D5F">
        <w:rPr>
          <w:rFonts w:ascii="Arial" w:hAnsi="Arial" w:cs="Arial"/>
        </w:rPr>
        <w:t xml:space="preserve"> </w:t>
      </w:r>
      <w:r w:rsidR="00033424" w:rsidRPr="00686D5F">
        <w:rPr>
          <w:rFonts w:ascii="Arial" w:hAnsi="Arial" w:cs="Arial"/>
        </w:rPr>
        <w:t>zone of the neuroepithelium</w:t>
      </w:r>
      <w:r w:rsidR="00E1095C" w:rsidRPr="00686D5F">
        <w:rPr>
          <w:rFonts w:ascii="Arial" w:hAnsi="Arial" w:cs="Arial"/>
        </w:rPr>
        <w:t xml:space="preserve"> (Fig. 1 &amp; 3). However, due to the delicate nature of the surgery, and with attempts to avoid contact/damage to the vestibular </w:t>
      </w:r>
      <w:r w:rsidR="00E27E69" w:rsidRPr="00686D5F">
        <w:rPr>
          <w:rFonts w:ascii="Arial" w:hAnsi="Arial" w:cs="Arial"/>
        </w:rPr>
        <w:t>macula</w:t>
      </w:r>
      <w:r w:rsidR="00E1095C" w:rsidRPr="00686D5F">
        <w:rPr>
          <w:rFonts w:ascii="Arial" w:hAnsi="Arial" w:cs="Arial"/>
        </w:rPr>
        <w:t xml:space="preserve">, bead positions varied subtly across animals. Measurements were undertaken to determine the effect of this variation. Recordings of macular vibration at the lateral </w:t>
      </w:r>
      <w:proofErr w:type="spellStart"/>
      <w:r w:rsidR="00E1095C" w:rsidRPr="00686D5F">
        <w:rPr>
          <w:rFonts w:ascii="Arial" w:hAnsi="Arial" w:cs="Arial"/>
        </w:rPr>
        <w:t>striolar</w:t>
      </w:r>
      <w:proofErr w:type="spellEnd"/>
      <w:r w:rsidR="00E1095C" w:rsidRPr="00686D5F">
        <w:rPr>
          <w:rFonts w:ascii="Arial" w:hAnsi="Arial" w:cs="Arial"/>
        </w:rPr>
        <w:t xml:space="preserve"> region revealed minimal to no differences to that of the central ‘</w:t>
      </w:r>
      <w:proofErr w:type="spellStart"/>
      <w:r w:rsidR="00E1095C" w:rsidRPr="00686D5F">
        <w:rPr>
          <w:rFonts w:ascii="Arial" w:hAnsi="Arial" w:cs="Arial"/>
        </w:rPr>
        <w:t>striolar</w:t>
      </w:r>
      <w:proofErr w:type="spellEnd"/>
      <w:r w:rsidR="00E1095C" w:rsidRPr="00686D5F">
        <w:rPr>
          <w:rFonts w:ascii="Arial" w:hAnsi="Arial" w:cs="Arial"/>
        </w:rPr>
        <w:t xml:space="preserve">’ zone for </w:t>
      </w:r>
      <w:r w:rsidR="00E27E69" w:rsidRPr="00686D5F">
        <w:rPr>
          <w:rFonts w:ascii="Arial" w:hAnsi="Arial" w:cs="Arial"/>
        </w:rPr>
        <w:t>brief</w:t>
      </w:r>
      <w:r w:rsidR="00E1095C" w:rsidRPr="00686D5F">
        <w:rPr>
          <w:rFonts w:ascii="Arial" w:hAnsi="Arial" w:cs="Arial"/>
        </w:rPr>
        <w:t xml:space="preserve"> vibration. This suggested that discrepancies in bead placement across animals did not alter mechanical results based on spatial tuning of the macula. Comparisons of </w:t>
      </w:r>
      <w:r w:rsidR="004E1D86" w:rsidRPr="00686D5F">
        <w:rPr>
          <w:rFonts w:ascii="Arial" w:hAnsi="Arial" w:cs="Arial"/>
        </w:rPr>
        <w:t xml:space="preserve">temporal </w:t>
      </w:r>
      <w:r w:rsidR="00E1095C" w:rsidRPr="00686D5F">
        <w:rPr>
          <w:rFonts w:ascii="Arial" w:hAnsi="Arial" w:cs="Arial"/>
        </w:rPr>
        <w:t xml:space="preserve">bone </w:t>
      </w:r>
      <w:r w:rsidR="004E1D86" w:rsidRPr="00686D5F">
        <w:rPr>
          <w:rFonts w:ascii="Arial" w:hAnsi="Arial" w:cs="Arial"/>
        </w:rPr>
        <w:t>vibration were also compared to that of the macula</w:t>
      </w:r>
      <w:r w:rsidR="009622BE" w:rsidRPr="00686D5F">
        <w:rPr>
          <w:rFonts w:ascii="Arial" w:hAnsi="Arial" w:cs="Arial"/>
        </w:rPr>
        <w:t>,</w:t>
      </w:r>
      <w:r w:rsidR="004E1D86" w:rsidRPr="00686D5F">
        <w:rPr>
          <w:rFonts w:ascii="Arial" w:hAnsi="Arial" w:cs="Arial"/>
        </w:rPr>
        <w:t xml:space="preserve"> to quantify </w:t>
      </w:r>
      <w:r w:rsidR="009622BE" w:rsidRPr="00686D5F">
        <w:rPr>
          <w:rFonts w:ascii="Arial" w:hAnsi="Arial" w:cs="Arial"/>
        </w:rPr>
        <w:t>BCV transmission through the cranium to the macula.</w:t>
      </w:r>
    </w:p>
    <w:p w14:paraId="2892E0B0" w14:textId="77777777" w:rsidR="00E1095C" w:rsidRPr="00686D5F" w:rsidRDefault="00E1095C" w:rsidP="00686D5F">
      <w:pPr>
        <w:tabs>
          <w:tab w:val="left" w:pos="2925"/>
        </w:tabs>
        <w:jc w:val="both"/>
        <w:rPr>
          <w:noProof/>
        </w:rPr>
      </w:pPr>
    </w:p>
    <w:p w14:paraId="25C28300" w14:textId="77777777" w:rsidR="00E1095C" w:rsidRPr="00686D5F" w:rsidRDefault="00E1095C" w:rsidP="00686D5F">
      <w:pPr>
        <w:tabs>
          <w:tab w:val="left" w:pos="2925"/>
        </w:tabs>
        <w:jc w:val="center"/>
        <w:rPr>
          <w:noProof/>
        </w:rPr>
      </w:pPr>
      <w:r w:rsidRPr="00686D5F">
        <w:rPr>
          <w:noProof/>
        </w:rPr>
        <w:drawing>
          <wp:inline distT="0" distB="0" distL="0" distR="0" wp14:anchorId="438376D9" wp14:editId="25732AFD">
            <wp:extent cx="5614699" cy="3995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1485" cy="4000359"/>
                    </a:xfrm>
                    <a:prstGeom prst="rect">
                      <a:avLst/>
                    </a:prstGeom>
                    <a:noFill/>
                    <a:ln>
                      <a:noFill/>
                    </a:ln>
                  </pic:spPr>
                </pic:pic>
              </a:graphicData>
            </a:graphic>
          </wp:inline>
        </w:drawing>
      </w:r>
    </w:p>
    <w:p w14:paraId="32286048" w14:textId="77777777" w:rsidR="00E1095C" w:rsidRPr="00686D5F" w:rsidRDefault="00E1095C" w:rsidP="00686D5F">
      <w:pPr>
        <w:jc w:val="both"/>
        <w:rPr>
          <w:noProof/>
        </w:rPr>
      </w:pPr>
    </w:p>
    <w:p w14:paraId="5202765C" w14:textId="542C3AB0" w:rsidR="00E1095C" w:rsidRDefault="00E1095C" w:rsidP="00686D5F">
      <w:pPr>
        <w:tabs>
          <w:tab w:val="left" w:pos="1847"/>
        </w:tabs>
        <w:jc w:val="both"/>
        <w:rPr>
          <w:rFonts w:ascii="Arial" w:hAnsi="Arial" w:cs="Arial"/>
        </w:rPr>
      </w:pPr>
      <w:r w:rsidRPr="00686D5F">
        <w:rPr>
          <w:rFonts w:ascii="Arial" w:hAnsi="Arial" w:cs="Arial"/>
          <w:b/>
          <w:bCs/>
        </w:rPr>
        <w:t xml:space="preserve">Supplementary Figure </w:t>
      </w:r>
      <w:r w:rsidR="005A377C">
        <w:rPr>
          <w:rFonts w:ascii="Arial" w:hAnsi="Arial" w:cs="Arial"/>
          <w:b/>
          <w:bCs/>
        </w:rPr>
        <w:t>3</w:t>
      </w:r>
      <w:r w:rsidR="009622BE" w:rsidRPr="00686D5F">
        <w:rPr>
          <w:rFonts w:ascii="Arial" w:hAnsi="Arial" w:cs="Arial"/>
          <w:b/>
          <w:bCs/>
        </w:rPr>
        <w:t xml:space="preserve"> </w:t>
      </w:r>
      <w:r w:rsidRPr="00686D5F">
        <w:rPr>
          <w:rFonts w:ascii="Arial" w:hAnsi="Arial" w:cs="Arial"/>
          <w:b/>
          <w:bCs/>
        </w:rPr>
        <w:t>(S</w:t>
      </w:r>
      <w:r w:rsidR="005A377C">
        <w:rPr>
          <w:rFonts w:ascii="Arial" w:hAnsi="Arial" w:cs="Arial"/>
          <w:b/>
          <w:bCs/>
        </w:rPr>
        <w:t>3</w:t>
      </w:r>
      <w:r w:rsidRPr="00686D5F">
        <w:rPr>
          <w:rFonts w:ascii="Arial" w:hAnsi="Arial" w:cs="Arial"/>
          <w:b/>
          <w:bCs/>
        </w:rPr>
        <w:t xml:space="preserve">).  </w:t>
      </w:r>
      <w:r w:rsidRPr="00686D5F">
        <w:rPr>
          <w:rFonts w:ascii="Arial" w:hAnsi="Arial" w:cs="Arial"/>
        </w:rPr>
        <w:t>Dynamic response of the macula vs. bone to pulsatile vibration. A. Reflective microbeads were placed on the central (</w:t>
      </w:r>
      <w:r w:rsidRPr="00686D5F">
        <w:rPr>
          <w:rFonts w:ascii="Arial" w:hAnsi="Arial" w:cs="Arial"/>
          <w:i/>
          <w:iCs/>
        </w:rPr>
        <w:t>green</w:t>
      </w:r>
      <w:r w:rsidRPr="00686D5F">
        <w:rPr>
          <w:rFonts w:ascii="Arial" w:hAnsi="Arial" w:cs="Arial"/>
        </w:rPr>
        <w:t>) and lateral (</w:t>
      </w:r>
      <w:r w:rsidRPr="00686D5F">
        <w:rPr>
          <w:rFonts w:ascii="Arial" w:hAnsi="Arial" w:cs="Arial"/>
          <w:i/>
          <w:iCs/>
        </w:rPr>
        <w:t>red</w:t>
      </w:r>
      <w:r w:rsidRPr="00686D5F">
        <w:rPr>
          <w:rFonts w:ascii="Arial" w:hAnsi="Arial" w:cs="Arial"/>
        </w:rPr>
        <w:t>) macular region, and bone within the vestibule (</w:t>
      </w:r>
      <w:r w:rsidRPr="00686D5F">
        <w:rPr>
          <w:rFonts w:ascii="Arial" w:hAnsi="Arial" w:cs="Arial"/>
          <w:i/>
          <w:iCs/>
        </w:rPr>
        <w:t>blue</w:t>
      </w:r>
      <w:r w:rsidRPr="00686D5F">
        <w:rPr>
          <w:rFonts w:ascii="Arial" w:hAnsi="Arial" w:cs="Arial"/>
        </w:rPr>
        <w:t xml:space="preserve">), for LDV and accelerometer measurements during BCV. B. Representative LDV and accelerometer waveforms corresponding to 0.1V input drive to the </w:t>
      </w:r>
      <w:proofErr w:type="spellStart"/>
      <w:r w:rsidRPr="00686D5F">
        <w:rPr>
          <w:rFonts w:ascii="Arial" w:hAnsi="Arial" w:cs="Arial"/>
        </w:rPr>
        <w:t>minishaker</w:t>
      </w:r>
      <w:proofErr w:type="spellEnd"/>
      <w:r w:rsidRPr="00686D5F">
        <w:rPr>
          <w:rFonts w:ascii="Arial" w:hAnsi="Arial" w:cs="Arial"/>
        </w:rPr>
        <w:t>. C. LDV Input-Output functions across BCV input drives corresponding to central and lateral macula and bone positions, for negative (dashed lines) and positive (solid lines) polarity stim. D. LDV response sensitivity relative to ear-bar acceleration in units of µm/s/</w:t>
      </w:r>
      <w:proofErr w:type="spellStart"/>
      <w:r w:rsidRPr="00686D5F">
        <w:rPr>
          <w:rFonts w:ascii="Arial" w:hAnsi="Arial" w:cs="Arial"/>
        </w:rPr>
        <w:t>mG</w:t>
      </w:r>
      <w:proofErr w:type="spellEnd"/>
      <w:r w:rsidRPr="00686D5F">
        <w:rPr>
          <w:rFonts w:ascii="Arial" w:hAnsi="Arial" w:cs="Arial"/>
        </w:rPr>
        <w:t>, across input drives associated with different bead positions.</w:t>
      </w:r>
    </w:p>
    <w:p w14:paraId="44950134" w14:textId="235C08ED" w:rsidR="00686D5F" w:rsidRDefault="00686D5F" w:rsidP="00686D5F">
      <w:pPr>
        <w:tabs>
          <w:tab w:val="left" w:pos="1847"/>
        </w:tabs>
        <w:jc w:val="both"/>
        <w:rPr>
          <w:rFonts w:ascii="Arial" w:hAnsi="Arial" w:cs="Arial"/>
        </w:rPr>
      </w:pPr>
    </w:p>
    <w:p w14:paraId="1268077F" w14:textId="77777777" w:rsidR="00E1095C" w:rsidRPr="007627C5" w:rsidRDefault="00E1095C" w:rsidP="00632955">
      <w:pPr>
        <w:tabs>
          <w:tab w:val="left" w:pos="1847"/>
        </w:tabs>
        <w:jc w:val="both"/>
        <w:rPr>
          <w:rFonts w:ascii="Arial" w:hAnsi="Arial" w:cs="Arial"/>
          <w:b/>
          <w:bCs/>
        </w:rPr>
      </w:pPr>
    </w:p>
    <w:sectPr w:rsidR="00E1095C" w:rsidRPr="007627C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4321D" w14:textId="77777777" w:rsidR="002E6B2B" w:rsidRDefault="002E6B2B" w:rsidP="002E6B2B">
      <w:pPr>
        <w:spacing w:after="0" w:line="240" w:lineRule="auto"/>
      </w:pPr>
      <w:r>
        <w:separator/>
      </w:r>
    </w:p>
  </w:endnote>
  <w:endnote w:type="continuationSeparator" w:id="0">
    <w:p w14:paraId="67DE44A0" w14:textId="77777777" w:rsidR="002E6B2B" w:rsidRDefault="002E6B2B" w:rsidP="002E6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928423"/>
      <w:docPartObj>
        <w:docPartGallery w:val="Page Numbers (Bottom of Page)"/>
        <w:docPartUnique/>
      </w:docPartObj>
    </w:sdtPr>
    <w:sdtEndPr>
      <w:rPr>
        <w:noProof/>
      </w:rPr>
    </w:sdtEndPr>
    <w:sdtContent>
      <w:p w14:paraId="67FF43CC" w14:textId="0A53358C" w:rsidR="002E6B2B" w:rsidRDefault="002E6B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2662A" w14:textId="77777777" w:rsidR="002E6B2B" w:rsidRDefault="002E6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316C1" w14:textId="77777777" w:rsidR="002E6B2B" w:rsidRDefault="002E6B2B" w:rsidP="002E6B2B">
      <w:pPr>
        <w:spacing w:after="0" w:line="240" w:lineRule="auto"/>
      </w:pPr>
      <w:r>
        <w:separator/>
      </w:r>
    </w:p>
  </w:footnote>
  <w:footnote w:type="continuationSeparator" w:id="0">
    <w:p w14:paraId="5F6A5D94" w14:textId="77777777" w:rsidR="002E6B2B" w:rsidRDefault="002E6B2B" w:rsidP="002E6B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3E"/>
    <w:rsid w:val="00001975"/>
    <w:rsid w:val="00012873"/>
    <w:rsid w:val="000162D8"/>
    <w:rsid w:val="00016B57"/>
    <w:rsid w:val="00033424"/>
    <w:rsid w:val="000557C7"/>
    <w:rsid w:val="00083990"/>
    <w:rsid w:val="000A1490"/>
    <w:rsid w:val="00166074"/>
    <w:rsid w:val="00173DA9"/>
    <w:rsid w:val="00250907"/>
    <w:rsid w:val="00277661"/>
    <w:rsid w:val="002D6723"/>
    <w:rsid w:val="002E6B2B"/>
    <w:rsid w:val="002F70A0"/>
    <w:rsid w:val="00306CFE"/>
    <w:rsid w:val="0035531D"/>
    <w:rsid w:val="003A1CE5"/>
    <w:rsid w:val="003B5764"/>
    <w:rsid w:val="003F2DC0"/>
    <w:rsid w:val="00416E3E"/>
    <w:rsid w:val="004414EE"/>
    <w:rsid w:val="004A03F3"/>
    <w:rsid w:val="004C0CEF"/>
    <w:rsid w:val="004E1D86"/>
    <w:rsid w:val="0057355A"/>
    <w:rsid w:val="005805F6"/>
    <w:rsid w:val="005A377C"/>
    <w:rsid w:val="005D1A04"/>
    <w:rsid w:val="0060302B"/>
    <w:rsid w:val="00632955"/>
    <w:rsid w:val="00642BE7"/>
    <w:rsid w:val="00686D5F"/>
    <w:rsid w:val="006E2C90"/>
    <w:rsid w:val="00703CED"/>
    <w:rsid w:val="007627C5"/>
    <w:rsid w:val="007E2BC5"/>
    <w:rsid w:val="007E7F47"/>
    <w:rsid w:val="007F4AA8"/>
    <w:rsid w:val="00873EB5"/>
    <w:rsid w:val="00882694"/>
    <w:rsid w:val="00891A3E"/>
    <w:rsid w:val="008C1873"/>
    <w:rsid w:val="008E7428"/>
    <w:rsid w:val="009056BD"/>
    <w:rsid w:val="00931B89"/>
    <w:rsid w:val="009622BE"/>
    <w:rsid w:val="0099118C"/>
    <w:rsid w:val="009F24F9"/>
    <w:rsid w:val="00A53CBD"/>
    <w:rsid w:val="00B50A96"/>
    <w:rsid w:val="00B623EC"/>
    <w:rsid w:val="00B81ACB"/>
    <w:rsid w:val="00B9449B"/>
    <w:rsid w:val="00BB0FF5"/>
    <w:rsid w:val="00BF41B0"/>
    <w:rsid w:val="00C406B2"/>
    <w:rsid w:val="00CF1EDE"/>
    <w:rsid w:val="00D13EDD"/>
    <w:rsid w:val="00D46FB7"/>
    <w:rsid w:val="00DA0215"/>
    <w:rsid w:val="00DD3A59"/>
    <w:rsid w:val="00E1095C"/>
    <w:rsid w:val="00E27E69"/>
    <w:rsid w:val="00E86B98"/>
    <w:rsid w:val="00EB5379"/>
    <w:rsid w:val="00ED715D"/>
    <w:rsid w:val="00F063A1"/>
    <w:rsid w:val="00F17667"/>
    <w:rsid w:val="00F54D6D"/>
    <w:rsid w:val="00F61CC8"/>
    <w:rsid w:val="00F66C87"/>
    <w:rsid w:val="00F97530"/>
    <w:rsid w:val="00FC5C2A"/>
    <w:rsid w:val="00FE67BA"/>
    <w:rsid w:val="00FE6CDA"/>
    <w:rsid w:val="00FF76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5C21"/>
  <w15:chartTrackingRefBased/>
  <w15:docId w15:val="{90DAED10-5EB0-4EBC-926C-0FF6123D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CFE"/>
    <w:rPr>
      <w:color w:val="0563C1" w:themeColor="hyperlink"/>
      <w:u w:val="single"/>
    </w:rPr>
  </w:style>
  <w:style w:type="character" w:styleId="UnresolvedMention">
    <w:name w:val="Unresolved Mention"/>
    <w:basedOn w:val="DefaultParagraphFont"/>
    <w:uiPriority w:val="99"/>
    <w:semiHidden/>
    <w:unhideWhenUsed/>
    <w:rsid w:val="00306CFE"/>
    <w:rPr>
      <w:color w:val="605E5C"/>
      <w:shd w:val="clear" w:color="auto" w:fill="E1DFDD"/>
    </w:rPr>
  </w:style>
  <w:style w:type="paragraph" w:styleId="Header">
    <w:name w:val="header"/>
    <w:basedOn w:val="Normal"/>
    <w:link w:val="HeaderChar"/>
    <w:uiPriority w:val="99"/>
    <w:unhideWhenUsed/>
    <w:rsid w:val="002E6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B2B"/>
  </w:style>
  <w:style w:type="paragraph" w:styleId="Footer">
    <w:name w:val="footer"/>
    <w:basedOn w:val="Normal"/>
    <w:link w:val="FooterChar"/>
    <w:uiPriority w:val="99"/>
    <w:unhideWhenUsed/>
    <w:rsid w:val="002E6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opher.pastras@mq.edu.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Pastras</dc:creator>
  <cp:keywords/>
  <dc:description/>
  <cp:lastModifiedBy>Christopher Pastras</cp:lastModifiedBy>
  <cp:revision>2</cp:revision>
  <dcterms:created xsi:type="dcterms:W3CDTF">2022-12-02T01:46:00Z</dcterms:created>
  <dcterms:modified xsi:type="dcterms:W3CDTF">2022-12-02T01:46:00Z</dcterms:modified>
</cp:coreProperties>
</file>