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DB44E" w14:textId="77777777" w:rsidR="00CA088A" w:rsidRPr="001F155C" w:rsidRDefault="00CA088A" w:rsidP="00CA088A">
      <w:pPr>
        <w:jc w:val="both"/>
        <w:rPr>
          <w:b/>
          <w:bCs/>
        </w:rPr>
      </w:pPr>
      <w:r w:rsidRPr="001F155C">
        <w:rPr>
          <w:b/>
          <w:bCs/>
        </w:rPr>
        <w:t>Supplementary Table 1. List of abbreviations of tested protein candidates</w:t>
      </w:r>
    </w:p>
    <w:p w14:paraId="31EB004F" w14:textId="77777777" w:rsidR="00CA088A" w:rsidRPr="001F155C" w:rsidRDefault="00CA088A" w:rsidP="00CA088A">
      <w:pPr>
        <w:jc w:val="both"/>
      </w:pPr>
    </w:p>
    <w:tbl>
      <w:tblPr>
        <w:tblStyle w:val="TableGrid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497"/>
        <w:gridCol w:w="5543"/>
      </w:tblGrid>
      <w:tr w:rsidR="00CA088A" w:rsidRPr="001F155C" w14:paraId="3F2073BC" w14:textId="77777777" w:rsidTr="007D2A88">
        <w:tc>
          <w:tcPr>
            <w:tcW w:w="1979" w:type="dxa"/>
            <w:tcBorders>
              <w:top w:val="single" w:sz="4" w:space="0" w:color="auto"/>
              <w:bottom w:val="single" w:sz="4" w:space="0" w:color="auto"/>
            </w:tcBorders>
          </w:tcPr>
          <w:p w14:paraId="1F77A6BA" w14:textId="77777777" w:rsidR="00CA088A" w:rsidRPr="001F155C" w:rsidRDefault="00CA088A" w:rsidP="007D2A88">
            <w:pPr>
              <w:jc w:val="both"/>
              <w:rPr>
                <w:b/>
                <w:bCs/>
              </w:rPr>
            </w:pPr>
            <w:r w:rsidRPr="001F155C">
              <w:rPr>
                <w:b/>
                <w:bCs/>
              </w:rPr>
              <w:t>Abbreviation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C43E0BF" w14:textId="77777777" w:rsidR="00CA088A" w:rsidRPr="002E7D99" w:rsidRDefault="00CA088A" w:rsidP="007D2A88">
            <w:pPr>
              <w:jc w:val="both"/>
              <w:rPr>
                <w:b/>
                <w:bCs/>
                <w:lang w:val="lt-LT"/>
              </w:rPr>
            </w:pPr>
            <w:r w:rsidRPr="001F155C">
              <w:rPr>
                <w:b/>
                <w:bCs/>
              </w:rPr>
              <w:t>Gene</w:t>
            </w:r>
          </w:p>
        </w:tc>
        <w:tc>
          <w:tcPr>
            <w:tcW w:w="5613" w:type="dxa"/>
            <w:tcBorders>
              <w:top w:val="single" w:sz="4" w:space="0" w:color="auto"/>
              <w:bottom w:val="single" w:sz="4" w:space="0" w:color="auto"/>
            </w:tcBorders>
          </w:tcPr>
          <w:p w14:paraId="6311DB8C" w14:textId="77777777" w:rsidR="00CA088A" w:rsidRPr="001F155C" w:rsidRDefault="00CA088A" w:rsidP="007D2A88">
            <w:pPr>
              <w:jc w:val="both"/>
              <w:rPr>
                <w:b/>
                <w:bCs/>
              </w:rPr>
            </w:pPr>
            <w:r w:rsidRPr="001F155C">
              <w:rPr>
                <w:b/>
                <w:bCs/>
              </w:rPr>
              <w:t>Full name of biomarker</w:t>
            </w:r>
          </w:p>
        </w:tc>
      </w:tr>
      <w:tr w:rsidR="00CA088A" w:rsidRPr="001F155C" w14:paraId="3EFEF0C7" w14:textId="77777777" w:rsidTr="007D2A88">
        <w:tc>
          <w:tcPr>
            <w:tcW w:w="1979" w:type="dxa"/>
            <w:tcBorders>
              <w:top w:val="single" w:sz="4" w:space="0" w:color="auto"/>
            </w:tcBorders>
          </w:tcPr>
          <w:p w14:paraId="5B04C006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AP-N </w:t>
            </w:r>
          </w:p>
          <w:p w14:paraId="60478004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AZU</w:t>
            </w:r>
            <w:r>
              <w:t>1</w:t>
            </w:r>
          </w:p>
          <w:p w14:paraId="3207117D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BLM hydrolase </w:t>
            </w:r>
          </w:p>
          <w:p w14:paraId="5436C1C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CCL15</w:t>
            </w:r>
          </w:p>
          <w:p w14:paraId="53B5A3B2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CCL16</w:t>
            </w:r>
          </w:p>
          <w:p w14:paraId="7A55D5C7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CCL24 </w:t>
            </w:r>
          </w:p>
          <w:p w14:paraId="49F725A2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CXCL16 </w:t>
            </w:r>
          </w:p>
          <w:p w14:paraId="296B98E3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CDH5</w:t>
            </w:r>
          </w:p>
          <w:p w14:paraId="1FD4F88F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CPA1</w:t>
            </w:r>
          </w:p>
          <w:p w14:paraId="4850535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CPB1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C9A6F86" w14:textId="77777777" w:rsidR="00CA088A" w:rsidRPr="001F155C" w:rsidRDefault="00CA088A" w:rsidP="007D2A88">
            <w:pPr>
              <w:jc w:val="both"/>
            </w:pPr>
            <w:r>
              <w:t>ANPEP</w:t>
            </w:r>
          </w:p>
          <w:p w14:paraId="5BB53AA0" w14:textId="77777777" w:rsidR="00CA088A" w:rsidRPr="001F155C" w:rsidRDefault="00CA088A" w:rsidP="007D2A88">
            <w:pPr>
              <w:jc w:val="both"/>
            </w:pPr>
            <w:r>
              <w:t>AZU1</w:t>
            </w:r>
          </w:p>
          <w:p w14:paraId="5296E8E3" w14:textId="77777777" w:rsidR="00CA088A" w:rsidRPr="001F155C" w:rsidRDefault="00CA088A" w:rsidP="007D2A88">
            <w:pPr>
              <w:jc w:val="both"/>
            </w:pPr>
            <w:r w:rsidRPr="001F155C">
              <w:t>BLMH</w:t>
            </w:r>
          </w:p>
          <w:p w14:paraId="0271215D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CCL15</w:t>
            </w:r>
          </w:p>
          <w:p w14:paraId="4919988B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CCL16</w:t>
            </w:r>
          </w:p>
          <w:p w14:paraId="75FDE955" w14:textId="77777777" w:rsidR="00CA088A" w:rsidRDefault="00CA088A" w:rsidP="007D2A88">
            <w:pPr>
              <w:jc w:val="both"/>
            </w:pPr>
            <w:r>
              <w:t>CCL24</w:t>
            </w:r>
          </w:p>
          <w:p w14:paraId="28ED54BF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CXCL16 </w:t>
            </w:r>
          </w:p>
          <w:p w14:paraId="33D8E866" w14:textId="77777777" w:rsidR="00CA088A" w:rsidRDefault="00CA088A" w:rsidP="007D2A88">
            <w:pPr>
              <w:jc w:val="both"/>
            </w:pPr>
            <w:r>
              <w:t>CDH5</w:t>
            </w:r>
          </w:p>
          <w:p w14:paraId="23584FB2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CPA1</w:t>
            </w:r>
          </w:p>
          <w:p w14:paraId="0DF633D0" w14:textId="77777777" w:rsidR="00CA088A" w:rsidRPr="001F155C" w:rsidRDefault="00CA088A" w:rsidP="007D2A88">
            <w:pPr>
              <w:jc w:val="both"/>
            </w:pPr>
            <w:r w:rsidRPr="001F155C">
              <w:t>CPB1</w:t>
            </w:r>
          </w:p>
        </w:tc>
        <w:tc>
          <w:tcPr>
            <w:tcW w:w="5613" w:type="dxa"/>
            <w:tcBorders>
              <w:top w:val="single" w:sz="4" w:space="0" w:color="auto"/>
            </w:tcBorders>
          </w:tcPr>
          <w:p w14:paraId="392E655D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Aminopeptidase N </w:t>
            </w:r>
          </w:p>
          <w:p w14:paraId="43F3807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Azurocidin</w:t>
            </w:r>
          </w:p>
          <w:p w14:paraId="6F9453B5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Bleomycin hydrolase</w:t>
            </w:r>
          </w:p>
          <w:p w14:paraId="285C37F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C-C motif chemokine 15 </w:t>
            </w:r>
          </w:p>
          <w:p w14:paraId="74DC109D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C-C motif chemokine 16 </w:t>
            </w:r>
          </w:p>
          <w:p w14:paraId="397649F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C-C motif chemokine 24 </w:t>
            </w:r>
          </w:p>
          <w:p w14:paraId="0A00C7E0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C-X-C motif chemokine 16 </w:t>
            </w:r>
          </w:p>
          <w:p w14:paraId="5B009DD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Cadherin-5 </w:t>
            </w:r>
          </w:p>
          <w:p w14:paraId="41B4F7AF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Carboxypeptidase A1 </w:t>
            </w:r>
          </w:p>
          <w:p w14:paraId="568ECA97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Carboxypeptidase B </w:t>
            </w:r>
          </w:p>
        </w:tc>
      </w:tr>
      <w:tr w:rsidR="00CA088A" w:rsidRPr="001F155C" w14:paraId="262D8360" w14:textId="77777777" w:rsidTr="007D2A88">
        <w:tc>
          <w:tcPr>
            <w:tcW w:w="1979" w:type="dxa"/>
          </w:tcPr>
          <w:p w14:paraId="5567C7AD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CASP-3</w:t>
            </w:r>
          </w:p>
          <w:p w14:paraId="09641955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CTSD</w:t>
            </w:r>
          </w:p>
          <w:p w14:paraId="602C916B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CTSZ</w:t>
            </w:r>
          </w:p>
          <w:p w14:paraId="28D390E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ALCAM </w:t>
            </w:r>
          </w:p>
          <w:p w14:paraId="576B08B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CHI3L1 </w:t>
            </w:r>
          </w:p>
          <w:p w14:paraId="403A5F06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CHIT1 </w:t>
            </w:r>
          </w:p>
          <w:p w14:paraId="1A5C3D67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COL1A1</w:t>
            </w:r>
          </w:p>
          <w:p w14:paraId="5FAC5230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CD93</w:t>
            </w:r>
          </w:p>
          <w:p w14:paraId="70D9D6FF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CNTN1</w:t>
            </w:r>
          </w:p>
          <w:p w14:paraId="7019F37D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CSTB</w:t>
            </w:r>
          </w:p>
        </w:tc>
        <w:tc>
          <w:tcPr>
            <w:tcW w:w="1418" w:type="dxa"/>
          </w:tcPr>
          <w:p w14:paraId="2E9EF02E" w14:textId="77777777" w:rsidR="00CA088A" w:rsidRPr="001F155C" w:rsidRDefault="00CA088A" w:rsidP="007D2A88">
            <w:pPr>
              <w:jc w:val="both"/>
            </w:pPr>
            <w:r w:rsidRPr="001F155C">
              <w:t>CASP3</w:t>
            </w:r>
          </w:p>
          <w:p w14:paraId="2270F29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CTSD</w:t>
            </w:r>
          </w:p>
          <w:p w14:paraId="6217A1E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CTSZ</w:t>
            </w:r>
          </w:p>
          <w:p w14:paraId="3FAB48AD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ALCAM</w:t>
            </w:r>
          </w:p>
          <w:p w14:paraId="290FF74E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CHI3L1</w:t>
            </w:r>
          </w:p>
          <w:p w14:paraId="648F38BC" w14:textId="77777777" w:rsidR="00CA088A" w:rsidRPr="00921B74" w:rsidRDefault="00CA088A" w:rsidP="007D2A88">
            <w:pPr>
              <w:rPr>
                <w:sz w:val="22"/>
                <w:szCs w:val="22"/>
              </w:rPr>
            </w:pPr>
            <w:r w:rsidRPr="00921B74">
              <w:rPr>
                <w:color w:val="11161D"/>
                <w:sz w:val="22"/>
                <w:szCs w:val="22"/>
                <w:shd w:val="clear" w:color="auto" w:fill="FFFFFF"/>
              </w:rPr>
              <w:t>CHIT1</w:t>
            </w:r>
          </w:p>
          <w:p w14:paraId="6580767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COL1A1</w:t>
            </w:r>
          </w:p>
          <w:p w14:paraId="0C4E6C5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CD93</w:t>
            </w:r>
          </w:p>
          <w:p w14:paraId="379FBBD2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CNTN1</w:t>
            </w:r>
          </w:p>
          <w:p w14:paraId="05F53C30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CSTB</w:t>
            </w:r>
          </w:p>
        </w:tc>
        <w:tc>
          <w:tcPr>
            <w:tcW w:w="5613" w:type="dxa"/>
          </w:tcPr>
          <w:p w14:paraId="2C12A932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Caspase-3 </w:t>
            </w:r>
          </w:p>
          <w:p w14:paraId="62F1C000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Cathepsin D</w:t>
            </w:r>
          </w:p>
          <w:p w14:paraId="6F5F9BD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Cathepsin Z</w:t>
            </w:r>
          </w:p>
          <w:p w14:paraId="41EB3B4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CD166 antigen</w:t>
            </w:r>
          </w:p>
          <w:p w14:paraId="784E3CCD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Chitinase-3-like protein 1 </w:t>
            </w:r>
          </w:p>
          <w:p w14:paraId="6C7F8A24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Chitotriosidase-1</w:t>
            </w:r>
          </w:p>
          <w:p w14:paraId="73E38913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Collagen alpha-1(I) chain </w:t>
            </w:r>
          </w:p>
          <w:p w14:paraId="7B0EA3C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Complement component C1q receptor </w:t>
            </w:r>
          </w:p>
          <w:p w14:paraId="7BAEB9B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Contactin-1 </w:t>
            </w:r>
          </w:p>
          <w:p w14:paraId="7917EEB5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Cystatin-B</w:t>
            </w:r>
          </w:p>
        </w:tc>
      </w:tr>
      <w:tr w:rsidR="00CA088A" w:rsidRPr="001F155C" w14:paraId="5092E949" w14:textId="77777777" w:rsidTr="007D2A88">
        <w:tc>
          <w:tcPr>
            <w:tcW w:w="1979" w:type="dxa"/>
          </w:tcPr>
          <w:p w14:paraId="3B15C9D3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SELE</w:t>
            </w:r>
          </w:p>
          <w:p w14:paraId="4DEC763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PI3</w:t>
            </w:r>
          </w:p>
          <w:p w14:paraId="038048FE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EPHB4</w:t>
            </w:r>
          </w:p>
          <w:p w14:paraId="6B7CFB6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EGFR </w:t>
            </w:r>
          </w:p>
          <w:p w14:paraId="34C5BB65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Ep-CAM </w:t>
            </w:r>
          </w:p>
          <w:p w14:paraId="20B2D9D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FABP4</w:t>
            </w:r>
          </w:p>
          <w:p w14:paraId="085C309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Gal-3</w:t>
            </w:r>
          </w:p>
          <w:p w14:paraId="53C14475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Gal-4</w:t>
            </w:r>
          </w:p>
          <w:p w14:paraId="386C256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GRN</w:t>
            </w:r>
          </w:p>
          <w:p w14:paraId="27E3C5A6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GDF-15</w:t>
            </w:r>
          </w:p>
        </w:tc>
        <w:tc>
          <w:tcPr>
            <w:tcW w:w="1418" w:type="dxa"/>
          </w:tcPr>
          <w:p w14:paraId="682233FD" w14:textId="77777777" w:rsidR="00CA088A" w:rsidRPr="00003AB3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SELE</w:t>
            </w:r>
          </w:p>
          <w:p w14:paraId="03316414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PI13</w:t>
            </w:r>
          </w:p>
          <w:p w14:paraId="18D90DB6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EPHB4</w:t>
            </w:r>
          </w:p>
          <w:p w14:paraId="59EFCCAB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EGFR</w:t>
            </w:r>
          </w:p>
          <w:p w14:paraId="5F8BACE3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EPCAM</w:t>
            </w:r>
          </w:p>
          <w:p w14:paraId="0C74687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FABP4</w:t>
            </w:r>
          </w:p>
          <w:p w14:paraId="68D87B90" w14:textId="77777777" w:rsidR="00CA088A" w:rsidRPr="00C94B91" w:rsidRDefault="00CA088A" w:rsidP="007D2A88">
            <w:pPr>
              <w:rPr>
                <w:sz w:val="22"/>
                <w:szCs w:val="22"/>
              </w:rPr>
            </w:pPr>
            <w:r w:rsidRPr="00921B74">
              <w:rPr>
                <w:color w:val="11161D"/>
                <w:sz w:val="22"/>
                <w:szCs w:val="22"/>
                <w:shd w:val="clear" w:color="auto" w:fill="FFFFFF"/>
              </w:rPr>
              <w:t>LGALS3</w:t>
            </w:r>
          </w:p>
          <w:p w14:paraId="54093773" w14:textId="77777777" w:rsidR="00CA088A" w:rsidRPr="001F155C" w:rsidRDefault="00CA088A" w:rsidP="007D2A88">
            <w:pPr>
              <w:jc w:val="both"/>
            </w:pPr>
            <w:r w:rsidRPr="001F155C">
              <w:rPr>
                <w:color w:val="11161D"/>
                <w:shd w:val="clear" w:color="auto" w:fill="FFFFFF"/>
              </w:rPr>
              <w:t>LGALS4</w:t>
            </w:r>
          </w:p>
          <w:p w14:paraId="00A12573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GRN</w:t>
            </w:r>
          </w:p>
          <w:p w14:paraId="41266B1E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GDF-15</w:t>
            </w:r>
          </w:p>
        </w:tc>
        <w:tc>
          <w:tcPr>
            <w:tcW w:w="5613" w:type="dxa"/>
          </w:tcPr>
          <w:p w14:paraId="79E83C8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E-selectin</w:t>
            </w:r>
          </w:p>
          <w:p w14:paraId="5D672285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Elafin</w:t>
            </w:r>
          </w:p>
          <w:p w14:paraId="58A41E8F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Ephrin type-B receptor 4</w:t>
            </w:r>
          </w:p>
          <w:p w14:paraId="2B35306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Epidermal growth factor receptor </w:t>
            </w:r>
          </w:p>
          <w:p w14:paraId="328F0B8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Epithelial cell adhesion molecule </w:t>
            </w:r>
          </w:p>
          <w:p w14:paraId="34BA1CA6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Fatty acid-binding protein, adipocyte </w:t>
            </w:r>
          </w:p>
          <w:p w14:paraId="62E9E7A4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Galectin-3 </w:t>
            </w:r>
          </w:p>
          <w:p w14:paraId="42686887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Galectin-4</w:t>
            </w:r>
          </w:p>
          <w:p w14:paraId="3A7ED6BD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Granulins</w:t>
            </w:r>
          </w:p>
          <w:p w14:paraId="2F00E661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Growth/differentiation factor 15</w:t>
            </w:r>
          </w:p>
        </w:tc>
      </w:tr>
      <w:tr w:rsidR="00CA088A" w:rsidRPr="001F155C" w14:paraId="5E26BAF5" w14:textId="77777777" w:rsidTr="007D2A88">
        <w:tc>
          <w:tcPr>
            <w:tcW w:w="1979" w:type="dxa"/>
          </w:tcPr>
          <w:p w14:paraId="2F0C6B64" w14:textId="77777777" w:rsidR="00CA088A" w:rsidRPr="00887A76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887A76">
              <w:t xml:space="preserve">IGFBP-1 </w:t>
            </w:r>
          </w:p>
          <w:p w14:paraId="0A8094F4" w14:textId="77777777" w:rsidR="00CA088A" w:rsidRPr="00887A76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887A76">
              <w:t xml:space="preserve">IGFBP-2 </w:t>
            </w:r>
          </w:p>
          <w:p w14:paraId="01DEFBE8" w14:textId="77777777" w:rsidR="00CA088A" w:rsidRPr="00887A76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887A76">
              <w:t xml:space="preserve">IGFBP-7 </w:t>
            </w:r>
          </w:p>
          <w:p w14:paraId="6272ADA6" w14:textId="77777777" w:rsidR="00CA088A" w:rsidRPr="00887A76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887A76">
              <w:t xml:space="preserve">ITGB2 </w:t>
            </w:r>
          </w:p>
          <w:p w14:paraId="647CA640" w14:textId="77777777" w:rsidR="00CA088A" w:rsidRPr="00887A76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887A76">
              <w:t xml:space="preserve">ICAM-2 </w:t>
            </w:r>
          </w:p>
          <w:p w14:paraId="1D02DA24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IL-1RT1 </w:t>
            </w:r>
          </w:p>
          <w:p w14:paraId="1177585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IL-1RT2 </w:t>
            </w:r>
          </w:p>
          <w:p w14:paraId="2A84E377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IL-17RA </w:t>
            </w:r>
          </w:p>
          <w:p w14:paraId="4717083F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IL-18BP </w:t>
            </w:r>
          </w:p>
          <w:p w14:paraId="59A445AE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IL2-RA</w:t>
            </w:r>
          </w:p>
        </w:tc>
        <w:tc>
          <w:tcPr>
            <w:tcW w:w="1418" w:type="dxa"/>
          </w:tcPr>
          <w:p w14:paraId="0E121A87" w14:textId="77777777" w:rsidR="00CA088A" w:rsidRPr="00887A76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887A76">
              <w:t xml:space="preserve">IGFBP-1 </w:t>
            </w:r>
          </w:p>
          <w:p w14:paraId="67905940" w14:textId="77777777" w:rsidR="00CA088A" w:rsidRPr="00887A76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887A76">
              <w:t xml:space="preserve">IGFBP-2 </w:t>
            </w:r>
          </w:p>
          <w:p w14:paraId="27BCCC89" w14:textId="77777777" w:rsidR="00CA088A" w:rsidRPr="00887A76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887A76">
              <w:t xml:space="preserve">IGFBP-7 </w:t>
            </w:r>
          </w:p>
          <w:p w14:paraId="10FF66E9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ITGB2</w:t>
            </w:r>
          </w:p>
          <w:p w14:paraId="311BA288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ACAM2</w:t>
            </w:r>
          </w:p>
          <w:p w14:paraId="0C37037E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IL1R1</w:t>
            </w:r>
          </w:p>
          <w:p w14:paraId="358DA236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IL1R2</w:t>
            </w:r>
          </w:p>
          <w:p w14:paraId="1594B641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IL17RA</w:t>
            </w:r>
          </w:p>
          <w:p w14:paraId="05209DC7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IL18BP</w:t>
            </w:r>
          </w:p>
          <w:p w14:paraId="4F519DAE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IL2RA</w:t>
            </w:r>
          </w:p>
        </w:tc>
        <w:tc>
          <w:tcPr>
            <w:tcW w:w="5613" w:type="dxa"/>
          </w:tcPr>
          <w:p w14:paraId="091AF382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Insulin-like growth factor-binding protein-1 </w:t>
            </w:r>
          </w:p>
          <w:p w14:paraId="69FC66C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Insulin-like growth factor-binding protein-2 </w:t>
            </w:r>
          </w:p>
          <w:p w14:paraId="130045CD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Insulin-like growth factor-binding protein-7 </w:t>
            </w:r>
          </w:p>
          <w:p w14:paraId="0C828AF7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Integrin beta-2</w:t>
            </w:r>
          </w:p>
          <w:p w14:paraId="0719CFC5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Intercellular adhesion molecule-2</w:t>
            </w:r>
          </w:p>
          <w:p w14:paraId="0444683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Interleukin-1 receptor type 1</w:t>
            </w:r>
          </w:p>
          <w:p w14:paraId="4F5F1A43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Interleukin-1 receptor type 2</w:t>
            </w:r>
          </w:p>
          <w:p w14:paraId="0E7F6817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Interleukin-17 receptor A </w:t>
            </w:r>
          </w:p>
          <w:p w14:paraId="48C8F57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Interleukin-18-binding protein</w:t>
            </w:r>
          </w:p>
          <w:p w14:paraId="607E08D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Interleukin-2 receptor subunit alpha</w:t>
            </w:r>
          </w:p>
        </w:tc>
      </w:tr>
      <w:tr w:rsidR="00CA088A" w:rsidRPr="001F155C" w14:paraId="43BA230F" w14:textId="77777777" w:rsidTr="007D2A88">
        <w:tc>
          <w:tcPr>
            <w:tcW w:w="1979" w:type="dxa"/>
          </w:tcPr>
          <w:p w14:paraId="0EDF3D72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IL-6RA </w:t>
            </w:r>
          </w:p>
          <w:p w14:paraId="2544FC3B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JAM-A</w:t>
            </w:r>
          </w:p>
          <w:p w14:paraId="628D37A7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KLK6</w:t>
            </w:r>
          </w:p>
          <w:p w14:paraId="5E9CE1CD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LDL</w:t>
            </w:r>
            <w:r>
              <w:t>R</w:t>
            </w:r>
          </w:p>
          <w:p w14:paraId="438F510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LTBR</w:t>
            </w:r>
          </w:p>
          <w:p w14:paraId="6C249EC2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MEPE</w:t>
            </w:r>
          </w:p>
          <w:p w14:paraId="53EB662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MMP-2 </w:t>
            </w:r>
          </w:p>
          <w:p w14:paraId="08BB7CD4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lastRenderedPageBreak/>
              <w:t xml:space="preserve">MMP-3 </w:t>
            </w:r>
          </w:p>
          <w:p w14:paraId="1BB09880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MMP-9 </w:t>
            </w:r>
          </w:p>
          <w:p w14:paraId="60D724E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TIMP4</w:t>
            </w:r>
          </w:p>
        </w:tc>
        <w:tc>
          <w:tcPr>
            <w:tcW w:w="1418" w:type="dxa"/>
          </w:tcPr>
          <w:p w14:paraId="38B00A9D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lastRenderedPageBreak/>
              <w:t>IL6RA</w:t>
            </w:r>
          </w:p>
          <w:p w14:paraId="5493E833" w14:textId="77777777" w:rsidR="00CA088A" w:rsidRPr="001F155C" w:rsidRDefault="00CA088A" w:rsidP="007D2A88">
            <w:pPr>
              <w:jc w:val="both"/>
            </w:pPr>
            <w:r w:rsidRPr="001F155C">
              <w:t>F11R</w:t>
            </w:r>
          </w:p>
          <w:p w14:paraId="493FCB16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KLK6</w:t>
            </w:r>
          </w:p>
          <w:p w14:paraId="2F5EEDAD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LDL</w:t>
            </w:r>
            <w:r>
              <w:t>R</w:t>
            </w:r>
          </w:p>
          <w:p w14:paraId="67D0C1CA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LTBR</w:t>
            </w:r>
          </w:p>
          <w:p w14:paraId="4EA74836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MEPE</w:t>
            </w:r>
          </w:p>
          <w:p w14:paraId="028A13B1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MMP2</w:t>
            </w:r>
          </w:p>
          <w:p w14:paraId="06221923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lastRenderedPageBreak/>
              <w:t>MMP3</w:t>
            </w:r>
          </w:p>
          <w:p w14:paraId="652B1128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MMP9</w:t>
            </w:r>
          </w:p>
          <w:p w14:paraId="403E1A44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TIMP4</w:t>
            </w:r>
          </w:p>
        </w:tc>
        <w:tc>
          <w:tcPr>
            <w:tcW w:w="5613" w:type="dxa"/>
          </w:tcPr>
          <w:p w14:paraId="29827F17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lastRenderedPageBreak/>
              <w:t>Interleukin-6 receptor subunit alpha</w:t>
            </w:r>
          </w:p>
          <w:p w14:paraId="0E526DC6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Junctional adhesion molecule A</w:t>
            </w:r>
          </w:p>
          <w:p w14:paraId="0B4A054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Kallikrein-6</w:t>
            </w:r>
          </w:p>
          <w:p w14:paraId="31B9E936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Low-density lipoprotein receptor </w:t>
            </w:r>
          </w:p>
          <w:p w14:paraId="443483B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Lymphotoxin-beta receptor</w:t>
            </w:r>
          </w:p>
          <w:p w14:paraId="2DAE3882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Matrix extracellular phosphoglycoprotein </w:t>
            </w:r>
          </w:p>
          <w:p w14:paraId="0FBAA713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Matrix metalloproteinase-2</w:t>
            </w:r>
          </w:p>
          <w:p w14:paraId="06A84133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lastRenderedPageBreak/>
              <w:t>Matrix metalloproteinase-3</w:t>
            </w:r>
          </w:p>
          <w:p w14:paraId="7FD9E4F7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Matrix metalloproteinase-9</w:t>
            </w:r>
          </w:p>
          <w:p w14:paraId="6531D4B5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Metalloproteinase inhibitor 4</w:t>
            </w:r>
          </w:p>
        </w:tc>
      </w:tr>
      <w:tr w:rsidR="00CA088A" w:rsidRPr="001F155C" w14:paraId="6923C7BE" w14:textId="77777777" w:rsidTr="007D2A88">
        <w:tc>
          <w:tcPr>
            <w:tcW w:w="1979" w:type="dxa"/>
          </w:tcPr>
          <w:p w14:paraId="56DFC13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lastRenderedPageBreak/>
              <w:t>MCP-1</w:t>
            </w:r>
          </w:p>
          <w:p w14:paraId="6104B28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PRTN3</w:t>
            </w:r>
          </w:p>
          <w:p w14:paraId="0C4294F5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MPO</w:t>
            </w:r>
          </w:p>
          <w:p w14:paraId="7159244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MB </w:t>
            </w:r>
          </w:p>
          <w:p w14:paraId="03D207F3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NT-proBNP </w:t>
            </w:r>
          </w:p>
        </w:tc>
        <w:tc>
          <w:tcPr>
            <w:tcW w:w="1418" w:type="dxa"/>
          </w:tcPr>
          <w:p w14:paraId="2B879978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CCL</w:t>
            </w:r>
          </w:p>
          <w:p w14:paraId="0C17602C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PRTN3</w:t>
            </w:r>
          </w:p>
          <w:p w14:paraId="77D127B6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MPO</w:t>
            </w:r>
          </w:p>
          <w:p w14:paraId="2DED6602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MB</w:t>
            </w:r>
          </w:p>
          <w:p w14:paraId="076F1BFE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NT-proBNP</w:t>
            </w:r>
          </w:p>
        </w:tc>
        <w:tc>
          <w:tcPr>
            <w:tcW w:w="5613" w:type="dxa"/>
          </w:tcPr>
          <w:p w14:paraId="4C919AC4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Monocyte chemotactic protein 1</w:t>
            </w:r>
          </w:p>
          <w:p w14:paraId="08EB3396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Myeloblastin</w:t>
            </w:r>
          </w:p>
          <w:p w14:paraId="4226C7ED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Myeloperoxidase</w:t>
            </w:r>
          </w:p>
          <w:p w14:paraId="64D09F0B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Myoglobin</w:t>
            </w:r>
          </w:p>
          <w:p w14:paraId="327261EE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N-terminal prohormone brain natriuretic peptide </w:t>
            </w:r>
          </w:p>
        </w:tc>
      </w:tr>
      <w:tr w:rsidR="00CA088A" w:rsidRPr="001F155C" w14:paraId="08790C0F" w14:textId="77777777" w:rsidTr="007D2A88">
        <w:tc>
          <w:tcPr>
            <w:tcW w:w="1979" w:type="dxa"/>
          </w:tcPr>
          <w:p w14:paraId="1CB2AD86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Notch 3 </w:t>
            </w:r>
          </w:p>
          <w:p w14:paraId="0DB7BDEE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OPN</w:t>
            </w:r>
          </w:p>
          <w:p w14:paraId="5CFE1B8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OPG </w:t>
            </w:r>
          </w:p>
          <w:p w14:paraId="1B73734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SELP </w:t>
            </w:r>
          </w:p>
          <w:p w14:paraId="371AEF3F" w14:textId="77777777" w:rsidR="00CA088A" w:rsidRPr="00C470FA" w:rsidRDefault="00CA088A" w:rsidP="007D2A88">
            <w:pPr>
              <w:pStyle w:val="NormalWeb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1F155C">
              <w:t>PON3</w:t>
            </w:r>
          </w:p>
        </w:tc>
        <w:tc>
          <w:tcPr>
            <w:tcW w:w="1418" w:type="dxa"/>
          </w:tcPr>
          <w:p w14:paraId="1F59060D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NOTCH3</w:t>
            </w:r>
          </w:p>
          <w:p w14:paraId="3549E31C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SPP1</w:t>
            </w:r>
          </w:p>
          <w:p w14:paraId="6E9A8076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TNFRSF11B</w:t>
            </w:r>
          </w:p>
          <w:p w14:paraId="383F2029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SELP</w:t>
            </w:r>
          </w:p>
          <w:p w14:paraId="68C190F2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PON3</w:t>
            </w:r>
          </w:p>
        </w:tc>
        <w:tc>
          <w:tcPr>
            <w:tcW w:w="5613" w:type="dxa"/>
          </w:tcPr>
          <w:p w14:paraId="64E27BC3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Neurogenic locus notch homolog protein 3 </w:t>
            </w:r>
          </w:p>
          <w:p w14:paraId="5FB2DE9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Osteopontin</w:t>
            </w:r>
          </w:p>
          <w:p w14:paraId="6C128FF6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Osteoprotegerin</w:t>
            </w:r>
          </w:p>
          <w:p w14:paraId="1F29BE4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P-selectin</w:t>
            </w:r>
          </w:p>
          <w:p w14:paraId="1F75E25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Paraoxonase</w:t>
            </w:r>
          </w:p>
        </w:tc>
      </w:tr>
      <w:tr w:rsidR="00CA088A" w:rsidRPr="001F155C" w14:paraId="43A5C2ED" w14:textId="77777777" w:rsidTr="007D2A88">
        <w:tc>
          <w:tcPr>
            <w:tcW w:w="1979" w:type="dxa"/>
          </w:tcPr>
          <w:p w14:paraId="26D056DF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PGLYRP1 </w:t>
            </w:r>
          </w:p>
          <w:p w14:paraId="21A15E10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PLC </w:t>
            </w:r>
          </w:p>
          <w:p w14:paraId="46A2565E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PAI</w:t>
            </w:r>
          </w:p>
          <w:p w14:paraId="5CD823B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PECAM-1</w:t>
            </w:r>
          </w:p>
          <w:p w14:paraId="6ADF464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GP6</w:t>
            </w:r>
          </w:p>
          <w:p w14:paraId="1298C680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PDGF subunit A </w:t>
            </w:r>
          </w:p>
          <w:p w14:paraId="0A03DDC4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PCSK9</w:t>
            </w:r>
          </w:p>
          <w:p w14:paraId="515F63B2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DLK-1</w:t>
            </w:r>
          </w:p>
          <w:p w14:paraId="5380860B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PSP-D</w:t>
            </w:r>
          </w:p>
          <w:p w14:paraId="04A340C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RETN</w:t>
            </w:r>
          </w:p>
        </w:tc>
        <w:tc>
          <w:tcPr>
            <w:tcW w:w="1418" w:type="dxa"/>
          </w:tcPr>
          <w:p w14:paraId="05F97BB3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PGLYRP1</w:t>
            </w:r>
          </w:p>
          <w:p w14:paraId="4F0B2E3C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HSPG2</w:t>
            </w:r>
          </w:p>
          <w:p w14:paraId="7AF99414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SERPINE1</w:t>
            </w:r>
          </w:p>
          <w:p w14:paraId="53B2ACC4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PECAM-1</w:t>
            </w:r>
          </w:p>
          <w:p w14:paraId="089AAB74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G</w:t>
            </w:r>
            <w:r w:rsidRPr="001F155C">
              <w:t>P6</w:t>
            </w:r>
          </w:p>
          <w:p w14:paraId="30B04939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PDGFA </w:t>
            </w:r>
          </w:p>
          <w:p w14:paraId="75F5DF81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PCSK9</w:t>
            </w:r>
          </w:p>
          <w:p w14:paraId="748C42D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DLK1</w:t>
            </w:r>
          </w:p>
          <w:p w14:paraId="43EDDA72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SFTPD</w:t>
            </w:r>
          </w:p>
          <w:p w14:paraId="16E2303E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R</w:t>
            </w:r>
            <w:r w:rsidRPr="001F155C">
              <w:t>ETN</w:t>
            </w:r>
          </w:p>
        </w:tc>
        <w:tc>
          <w:tcPr>
            <w:tcW w:w="5613" w:type="dxa"/>
          </w:tcPr>
          <w:p w14:paraId="7E61726B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Peptidoglycan recognition protein 1 </w:t>
            </w:r>
          </w:p>
          <w:p w14:paraId="7B6F600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Perlecan </w:t>
            </w:r>
          </w:p>
          <w:p w14:paraId="7AC4527F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Plasminogen activator inhibitor 1</w:t>
            </w:r>
            <w:r w:rsidRPr="001F155C">
              <w:br/>
              <w:t>Platelet endothelial cell adhesion molecule</w:t>
            </w:r>
            <w:r w:rsidRPr="001F155C">
              <w:br/>
              <w:t>Platelet glycoprotein VI</w:t>
            </w:r>
          </w:p>
          <w:p w14:paraId="589DBD82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Platelet-derived growth factor subunit A</w:t>
            </w:r>
          </w:p>
          <w:p w14:paraId="367C094E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Proprotein convertase subtilisin/kexin type 9</w:t>
            </w:r>
          </w:p>
          <w:p w14:paraId="4F7DD073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Protein delta homolog 1</w:t>
            </w:r>
          </w:p>
          <w:p w14:paraId="28B2A0D3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Pulmonary surfactant-associated protein D</w:t>
            </w:r>
          </w:p>
          <w:p w14:paraId="67D0785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Resistin</w:t>
            </w:r>
          </w:p>
        </w:tc>
      </w:tr>
      <w:tr w:rsidR="00CA088A" w:rsidRPr="001F155C" w14:paraId="2B05E466" w14:textId="77777777" w:rsidTr="007D2A88">
        <w:tc>
          <w:tcPr>
            <w:tcW w:w="1979" w:type="dxa"/>
          </w:tcPr>
          <w:p w14:paraId="4933DAB5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RARRES2 </w:t>
            </w:r>
          </w:p>
          <w:p w14:paraId="655A3F13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CD163 </w:t>
            </w:r>
          </w:p>
        </w:tc>
        <w:tc>
          <w:tcPr>
            <w:tcW w:w="1418" w:type="dxa"/>
          </w:tcPr>
          <w:p w14:paraId="52329644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RARRES2</w:t>
            </w:r>
          </w:p>
          <w:p w14:paraId="79BB8AC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CD163 </w:t>
            </w:r>
          </w:p>
        </w:tc>
        <w:tc>
          <w:tcPr>
            <w:tcW w:w="5613" w:type="dxa"/>
          </w:tcPr>
          <w:p w14:paraId="2AC84A4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Retinoic acid receptor responder protein 2</w:t>
            </w:r>
          </w:p>
          <w:p w14:paraId="60D6C9BB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Scavenger receptor cysteine-rich type 1 protein M130 </w:t>
            </w:r>
          </w:p>
        </w:tc>
      </w:tr>
      <w:tr w:rsidR="00CA088A" w:rsidRPr="001F155C" w14:paraId="21A525A4" w14:textId="77777777" w:rsidTr="007D2A88">
        <w:tc>
          <w:tcPr>
            <w:tcW w:w="1979" w:type="dxa"/>
          </w:tcPr>
          <w:p w14:paraId="1C17F240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SCGB3A2 </w:t>
            </w:r>
          </w:p>
          <w:p w14:paraId="5DB548E1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SPON1</w:t>
            </w:r>
          </w:p>
          <w:p w14:paraId="0EB9D275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ST2</w:t>
            </w:r>
          </w:p>
          <w:p w14:paraId="09CB8981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TR-AP</w:t>
            </w:r>
          </w:p>
          <w:p w14:paraId="6066D9C7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TFPI</w:t>
            </w:r>
          </w:p>
          <w:p w14:paraId="64BD7ECF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t-PA</w:t>
            </w:r>
          </w:p>
          <w:p w14:paraId="54B6AB0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TR</w:t>
            </w:r>
          </w:p>
          <w:p w14:paraId="7ECC37F4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TFF3</w:t>
            </w:r>
          </w:p>
        </w:tc>
        <w:tc>
          <w:tcPr>
            <w:tcW w:w="1418" w:type="dxa"/>
          </w:tcPr>
          <w:p w14:paraId="7B8B9AF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SCGB3A2</w:t>
            </w:r>
          </w:p>
          <w:p w14:paraId="35C5551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SPON1</w:t>
            </w:r>
          </w:p>
          <w:p w14:paraId="6E5E3F53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ST2</w:t>
            </w:r>
          </w:p>
          <w:p w14:paraId="30B0498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ACP5</w:t>
            </w:r>
          </w:p>
          <w:p w14:paraId="76020CAB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TFPI</w:t>
            </w:r>
          </w:p>
          <w:p w14:paraId="47ACFEA5" w14:textId="77777777" w:rsidR="00CA088A" w:rsidRPr="001F155C" w:rsidRDefault="00CA088A" w:rsidP="007D2A88">
            <w:pPr>
              <w:jc w:val="both"/>
            </w:pPr>
            <w:r>
              <w:t>PLAT</w:t>
            </w:r>
          </w:p>
          <w:p w14:paraId="52B1E9F7" w14:textId="77777777" w:rsidR="00CA088A" w:rsidRPr="001F155C" w:rsidRDefault="00CA088A" w:rsidP="007D2A88">
            <w:pPr>
              <w:jc w:val="both"/>
            </w:pPr>
            <w:r w:rsidRPr="001F155C">
              <w:t>TFRC</w:t>
            </w:r>
          </w:p>
          <w:p w14:paraId="0E698366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TFF3</w:t>
            </w:r>
          </w:p>
        </w:tc>
        <w:tc>
          <w:tcPr>
            <w:tcW w:w="5613" w:type="dxa"/>
          </w:tcPr>
          <w:p w14:paraId="00E28B4B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Secretoglobin family 3A member 2</w:t>
            </w:r>
          </w:p>
          <w:p w14:paraId="0E06684F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Spondin-1</w:t>
            </w:r>
          </w:p>
          <w:p w14:paraId="26DC4AAF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ST2 protein</w:t>
            </w:r>
          </w:p>
          <w:p w14:paraId="6C29F274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Tartrate-resistant acid phosphatase type 5</w:t>
            </w:r>
          </w:p>
          <w:p w14:paraId="20472A4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Tissue factor pathway inhibitor</w:t>
            </w:r>
          </w:p>
          <w:p w14:paraId="652E288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Tissue-type plasminogen activator</w:t>
            </w:r>
          </w:p>
          <w:p w14:paraId="36D5C67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Transferrin receptor protein 1</w:t>
            </w:r>
          </w:p>
          <w:p w14:paraId="422BB3FF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Trefoil factor 3</w:t>
            </w:r>
          </w:p>
        </w:tc>
      </w:tr>
      <w:tr w:rsidR="00CA088A" w:rsidRPr="001F155C" w14:paraId="31DF24FA" w14:textId="77777777" w:rsidTr="007D2A88">
        <w:tc>
          <w:tcPr>
            <w:tcW w:w="1979" w:type="dxa"/>
          </w:tcPr>
          <w:p w14:paraId="57A1BC8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TLT-2 </w:t>
            </w:r>
          </w:p>
          <w:p w14:paraId="72CB3AFF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TNFSF13B </w:t>
            </w:r>
          </w:p>
        </w:tc>
        <w:tc>
          <w:tcPr>
            <w:tcW w:w="1418" w:type="dxa"/>
          </w:tcPr>
          <w:p w14:paraId="79A3374D" w14:textId="77777777" w:rsidR="00CA088A" w:rsidRPr="001F155C" w:rsidRDefault="00CA088A" w:rsidP="007D2A88">
            <w:pPr>
              <w:jc w:val="both"/>
            </w:pPr>
            <w:r w:rsidRPr="001F155C">
              <w:rPr>
                <w:color w:val="11161D"/>
                <w:shd w:val="clear" w:color="auto" w:fill="FFFFFF"/>
              </w:rPr>
              <w:t>TREML2</w:t>
            </w:r>
          </w:p>
          <w:p w14:paraId="058D901E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TNFSF13B</w:t>
            </w:r>
          </w:p>
        </w:tc>
        <w:tc>
          <w:tcPr>
            <w:tcW w:w="5613" w:type="dxa"/>
          </w:tcPr>
          <w:p w14:paraId="22DE8E37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Trem-like transcript 2 protein</w:t>
            </w:r>
          </w:p>
          <w:p w14:paraId="4F029A1D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Tumor necrosis factor ligand superfamily member 13B</w:t>
            </w:r>
          </w:p>
        </w:tc>
      </w:tr>
      <w:tr w:rsidR="00CA088A" w:rsidRPr="001F155C" w14:paraId="134B1E44" w14:textId="77777777" w:rsidTr="007D2A88">
        <w:tc>
          <w:tcPr>
            <w:tcW w:w="1979" w:type="dxa"/>
          </w:tcPr>
          <w:p w14:paraId="589A4783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TNF-R1 </w:t>
            </w:r>
          </w:p>
          <w:p w14:paraId="31B64B60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TNF-R2 </w:t>
            </w:r>
          </w:p>
          <w:p w14:paraId="3976731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TNFRSF10C </w:t>
            </w:r>
          </w:p>
        </w:tc>
        <w:tc>
          <w:tcPr>
            <w:tcW w:w="1418" w:type="dxa"/>
          </w:tcPr>
          <w:p w14:paraId="102A5C07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TNFRSF1A</w:t>
            </w:r>
          </w:p>
          <w:p w14:paraId="44193922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TNFRSF1B</w:t>
            </w:r>
          </w:p>
          <w:p w14:paraId="16B196D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  <w:rPr>
                <w:shd w:val="clear" w:color="auto" w:fill="FFFFFF"/>
              </w:rPr>
            </w:pPr>
            <w:r w:rsidRPr="001F155C">
              <w:t xml:space="preserve">TNFRSF10C </w:t>
            </w:r>
          </w:p>
        </w:tc>
        <w:tc>
          <w:tcPr>
            <w:tcW w:w="5613" w:type="dxa"/>
          </w:tcPr>
          <w:p w14:paraId="35F530AB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Tumor necrosis factor receptor 1</w:t>
            </w:r>
          </w:p>
          <w:p w14:paraId="1A58D32F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Tumor necrosis factor receptor 2</w:t>
            </w:r>
          </w:p>
          <w:p w14:paraId="5CAA7B5A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Tumor necrosis factor receptor superfamily member 10C </w:t>
            </w:r>
          </w:p>
        </w:tc>
      </w:tr>
      <w:tr w:rsidR="00CA088A" w:rsidRPr="001F155C" w14:paraId="68C39250" w14:textId="77777777" w:rsidTr="007D2A88">
        <w:tc>
          <w:tcPr>
            <w:tcW w:w="1979" w:type="dxa"/>
          </w:tcPr>
          <w:p w14:paraId="43D4BFC4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TNFRSF14</w:t>
            </w:r>
          </w:p>
        </w:tc>
        <w:tc>
          <w:tcPr>
            <w:tcW w:w="1418" w:type="dxa"/>
          </w:tcPr>
          <w:p w14:paraId="53CD8A5C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TNFRSF14</w:t>
            </w:r>
          </w:p>
        </w:tc>
        <w:tc>
          <w:tcPr>
            <w:tcW w:w="5613" w:type="dxa"/>
          </w:tcPr>
          <w:p w14:paraId="0F41C231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Tumor necrosis factor receptor superfamily member 14 </w:t>
            </w:r>
          </w:p>
        </w:tc>
      </w:tr>
      <w:tr w:rsidR="00CA088A" w:rsidRPr="001F155C" w14:paraId="484610DE" w14:textId="77777777" w:rsidTr="007D2A88">
        <w:tc>
          <w:tcPr>
            <w:tcW w:w="1979" w:type="dxa"/>
          </w:tcPr>
          <w:p w14:paraId="31D0EFF7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FAS</w:t>
            </w:r>
          </w:p>
        </w:tc>
        <w:tc>
          <w:tcPr>
            <w:tcW w:w="1418" w:type="dxa"/>
          </w:tcPr>
          <w:p w14:paraId="3792959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FAS</w:t>
            </w:r>
          </w:p>
        </w:tc>
        <w:tc>
          <w:tcPr>
            <w:tcW w:w="5613" w:type="dxa"/>
          </w:tcPr>
          <w:p w14:paraId="0D81D146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Tumor necrosis factor receptor superfamily member 6 </w:t>
            </w:r>
          </w:p>
        </w:tc>
      </w:tr>
      <w:tr w:rsidR="00CA088A" w:rsidRPr="001F155C" w14:paraId="0243B0D2" w14:textId="77777777" w:rsidTr="007D2A88">
        <w:tc>
          <w:tcPr>
            <w:tcW w:w="1979" w:type="dxa"/>
          </w:tcPr>
          <w:p w14:paraId="4301F575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AXL</w:t>
            </w:r>
          </w:p>
          <w:p w14:paraId="3D32570E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SHPS-1</w:t>
            </w:r>
          </w:p>
        </w:tc>
        <w:tc>
          <w:tcPr>
            <w:tcW w:w="1418" w:type="dxa"/>
          </w:tcPr>
          <w:p w14:paraId="4F428DD9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AXL</w:t>
            </w:r>
          </w:p>
          <w:p w14:paraId="4748AEE6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SIRPA</w:t>
            </w:r>
          </w:p>
        </w:tc>
        <w:tc>
          <w:tcPr>
            <w:tcW w:w="5613" w:type="dxa"/>
          </w:tcPr>
          <w:p w14:paraId="4A6A8B11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Tyrosine-protein kinase receptor UFO</w:t>
            </w:r>
          </w:p>
          <w:p w14:paraId="7465D906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Tyrosine-protein phosphatase non-receptor type substrate 1 </w:t>
            </w:r>
          </w:p>
        </w:tc>
      </w:tr>
      <w:tr w:rsidR="00CA088A" w:rsidRPr="001F155C" w14:paraId="6ABC1140" w14:textId="77777777" w:rsidTr="007D2A88">
        <w:tc>
          <w:tcPr>
            <w:tcW w:w="1979" w:type="dxa"/>
          </w:tcPr>
          <w:p w14:paraId="79E322A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U-PAR</w:t>
            </w:r>
          </w:p>
        </w:tc>
        <w:tc>
          <w:tcPr>
            <w:tcW w:w="1418" w:type="dxa"/>
          </w:tcPr>
          <w:p w14:paraId="19B573FB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PLAUR</w:t>
            </w:r>
          </w:p>
        </w:tc>
        <w:tc>
          <w:tcPr>
            <w:tcW w:w="5613" w:type="dxa"/>
          </w:tcPr>
          <w:p w14:paraId="612F32C8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 xml:space="preserve">Urokinase plasminogen activator surface receptor </w:t>
            </w:r>
          </w:p>
        </w:tc>
      </w:tr>
      <w:tr w:rsidR="00CA088A" w:rsidRPr="001F155C" w14:paraId="6CBD30AC" w14:textId="77777777" w:rsidTr="007D2A88">
        <w:tc>
          <w:tcPr>
            <w:tcW w:w="1979" w:type="dxa"/>
          </w:tcPr>
          <w:p w14:paraId="4BEEA1FC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uPA</w:t>
            </w:r>
          </w:p>
          <w:p w14:paraId="1CC9234E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vWF</w:t>
            </w:r>
          </w:p>
        </w:tc>
        <w:tc>
          <w:tcPr>
            <w:tcW w:w="1418" w:type="dxa"/>
          </w:tcPr>
          <w:p w14:paraId="6B5C2A3F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PLAU</w:t>
            </w:r>
          </w:p>
          <w:p w14:paraId="49CD9498" w14:textId="77777777" w:rsidR="00CA088A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>
              <w:t>VWF</w:t>
            </w:r>
          </w:p>
        </w:tc>
        <w:tc>
          <w:tcPr>
            <w:tcW w:w="5613" w:type="dxa"/>
          </w:tcPr>
          <w:p w14:paraId="6ECA5FA9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Urokinase-type plasminogen activator</w:t>
            </w:r>
          </w:p>
          <w:p w14:paraId="64C4CB6E" w14:textId="77777777" w:rsidR="00CA088A" w:rsidRPr="001F155C" w:rsidRDefault="00CA088A" w:rsidP="007D2A88">
            <w:pPr>
              <w:pStyle w:val="NormalWeb"/>
              <w:spacing w:before="0" w:beforeAutospacing="0" w:after="0" w:afterAutospacing="0"/>
              <w:jc w:val="both"/>
            </w:pPr>
            <w:r w:rsidRPr="001F155C">
              <w:t>von Willebrand factor</w:t>
            </w:r>
          </w:p>
        </w:tc>
      </w:tr>
    </w:tbl>
    <w:p w14:paraId="12EA1A4F" w14:textId="77777777" w:rsidR="00CA088A" w:rsidRPr="001F155C" w:rsidRDefault="00CA088A" w:rsidP="00CA088A">
      <w:pPr>
        <w:jc w:val="both"/>
      </w:pPr>
    </w:p>
    <w:sectPr w:rsidR="00CA088A" w:rsidRPr="001F155C" w:rsidSect="00791BF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D3089"/>
    <w:multiLevelType w:val="multilevel"/>
    <w:tmpl w:val="62FA9078"/>
    <w:lvl w:ilvl="0">
      <w:start w:val="9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804236"/>
    <w:multiLevelType w:val="multilevel"/>
    <w:tmpl w:val="9BA44AD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F20471"/>
    <w:multiLevelType w:val="multilevel"/>
    <w:tmpl w:val="3152A8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FA7087"/>
    <w:multiLevelType w:val="multilevel"/>
    <w:tmpl w:val="56600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D416A8"/>
    <w:multiLevelType w:val="multilevel"/>
    <w:tmpl w:val="B48AA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8A037F"/>
    <w:multiLevelType w:val="multilevel"/>
    <w:tmpl w:val="A2342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CD30CB"/>
    <w:multiLevelType w:val="multilevel"/>
    <w:tmpl w:val="39A2860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09500E9"/>
    <w:multiLevelType w:val="multilevel"/>
    <w:tmpl w:val="4094D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9C5800"/>
    <w:multiLevelType w:val="hybridMultilevel"/>
    <w:tmpl w:val="BD3C20B8"/>
    <w:lvl w:ilvl="0" w:tplc="FA8C5D54">
      <w:start w:val="1"/>
      <w:numFmt w:val="upperLetter"/>
      <w:lvlText w:val="%1-"/>
      <w:lvlJc w:val="left"/>
      <w:pPr>
        <w:ind w:left="1080" w:hanging="720"/>
      </w:pPr>
      <w:rPr>
        <w:rFonts w:ascii="Times New Roman" w:hAnsi="Times New Roman" w:hint="default"/>
        <w:color w:val="auto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340158"/>
    <w:multiLevelType w:val="multilevel"/>
    <w:tmpl w:val="57A00070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4820C1"/>
    <w:multiLevelType w:val="multilevel"/>
    <w:tmpl w:val="AE56B11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7742EE"/>
    <w:multiLevelType w:val="multilevel"/>
    <w:tmpl w:val="DBC4A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1329BD"/>
    <w:multiLevelType w:val="multilevel"/>
    <w:tmpl w:val="0AD6240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56C7674"/>
    <w:multiLevelType w:val="multilevel"/>
    <w:tmpl w:val="352C6600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60F7A1E"/>
    <w:multiLevelType w:val="multilevel"/>
    <w:tmpl w:val="3DA66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761BBD"/>
    <w:multiLevelType w:val="multilevel"/>
    <w:tmpl w:val="CF825D04"/>
    <w:lvl w:ilvl="0">
      <w:start w:val="9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3B62EBF"/>
    <w:multiLevelType w:val="multilevel"/>
    <w:tmpl w:val="36443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DD4CEE"/>
    <w:multiLevelType w:val="multilevel"/>
    <w:tmpl w:val="35D82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41422C2"/>
    <w:multiLevelType w:val="multilevel"/>
    <w:tmpl w:val="33B8A09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4AB48A0"/>
    <w:multiLevelType w:val="multilevel"/>
    <w:tmpl w:val="BA4C6DB4"/>
    <w:lvl w:ilvl="0">
      <w:start w:val="9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7335FF9"/>
    <w:multiLevelType w:val="multilevel"/>
    <w:tmpl w:val="1C52C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6230158">
    <w:abstractNumId w:val="11"/>
  </w:num>
  <w:num w:numId="2" w16cid:durableId="836459122">
    <w:abstractNumId w:val="6"/>
  </w:num>
  <w:num w:numId="3" w16cid:durableId="146673955">
    <w:abstractNumId w:val="14"/>
  </w:num>
  <w:num w:numId="4" w16cid:durableId="201720084">
    <w:abstractNumId w:val="8"/>
  </w:num>
  <w:num w:numId="5" w16cid:durableId="2040550402">
    <w:abstractNumId w:val="2"/>
  </w:num>
  <w:num w:numId="6" w16cid:durableId="450831175">
    <w:abstractNumId w:val="1"/>
  </w:num>
  <w:num w:numId="7" w16cid:durableId="195781428">
    <w:abstractNumId w:val="18"/>
  </w:num>
  <w:num w:numId="8" w16cid:durableId="2126188971">
    <w:abstractNumId w:val="10"/>
  </w:num>
  <w:num w:numId="9" w16cid:durableId="136268012">
    <w:abstractNumId w:val="0"/>
  </w:num>
  <w:num w:numId="10" w16cid:durableId="1019815785">
    <w:abstractNumId w:val="19"/>
  </w:num>
  <w:num w:numId="11" w16cid:durableId="312562702">
    <w:abstractNumId w:val="15"/>
  </w:num>
  <w:num w:numId="12" w16cid:durableId="1390614762">
    <w:abstractNumId w:val="12"/>
  </w:num>
  <w:num w:numId="13" w16cid:durableId="2074042122">
    <w:abstractNumId w:val="13"/>
  </w:num>
  <w:num w:numId="14" w16cid:durableId="1125082804">
    <w:abstractNumId w:val="9"/>
  </w:num>
  <w:num w:numId="15" w16cid:durableId="1154444447">
    <w:abstractNumId w:val="5"/>
  </w:num>
  <w:num w:numId="16" w16cid:durableId="1335761906">
    <w:abstractNumId w:val="17"/>
  </w:num>
  <w:num w:numId="17" w16cid:durableId="979185667">
    <w:abstractNumId w:val="20"/>
  </w:num>
  <w:num w:numId="18" w16cid:durableId="654797332">
    <w:abstractNumId w:val="7"/>
  </w:num>
  <w:num w:numId="19" w16cid:durableId="1078864499">
    <w:abstractNumId w:val="16"/>
  </w:num>
  <w:num w:numId="20" w16cid:durableId="896277758">
    <w:abstractNumId w:val="4"/>
  </w:num>
  <w:num w:numId="21" w16cid:durableId="17259806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88A"/>
    <w:rsid w:val="001151E7"/>
    <w:rsid w:val="00791BF5"/>
    <w:rsid w:val="00C7264D"/>
    <w:rsid w:val="00CA088A"/>
    <w:rsid w:val="00DD1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CCFC37C"/>
  <w15:chartTrackingRefBased/>
  <w15:docId w15:val="{6FDD3030-A129-3542-AA3F-7D31CD6B8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88A"/>
    <w:rPr>
      <w:rFonts w:ascii="Times New Roman" w:eastAsia="Times New Roman" w:hAnsi="Times New Roman" w:cs="Times New Roman"/>
      <w:lang w:val="en-US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088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5">
    <w:name w:val="heading 5"/>
    <w:basedOn w:val="Normal"/>
    <w:link w:val="Heading5Char"/>
    <w:uiPriority w:val="9"/>
    <w:qFormat/>
    <w:rsid w:val="00CA088A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088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CA088A"/>
    <w:rPr>
      <w:rFonts w:ascii="Times New Roman" w:eastAsia="Times New Roman" w:hAnsi="Times New Roman" w:cs="Times New Roman"/>
      <w:b/>
      <w:bCs/>
      <w:sz w:val="20"/>
      <w:szCs w:val="20"/>
      <w:lang w:val="en-US" w:eastAsia="en-GB"/>
    </w:rPr>
  </w:style>
  <w:style w:type="paragraph" w:styleId="NormalWeb">
    <w:name w:val="Normal (Web)"/>
    <w:basedOn w:val="Normal"/>
    <w:uiPriority w:val="99"/>
    <w:unhideWhenUsed/>
    <w:rsid w:val="00CA088A"/>
    <w:pPr>
      <w:spacing w:before="100" w:beforeAutospacing="1" w:after="100" w:afterAutospacing="1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A088A"/>
    <w:rPr>
      <w:rFonts w:asciiTheme="minorHAnsi" w:eastAsiaTheme="minorHAnsi" w:hAnsiTheme="minorHAnsi" w:cstheme="minorBidi"/>
      <w:sz w:val="20"/>
      <w:szCs w:val="20"/>
      <w:lang w:val="lt-LT"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A088A"/>
    <w:rPr>
      <w:sz w:val="20"/>
      <w:szCs w:val="20"/>
      <w:lang w:val="lt-LT"/>
    </w:rPr>
  </w:style>
  <w:style w:type="character" w:styleId="EndnoteReference">
    <w:name w:val="endnote reference"/>
    <w:basedOn w:val="DefaultParagraphFont"/>
    <w:uiPriority w:val="99"/>
    <w:semiHidden/>
    <w:unhideWhenUsed/>
    <w:rsid w:val="00CA088A"/>
    <w:rPr>
      <w:vertAlign w:val="superscript"/>
    </w:rPr>
  </w:style>
  <w:style w:type="table" w:styleId="TableGrid">
    <w:name w:val="Table Grid"/>
    <w:basedOn w:val="TableNormal"/>
    <w:uiPriority w:val="39"/>
    <w:rsid w:val="00CA088A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CA088A"/>
  </w:style>
  <w:style w:type="character" w:styleId="Hyperlink">
    <w:name w:val="Hyperlink"/>
    <w:basedOn w:val="DefaultParagraphFont"/>
    <w:uiPriority w:val="99"/>
    <w:unhideWhenUsed/>
    <w:rsid w:val="00CA088A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A088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A088A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CA088A"/>
    <w:rPr>
      <w:i/>
      <w:iCs/>
    </w:rPr>
  </w:style>
  <w:style w:type="character" w:customStyle="1" w:styleId="identifier">
    <w:name w:val="identifier"/>
    <w:basedOn w:val="DefaultParagraphFont"/>
    <w:rsid w:val="00CA088A"/>
  </w:style>
  <w:style w:type="character" w:customStyle="1" w:styleId="id-label">
    <w:name w:val="id-label"/>
    <w:basedOn w:val="DefaultParagraphFont"/>
    <w:rsid w:val="00CA088A"/>
  </w:style>
  <w:style w:type="paragraph" w:customStyle="1" w:styleId="p">
    <w:name w:val="p"/>
    <w:basedOn w:val="Normal"/>
    <w:rsid w:val="00CA088A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CA088A"/>
    <w:rPr>
      <w:sz w:val="16"/>
      <w:szCs w:val="16"/>
    </w:rPr>
  </w:style>
  <w:style w:type="paragraph" w:customStyle="1" w:styleId="msonormal0">
    <w:name w:val="msonormal"/>
    <w:basedOn w:val="Normal"/>
    <w:rsid w:val="00CA088A"/>
    <w:pPr>
      <w:spacing w:before="100" w:beforeAutospacing="1" w:after="100" w:afterAutospacing="1"/>
    </w:pPr>
  </w:style>
  <w:style w:type="paragraph" w:customStyle="1" w:styleId="xl64">
    <w:name w:val="xl64"/>
    <w:basedOn w:val="Normal"/>
    <w:rsid w:val="00CA088A"/>
    <w:pPr>
      <w:shd w:val="clear" w:color="000000" w:fill="E2EFDA"/>
      <w:spacing w:before="100" w:beforeAutospacing="1" w:after="100" w:afterAutospacing="1"/>
    </w:pPr>
  </w:style>
  <w:style w:type="paragraph" w:customStyle="1" w:styleId="xl65">
    <w:name w:val="xl65"/>
    <w:basedOn w:val="Normal"/>
    <w:rsid w:val="00CA088A"/>
    <w:pPr>
      <w:shd w:val="clear" w:color="000000" w:fill="E2EFDA"/>
      <w:spacing w:before="100" w:beforeAutospacing="1" w:after="100" w:afterAutospacing="1"/>
    </w:pPr>
  </w:style>
  <w:style w:type="paragraph" w:customStyle="1" w:styleId="xl66">
    <w:name w:val="xl66"/>
    <w:basedOn w:val="Normal"/>
    <w:rsid w:val="00CA088A"/>
    <w:pPr>
      <w:shd w:val="clear" w:color="000000" w:fill="FFFF00"/>
      <w:spacing w:before="100" w:beforeAutospacing="1" w:after="100" w:afterAutospacing="1"/>
    </w:pPr>
  </w:style>
  <w:style w:type="paragraph" w:customStyle="1" w:styleId="xl67">
    <w:name w:val="xl67"/>
    <w:basedOn w:val="Normal"/>
    <w:rsid w:val="00CA088A"/>
    <w:pPr>
      <w:shd w:val="clear" w:color="000000" w:fill="E2EFDA"/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68">
    <w:name w:val="xl68"/>
    <w:basedOn w:val="Normal"/>
    <w:rsid w:val="00CA088A"/>
    <w:pPr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70">
    <w:name w:val="xl70"/>
    <w:basedOn w:val="Normal"/>
    <w:rsid w:val="00CA088A"/>
    <w:pPr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71">
    <w:name w:val="xl71"/>
    <w:basedOn w:val="Normal"/>
    <w:rsid w:val="00CA088A"/>
    <w:pPr>
      <w:spacing w:before="100" w:beforeAutospacing="1" w:after="100" w:afterAutospacing="1"/>
    </w:pPr>
    <w:rPr>
      <w:rFonts w:ascii="Calibri" w:hAnsi="Calibri" w:cs="Calibri"/>
    </w:rPr>
  </w:style>
  <w:style w:type="character" w:customStyle="1" w:styleId="fff">
    <w:name w:val="fff"/>
    <w:basedOn w:val="DefaultParagraphFont"/>
    <w:rsid w:val="00CA088A"/>
  </w:style>
  <w:style w:type="character" w:customStyle="1" w:styleId="a">
    <w:name w:val="_"/>
    <w:basedOn w:val="DefaultParagraphFont"/>
    <w:rsid w:val="00CA088A"/>
  </w:style>
  <w:style w:type="paragraph" w:styleId="ListParagraph">
    <w:name w:val="List Paragraph"/>
    <w:basedOn w:val="Normal"/>
    <w:uiPriority w:val="34"/>
    <w:qFormat/>
    <w:rsid w:val="00CA088A"/>
    <w:pPr>
      <w:ind w:left="720"/>
      <w:contextualSpacing/>
    </w:pPr>
  </w:style>
  <w:style w:type="paragraph" w:styleId="Revision">
    <w:name w:val="Revision"/>
    <w:hidden/>
    <w:uiPriority w:val="99"/>
    <w:semiHidden/>
    <w:rsid w:val="00CA088A"/>
    <w:rPr>
      <w:rFonts w:ascii="Times New Roman" w:eastAsia="Times New Roman" w:hAnsi="Times New Roman" w:cs="Times New Roman"/>
      <w:lang w:val="en-US" w:eastAsia="en-GB"/>
    </w:rPr>
  </w:style>
  <w:style w:type="paragraph" w:styleId="CommentText">
    <w:name w:val="annotation text"/>
    <w:basedOn w:val="Normal"/>
    <w:link w:val="CommentTextChar"/>
    <w:uiPriority w:val="99"/>
    <w:unhideWhenUsed/>
    <w:rsid w:val="00CA088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088A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08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088A"/>
    <w:rPr>
      <w:rFonts w:ascii="Times New Roman" w:eastAsia="Times New Roman" w:hAnsi="Times New Roman" w:cs="Times New Roman"/>
      <w:b/>
      <w:bCs/>
      <w:sz w:val="20"/>
      <w:szCs w:val="20"/>
      <w:lang w:val="en-US" w:eastAsia="en-GB"/>
    </w:rPr>
  </w:style>
  <w:style w:type="character" w:customStyle="1" w:styleId="ref-journal">
    <w:name w:val="ref-journal"/>
    <w:basedOn w:val="DefaultParagraphFont"/>
    <w:rsid w:val="00CA088A"/>
  </w:style>
  <w:style w:type="character" w:customStyle="1" w:styleId="ref-vol">
    <w:name w:val="ref-vol"/>
    <w:basedOn w:val="DefaultParagraphFont"/>
    <w:rsid w:val="00CA088A"/>
  </w:style>
  <w:style w:type="character" w:customStyle="1" w:styleId="ref-title">
    <w:name w:val="ref-title"/>
    <w:basedOn w:val="DefaultParagraphFont"/>
    <w:rsid w:val="00CA088A"/>
  </w:style>
  <w:style w:type="character" w:customStyle="1" w:styleId="authors">
    <w:name w:val="authors"/>
    <w:basedOn w:val="DefaultParagraphFont"/>
    <w:rsid w:val="00CA088A"/>
  </w:style>
  <w:style w:type="character" w:customStyle="1" w:styleId="Date1">
    <w:name w:val="Date1"/>
    <w:basedOn w:val="DefaultParagraphFont"/>
    <w:rsid w:val="00CA088A"/>
  </w:style>
  <w:style w:type="character" w:customStyle="1" w:styleId="arttitle">
    <w:name w:val="art_title"/>
    <w:basedOn w:val="DefaultParagraphFont"/>
    <w:rsid w:val="00CA088A"/>
  </w:style>
  <w:style w:type="character" w:customStyle="1" w:styleId="serialtitle">
    <w:name w:val="serial_title"/>
    <w:basedOn w:val="DefaultParagraphFont"/>
    <w:rsid w:val="00CA088A"/>
  </w:style>
  <w:style w:type="character" w:customStyle="1" w:styleId="volumeissue">
    <w:name w:val="volume_issue"/>
    <w:basedOn w:val="DefaultParagraphFont"/>
    <w:rsid w:val="00CA088A"/>
  </w:style>
  <w:style w:type="character" w:customStyle="1" w:styleId="pagerange">
    <w:name w:val="page_range"/>
    <w:basedOn w:val="DefaultParagraphFont"/>
    <w:rsid w:val="00CA088A"/>
  </w:style>
  <w:style w:type="character" w:customStyle="1" w:styleId="doilink">
    <w:name w:val="doi_link"/>
    <w:basedOn w:val="DefaultParagraphFont"/>
    <w:rsid w:val="00CA088A"/>
  </w:style>
  <w:style w:type="character" w:customStyle="1" w:styleId="name">
    <w:name w:val="name"/>
    <w:basedOn w:val="DefaultParagraphFont"/>
    <w:rsid w:val="00CA088A"/>
  </w:style>
  <w:style w:type="paragraph" w:customStyle="1" w:styleId="referenceauthor">
    <w:name w:val="reference__author"/>
    <w:basedOn w:val="Normal"/>
    <w:rsid w:val="00CA088A"/>
    <w:pPr>
      <w:spacing w:before="100" w:beforeAutospacing="1" w:after="100" w:afterAutospacing="1"/>
    </w:pPr>
  </w:style>
  <w:style w:type="character" w:customStyle="1" w:styleId="referenceauthorslistsuffix">
    <w:name w:val="reference__authors_list_suffix"/>
    <w:basedOn w:val="DefaultParagraphFont"/>
    <w:rsid w:val="00CA088A"/>
  </w:style>
  <w:style w:type="character" w:customStyle="1" w:styleId="doi">
    <w:name w:val="doi"/>
    <w:basedOn w:val="DefaultParagraphFont"/>
    <w:rsid w:val="00CA088A"/>
  </w:style>
  <w:style w:type="character" w:customStyle="1" w:styleId="markedcontent">
    <w:name w:val="markedcontent"/>
    <w:basedOn w:val="DefaultParagraphFont"/>
    <w:rsid w:val="00CA088A"/>
  </w:style>
  <w:style w:type="character" w:customStyle="1" w:styleId="mi">
    <w:name w:val="mi"/>
    <w:basedOn w:val="DefaultParagraphFont"/>
    <w:rsid w:val="00CA088A"/>
  </w:style>
  <w:style w:type="character" w:styleId="Strong">
    <w:name w:val="Strong"/>
    <w:basedOn w:val="DefaultParagraphFont"/>
    <w:uiPriority w:val="22"/>
    <w:qFormat/>
    <w:rsid w:val="00CA088A"/>
    <w:rPr>
      <w:b/>
      <w:bCs/>
    </w:rPr>
  </w:style>
  <w:style w:type="character" w:customStyle="1" w:styleId="html-italic">
    <w:name w:val="html-italic"/>
    <w:basedOn w:val="DefaultParagraphFont"/>
    <w:rsid w:val="00CA088A"/>
  </w:style>
  <w:style w:type="character" w:customStyle="1" w:styleId="hlfld-contribauthor">
    <w:name w:val="hlfld-contribauthor"/>
    <w:basedOn w:val="DefaultParagraphFont"/>
    <w:rsid w:val="00CA088A"/>
  </w:style>
  <w:style w:type="character" w:customStyle="1" w:styleId="nlmgiven-names">
    <w:name w:val="nlm_given-names"/>
    <w:basedOn w:val="DefaultParagraphFont"/>
    <w:rsid w:val="00CA088A"/>
  </w:style>
  <w:style w:type="character" w:customStyle="1" w:styleId="nlmarticle-title">
    <w:name w:val="nlm_article-title"/>
    <w:basedOn w:val="DefaultParagraphFont"/>
    <w:rsid w:val="00CA088A"/>
  </w:style>
  <w:style w:type="character" w:customStyle="1" w:styleId="nlmyear">
    <w:name w:val="nlm_year"/>
    <w:basedOn w:val="DefaultParagraphFont"/>
    <w:rsid w:val="00CA088A"/>
  </w:style>
  <w:style w:type="character" w:customStyle="1" w:styleId="nlmfpage">
    <w:name w:val="nlm_fpage"/>
    <w:basedOn w:val="DefaultParagraphFont"/>
    <w:rsid w:val="00CA088A"/>
  </w:style>
  <w:style w:type="character" w:customStyle="1" w:styleId="nlmlpage">
    <w:name w:val="nlm_lpage"/>
    <w:basedOn w:val="DefaultParagraphFont"/>
    <w:rsid w:val="00CA088A"/>
  </w:style>
  <w:style w:type="character" w:customStyle="1" w:styleId="highwire-cite-metadata-journal">
    <w:name w:val="highwire-cite-metadata-journal"/>
    <w:basedOn w:val="DefaultParagraphFont"/>
    <w:rsid w:val="00CA088A"/>
  </w:style>
  <w:style w:type="character" w:customStyle="1" w:styleId="highwire-cite-metadata-date">
    <w:name w:val="highwire-cite-metadata-date"/>
    <w:basedOn w:val="DefaultParagraphFont"/>
    <w:rsid w:val="00CA088A"/>
  </w:style>
  <w:style w:type="character" w:customStyle="1" w:styleId="person-group">
    <w:name w:val="person-group"/>
    <w:basedOn w:val="DefaultParagraphFont"/>
    <w:rsid w:val="00CA088A"/>
  </w:style>
  <w:style w:type="paragraph" w:customStyle="1" w:styleId="font5">
    <w:name w:val="font5"/>
    <w:basedOn w:val="Normal"/>
    <w:rsid w:val="00CA088A"/>
    <w:pPr>
      <w:spacing w:before="100" w:beforeAutospacing="1" w:after="100" w:afterAutospacing="1"/>
    </w:pPr>
    <w:rPr>
      <w:color w:val="000000"/>
      <w:sz w:val="21"/>
      <w:szCs w:val="21"/>
      <w:lang w:eastAsia="en-US"/>
    </w:rPr>
  </w:style>
  <w:style w:type="paragraph" w:customStyle="1" w:styleId="font6">
    <w:name w:val="font6"/>
    <w:basedOn w:val="Normal"/>
    <w:rsid w:val="00CA088A"/>
    <w:pPr>
      <w:spacing w:before="100" w:beforeAutospacing="1" w:after="100" w:afterAutospacing="1"/>
    </w:pPr>
    <w:rPr>
      <w:color w:val="000000"/>
      <w:sz w:val="21"/>
      <w:szCs w:val="21"/>
      <w:lang w:eastAsia="en-US"/>
    </w:rPr>
  </w:style>
  <w:style w:type="paragraph" w:customStyle="1" w:styleId="xl69">
    <w:name w:val="xl69"/>
    <w:basedOn w:val="Normal"/>
    <w:rsid w:val="00CA088A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eastAsia="en-US"/>
    </w:rPr>
  </w:style>
  <w:style w:type="paragraph" w:customStyle="1" w:styleId="xl72">
    <w:name w:val="xl72"/>
    <w:basedOn w:val="Normal"/>
    <w:rsid w:val="00CA088A"/>
    <w:pPr>
      <w:pBdr>
        <w:top w:val="single" w:sz="4" w:space="0" w:color="auto"/>
        <w:left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</w:pPr>
    <w:rPr>
      <w:lang w:eastAsia="en-US"/>
    </w:rPr>
  </w:style>
  <w:style w:type="paragraph" w:customStyle="1" w:styleId="xl73">
    <w:name w:val="xl73"/>
    <w:basedOn w:val="Normal"/>
    <w:rsid w:val="00CA088A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</w:pPr>
    <w:rPr>
      <w:lang w:eastAsia="en-US"/>
    </w:rPr>
  </w:style>
  <w:style w:type="paragraph" w:customStyle="1" w:styleId="xl74">
    <w:name w:val="xl74"/>
    <w:basedOn w:val="Normal"/>
    <w:rsid w:val="00CA088A"/>
    <w:pPr>
      <w:pBdr>
        <w:top w:val="single" w:sz="4" w:space="0" w:color="auto"/>
        <w:left w:val="single" w:sz="4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</w:pPr>
    <w:rPr>
      <w:lang w:eastAsia="en-US"/>
    </w:rPr>
  </w:style>
  <w:style w:type="paragraph" w:customStyle="1" w:styleId="xl75">
    <w:name w:val="xl75"/>
    <w:basedOn w:val="Normal"/>
    <w:rsid w:val="00CA088A"/>
    <w:pPr>
      <w:pBdr>
        <w:left w:val="single" w:sz="4" w:space="0" w:color="auto"/>
        <w:right w:val="double" w:sz="6" w:space="0" w:color="auto"/>
      </w:pBdr>
      <w:spacing w:before="100" w:beforeAutospacing="1" w:after="100" w:afterAutospacing="1"/>
    </w:pPr>
    <w:rPr>
      <w:lang w:eastAsia="en-US"/>
    </w:rPr>
  </w:style>
  <w:style w:type="paragraph" w:customStyle="1" w:styleId="xl76">
    <w:name w:val="xl76"/>
    <w:basedOn w:val="Normal"/>
    <w:rsid w:val="00CA08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1"/>
      <w:szCs w:val="21"/>
      <w:lang w:eastAsia="en-US"/>
    </w:rPr>
  </w:style>
  <w:style w:type="paragraph" w:customStyle="1" w:styleId="xl77">
    <w:name w:val="xl77"/>
    <w:basedOn w:val="Normal"/>
    <w:rsid w:val="00CA08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78">
    <w:name w:val="xl78"/>
    <w:basedOn w:val="Normal"/>
    <w:rsid w:val="00CA088A"/>
    <w:pPr>
      <w:pBdr>
        <w:top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79">
    <w:name w:val="xl79"/>
    <w:basedOn w:val="Normal"/>
    <w:rsid w:val="00CA088A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1"/>
      <w:szCs w:val="21"/>
      <w:lang w:eastAsia="en-US"/>
    </w:rPr>
  </w:style>
  <w:style w:type="paragraph" w:customStyle="1" w:styleId="xl80">
    <w:name w:val="xl80"/>
    <w:basedOn w:val="Normal"/>
    <w:rsid w:val="00CA088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81">
    <w:name w:val="xl81"/>
    <w:basedOn w:val="Normal"/>
    <w:rsid w:val="00CA088A"/>
    <w:pPr>
      <w:pBdr>
        <w:top w:val="double" w:sz="6" w:space="0" w:color="auto"/>
        <w:left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eastAsia="en-US"/>
    </w:rPr>
  </w:style>
  <w:style w:type="paragraph" w:customStyle="1" w:styleId="xl82">
    <w:name w:val="xl82"/>
    <w:basedOn w:val="Normal"/>
    <w:rsid w:val="00CA088A"/>
    <w:pPr>
      <w:pBdr>
        <w:left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83">
    <w:name w:val="xl83"/>
    <w:basedOn w:val="Normal"/>
    <w:rsid w:val="00CA088A"/>
    <w:pPr>
      <w:pBdr>
        <w:top w:val="double" w:sz="6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color w:val="000000"/>
      <w:sz w:val="21"/>
      <w:szCs w:val="21"/>
      <w:lang w:eastAsia="en-US"/>
    </w:rPr>
  </w:style>
  <w:style w:type="paragraph" w:customStyle="1" w:styleId="xl84">
    <w:name w:val="xl84"/>
    <w:basedOn w:val="Normal"/>
    <w:rsid w:val="00CA088A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lang w:eastAsia="en-US"/>
    </w:rPr>
  </w:style>
  <w:style w:type="paragraph" w:customStyle="1" w:styleId="xl85">
    <w:name w:val="xl85"/>
    <w:basedOn w:val="Normal"/>
    <w:rsid w:val="00CA088A"/>
    <w:pPr>
      <w:pBdr>
        <w:top w:val="double" w:sz="6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color w:val="000000"/>
      <w:sz w:val="21"/>
      <w:szCs w:val="21"/>
      <w:lang w:eastAsia="en-US"/>
    </w:rPr>
  </w:style>
  <w:style w:type="paragraph" w:customStyle="1" w:styleId="xl86">
    <w:name w:val="xl86"/>
    <w:basedOn w:val="Normal"/>
    <w:rsid w:val="00CA088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lang w:eastAsia="en-US"/>
    </w:rPr>
  </w:style>
  <w:style w:type="paragraph" w:customStyle="1" w:styleId="xl87">
    <w:name w:val="xl87"/>
    <w:basedOn w:val="Normal"/>
    <w:rsid w:val="00CA088A"/>
    <w:pPr>
      <w:pBdr>
        <w:top w:val="double" w:sz="6" w:space="0" w:color="auto"/>
        <w:left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88">
    <w:name w:val="xl88"/>
    <w:basedOn w:val="Normal"/>
    <w:rsid w:val="00CA088A"/>
    <w:pPr>
      <w:pBdr>
        <w:left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89">
    <w:name w:val="xl89"/>
    <w:basedOn w:val="Normal"/>
    <w:rsid w:val="00CA088A"/>
    <w:pPr>
      <w:pBdr>
        <w:left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table" w:styleId="PlainTable4">
    <w:name w:val="Plain Table 4"/>
    <w:basedOn w:val="TableNormal"/>
    <w:uiPriority w:val="44"/>
    <w:rsid w:val="00CA088A"/>
    <w:rPr>
      <w:lang w:val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A088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88A"/>
    <w:rPr>
      <w:rFonts w:ascii="Segoe UI" w:eastAsia="Times New Roman" w:hAnsi="Segoe UI" w:cs="Segoe UI"/>
      <w:sz w:val="18"/>
      <w:szCs w:val="18"/>
      <w:lang w:val="en-US" w:eastAsia="en-GB"/>
    </w:rPr>
  </w:style>
  <w:style w:type="character" w:customStyle="1" w:styleId="contentpasted0">
    <w:name w:val="contentpasted0"/>
    <w:basedOn w:val="DefaultParagraphFont"/>
    <w:rsid w:val="00CA08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579</Words>
  <Characters>3305</Characters>
  <Application>Microsoft Office Word</Application>
  <DocSecurity>0</DocSecurity>
  <Lines>27</Lines>
  <Paragraphs>7</Paragraphs>
  <ScaleCrop>false</ScaleCrop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2022-11-28T17:52:00Z</dcterms:created>
  <dcterms:modified xsi:type="dcterms:W3CDTF">2022-11-28T17:54:00Z</dcterms:modified>
</cp:coreProperties>
</file>