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477CDB" w14:textId="77777777" w:rsidR="004759A7" w:rsidRDefault="004759A7" w:rsidP="004759A7">
      <w:pPr>
        <w:ind w:firstLineChars="0" w:firstLine="0"/>
        <w:jc w:val="center"/>
        <w:rPr>
          <w:b/>
          <w:bCs/>
          <w:sz w:val="28"/>
          <w:szCs w:val="28"/>
        </w:rPr>
      </w:pPr>
      <w:r w:rsidRPr="00322855">
        <w:rPr>
          <w:b/>
          <w:bCs/>
          <w:sz w:val="28"/>
          <w:szCs w:val="28"/>
        </w:rPr>
        <w:t>C</w:t>
      </w:r>
      <w:r w:rsidRPr="007654E4">
        <w:rPr>
          <w:b/>
          <w:bCs/>
          <w:sz w:val="28"/>
          <w:szCs w:val="28"/>
        </w:rPr>
        <w:t xml:space="preserve">rosslinking modification </w:t>
      </w:r>
      <w:r>
        <w:rPr>
          <w:b/>
          <w:bCs/>
          <w:sz w:val="28"/>
          <w:szCs w:val="28"/>
        </w:rPr>
        <w:t xml:space="preserve">of </w:t>
      </w:r>
      <w:r w:rsidRPr="007B285D">
        <w:rPr>
          <w:b/>
          <w:bCs/>
          <w:sz w:val="28"/>
          <w:szCs w:val="28"/>
        </w:rPr>
        <w:t>polyamide composite membrane</w:t>
      </w:r>
      <w:r>
        <w:rPr>
          <w:b/>
          <w:bCs/>
          <w:sz w:val="28"/>
          <w:szCs w:val="28"/>
        </w:rPr>
        <w:t>s</w:t>
      </w:r>
      <w:r w:rsidRPr="00FB4117">
        <w:rPr>
          <w:b/>
          <w:bCs/>
          <w:sz w:val="28"/>
          <w:szCs w:val="28"/>
        </w:rPr>
        <w:t xml:space="preserve"> </w:t>
      </w:r>
      <w:r w:rsidRPr="00322855">
        <w:rPr>
          <w:b/>
          <w:bCs/>
          <w:sz w:val="28"/>
          <w:szCs w:val="28"/>
        </w:rPr>
        <w:t>toward high</w:t>
      </w:r>
      <w:r>
        <w:rPr>
          <w:b/>
          <w:bCs/>
          <w:sz w:val="28"/>
          <w:szCs w:val="28"/>
        </w:rPr>
        <w:t xml:space="preserve"> </w:t>
      </w:r>
      <w:r w:rsidRPr="002932EB">
        <w:rPr>
          <w:b/>
          <w:bCs/>
          <w:sz w:val="28"/>
          <w:szCs w:val="28"/>
        </w:rPr>
        <w:t>performance for DMAc/H</w:t>
      </w:r>
      <w:r w:rsidRPr="002932EB">
        <w:rPr>
          <w:b/>
          <w:bCs/>
          <w:sz w:val="28"/>
          <w:szCs w:val="28"/>
          <w:vertAlign w:val="subscript"/>
        </w:rPr>
        <w:t>2</w:t>
      </w:r>
      <w:r w:rsidRPr="002932EB">
        <w:rPr>
          <w:b/>
          <w:bCs/>
          <w:sz w:val="28"/>
          <w:szCs w:val="28"/>
        </w:rPr>
        <w:t>O dehydration</w:t>
      </w:r>
    </w:p>
    <w:p w14:paraId="6F8DBE23" w14:textId="77777777" w:rsidR="004759A7" w:rsidRPr="00E26429" w:rsidRDefault="004759A7" w:rsidP="004759A7">
      <w:pPr>
        <w:pStyle w:val="TitleStyle"/>
        <w:spacing w:line="360" w:lineRule="auto"/>
        <w:ind w:firstLine="480"/>
        <w:rPr>
          <w:lang w:val="en-US"/>
        </w:rPr>
      </w:pPr>
    </w:p>
    <w:p w14:paraId="2BC44A17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sz w:val="24"/>
          <w:szCs w:val="24"/>
        </w:rPr>
      </w:pPr>
      <w:r w:rsidRPr="002932EB">
        <w:rPr>
          <w:b w:val="0"/>
          <w:sz w:val="24"/>
          <w:szCs w:val="24"/>
        </w:rPr>
        <w:t xml:space="preserve">Wenzhong Ma </w:t>
      </w:r>
      <w:r w:rsidRPr="002932EB">
        <w:rPr>
          <w:b w:val="0"/>
          <w:sz w:val="24"/>
          <w:szCs w:val="24"/>
          <w:vertAlign w:val="superscript"/>
        </w:rPr>
        <w:t>a, b</w:t>
      </w:r>
      <w:bookmarkStart w:id="0" w:name="_Hlk76802637"/>
      <w:r w:rsidRPr="002932EB">
        <w:rPr>
          <w:b w:val="0"/>
          <w:sz w:val="24"/>
          <w:szCs w:val="24"/>
          <w:vertAlign w:val="superscript"/>
        </w:rPr>
        <w:t>*</w:t>
      </w:r>
      <w:bookmarkEnd w:id="0"/>
      <w:r w:rsidRPr="002932EB">
        <w:rPr>
          <w:b w:val="0"/>
          <w:sz w:val="24"/>
          <w:szCs w:val="24"/>
        </w:rPr>
        <w:t>, Ziang Wei</w:t>
      </w:r>
      <w:r w:rsidRPr="002932EB">
        <w:rPr>
          <w:b w:val="0"/>
          <w:sz w:val="24"/>
          <w:szCs w:val="24"/>
          <w:vertAlign w:val="superscript"/>
        </w:rPr>
        <w:t xml:space="preserve"> a</w:t>
      </w:r>
      <w:r w:rsidRPr="002932EB">
        <w:rPr>
          <w:b w:val="0"/>
          <w:sz w:val="24"/>
          <w:szCs w:val="24"/>
        </w:rPr>
        <w:t xml:space="preserve"> , Jing Zhong </w:t>
      </w:r>
      <w:r w:rsidRPr="002932EB">
        <w:rPr>
          <w:b w:val="0"/>
          <w:sz w:val="24"/>
          <w:szCs w:val="24"/>
          <w:vertAlign w:val="superscript"/>
        </w:rPr>
        <w:t>b*</w:t>
      </w:r>
      <w:r>
        <w:rPr>
          <w:b w:val="0"/>
          <w:sz w:val="24"/>
          <w:szCs w:val="24"/>
        </w:rPr>
        <w:t xml:space="preserve">, </w:t>
      </w:r>
      <w:r w:rsidRPr="002932EB">
        <w:rPr>
          <w:b w:val="0"/>
          <w:sz w:val="24"/>
          <w:szCs w:val="24"/>
        </w:rPr>
        <w:t xml:space="preserve">Chao Jiang </w:t>
      </w:r>
      <w:r w:rsidRPr="002932EB">
        <w:rPr>
          <w:b w:val="0"/>
          <w:sz w:val="24"/>
          <w:szCs w:val="24"/>
          <w:vertAlign w:val="superscript"/>
        </w:rPr>
        <w:t>b</w:t>
      </w:r>
      <w:r w:rsidRPr="002932EB">
        <w:rPr>
          <w:b w:val="0"/>
          <w:sz w:val="24"/>
          <w:szCs w:val="24"/>
        </w:rPr>
        <w:t xml:space="preserve">, </w:t>
      </w:r>
      <w:r>
        <w:rPr>
          <w:b w:val="0"/>
          <w:sz w:val="24"/>
          <w:szCs w:val="24"/>
        </w:rPr>
        <w:t>Xiangyuan Song</w:t>
      </w:r>
      <w:r w:rsidRPr="002932EB">
        <w:rPr>
          <w:b w:val="0"/>
          <w:sz w:val="24"/>
          <w:szCs w:val="24"/>
          <w:vertAlign w:val="superscript"/>
        </w:rPr>
        <w:t>a</w:t>
      </w:r>
      <w:r>
        <w:rPr>
          <w:b w:val="0"/>
          <w:sz w:val="24"/>
          <w:szCs w:val="24"/>
        </w:rPr>
        <w:t>, Guor</w:t>
      </w:r>
      <w:r w:rsidRPr="00F37352">
        <w:rPr>
          <w:b w:val="0"/>
          <w:sz w:val="24"/>
          <w:szCs w:val="24"/>
        </w:rPr>
        <w:t>ui</w:t>
      </w:r>
      <w:r>
        <w:rPr>
          <w:b w:val="0"/>
          <w:sz w:val="24"/>
          <w:szCs w:val="24"/>
        </w:rPr>
        <w:t xml:space="preserve"> Yuan</w:t>
      </w:r>
      <w:r w:rsidRPr="002932EB">
        <w:rPr>
          <w:b w:val="0"/>
          <w:sz w:val="24"/>
          <w:szCs w:val="24"/>
          <w:vertAlign w:val="superscript"/>
        </w:rPr>
        <w:t>a</w:t>
      </w:r>
      <w:r w:rsidRPr="002932EB">
        <w:rPr>
          <w:b w:val="0"/>
          <w:sz w:val="24"/>
          <w:szCs w:val="24"/>
        </w:rPr>
        <w:t>,</w:t>
      </w:r>
      <w:r w:rsidRPr="00F37352">
        <w:rPr>
          <w:b w:val="0"/>
          <w:sz w:val="24"/>
          <w:szCs w:val="24"/>
        </w:rPr>
        <w:t xml:space="preserve"> Z</w:t>
      </w:r>
      <w:r w:rsidRPr="00F37352">
        <w:rPr>
          <w:rFonts w:eastAsiaTheme="minorEastAsia"/>
          <w:b w:val="0"/>
          <w:sz w:val="24"/>
          <w:szCs w:val="24"/>
          <w:lang w:eastAsia="zh-CN"/>
        </w:rPr>
        <w:t>aiqi Cheng</w:t>
      </w:r>
      <w:r w:rsidRPr="00F37352">
        <w:rPr>
          <w:b w:val="0"/>
          <w:sz w:val="24"/>
          <w:szCs w:val="24"/>
          <w:vertAlign w:val="superscript"/>
        </w:rPr>
        <w:t xml:space="preserve"> a</w:t>
      </w:r>
      <w:r w:rsidRPr="002932EB">
        <w:rPr>
          <w:b w:val="0"/>
          <w:sz w:val="24"/>
          <w:szCs w:val="24"/>
        </w:rPr>
        <w:t>,</w:t>
      </w:r>
      <w:r>
        <w:rPr>
          <w:b w:val="0"/>
          <w:sz w:val="24"/>
          <w:szCs w:val="24"/>
        </w:rPr>
        <w:t xml:space="preserve"> </w:t>
      </w:r>
      <w:r w:rsidRPr="002932EB">
        <w:rPr>
          <w:b w:val="0"/>
          <w:sz w:val="24"/>
          <w:szCs w:val="24"/>
        </w:rPr>
        <w:t>Binghao Ma</w:t>
      </w:r>
      <w:r w:rsidRPr="002932EB">
        <w:rPr>
          <w:b w:val="0"/>
          <w:sz w:val="24"/>
          <w:szCs w:val="24"/>
          <w:vertAlign w:val="superscript"/>
        </w:rPr>
        <w:t xml:space="preserve"> </w:t>
      </w:r>
      <w:bookmarkStart w:id="1" w:name="_Hlk118793956"/>
      <w:r w:rsidRPr="002932EB">
        <w:rPr>
          <w:b w:val="0"/>
          <w:sz w:val="24"/>
          <w:szCs w:val="24"/>
          <w:vertAlign w:val="superscript"/>
        </w:rPr>
        <w:t>a</w:t>
      </w:r>
      <w:bookmarkEnd w:id="1"/>
      <w:r w:rsidRPr="002932EB">
        <w:rPr>
          <w:b w:val="0"/>
          <w:sz w:val="24"/>
          <w:szCs w:val="24"/>
        </w:rPr>
        <w:t xml:space="preserve">, </w:t>
      </w:r>
      <w:bookmarkStart w:id="2" w:name="_Hlk118794826"/>
      <w:r w:rsidRPr="002932EB">
        <w:rPr>
          <w:b w:val="0"/>
          <w:sz w:val="24"/>
          <w:szCs w:val="24"/>
        </w:rPr>
        <w:t>H</w:t>
      </w:r>
      <w:bookmarkEnd w:id="2"/>
      <w:r w:rsidRPr="002932EB">
        <w:rPr>
          <w:b w:val="0"/>
          <w:sz w:val="24"/>
          <w:szCs w:val="24"/>
        </w:rPr>
        <w:t xml:space="preserve">ideto </w:t>
      </w:r>
      <w:bookmarkStart w:id="3" w:name="_Hlk118794840"/>
      <w:r w:rsidRPr="002932EB">
        <w:rPr>
          <w:b w:val="0"/>
          <w:sz w:val="24"/>
          <w:szCs w:val="24"/>
        </w:rPr>
        <w:t>Matsuyama</w:t>
      </w:r>
      <w:bookmarkEnd w:id="3"/>
      <w:r w:rsidRPr="002932EB">
        <w:rPr>
          <w:b w:val="0"/>
          <w:sz w:val="24"/>
          <w:szCs w:val="24"/>
        </w:rPr>
        <w:t xml:space="preserve"> </w:t>
      </w:r>
      <w:r w:rsidRPr="002932EB">
        <w:rPr>
          <w:b w:val="0"/>
          <w:sz w:val="24"/>
          <w:szCs w:val="24"/>
          <w:vertAlign w:val="superscript"/>
        </w:rPr>
        <w:t>c</w:t>
      </w:r>
    </w:p>
    <w:p w14:paraId="245B141F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i/>
          <w:iCs/>
          <w:sz w:val="24"/>
          <w:szCs w:val="24"/>
        </w:rPr>
      </w:pPr>
      <w:r w:rsidRPr="002932EB">
        <w:rPr>
          <w:b w:val="0"/>
          <w:i/>
          <w:iCs/>
          <w:sz w:val="24"/>
          <w:szCs w:val="24"/>
          <w:vertAlign w:val="superscript"/>
        </w:rPr>
        <w:t>a</w:t>
      </w:r>
      <w:r w:rsidRPr="002932EB">
        <w:rPr>
          <w:b w:val="0"/>
          <w:i/>
          <w:iCs/>
          <w:sz w:val="24"/>
          <w:szCs w:val="24"/>
        </w:rPr>
        <w:t xml:space="preserve"> Jiangsu Key Laboratory of Environmentally Friendly Polymeric Materials,</w:t>
      </w:r>
      <w:r w:rsidRPr="00C1226B">
        <w:rPr>
          <w:b w:val="0"/>
          <w:i/>
          <w:iCs/>
          <w:sz w:val="24"/>
          <w:szCs w:val="24"/>
        </w:rPr>
        <w:t xml:space="preserve"> </w:t>
      </w:r>
      <w:r w:rsidRPr="002932EB">
        <w:rPr>
          <w:b w:val="0"/>
          <w:i/>
          <w:iCs/>
          <w:sz w:val="24"/>
          <w:szCs w:val="24"/>
        </w:rPr>
        <w:t>National Experimental Demonstration Center for Materials Science and Engineering, School of Materials Science and Engineering, Changzhou 213164, Jiangsu, P. R. China</w:t>
      </w:r>
    </w:p>
    <w:p w14:paraId="551FB2D7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i/>
          <w:iCs/>
          <w:sz w:val="24"/>
          <w:szCs w:val="24"/>
        </w:rPr>
      </w:pPr>
      <w:r w:rsidRPr="002932EB">
        <w:rPr>
          <w:b w:val="0"/>
          <w:i/>
          <w:iCs/>
          <w:sz w:val="24"/>
          <w:szCs w:val="24"/>
          <w:vertAlign w:val="superscript"/>
        </w:rPr>
        <w:t>b</w:t>
      </w:r>
      <w:r w:rsidRPr="002932EB">
        <w:rPr>
          <w:b w:val="0"/>
          <w:i/>
          <w:iCs/>
          <w:sz w:val="24"/>
          <w:szCs w:val="24"/>
        </w:rPr>
        <w:t xml:space="preserve"> </w:t>
      </w:r>
      <w:r w:rsidRPr="00534E78">
        <w:rPr>
          <w:b w:val="0"/>
          <w:i/>
          <w:iCs/>
          <w:sz w:val="24"/>
          <w:szCs w:val="24"/>
        </w:rPr>
        <w:t xml:space="preserve">Jiangsu Key Laboratory of Advanced Catalytic Materials and Technology, </w:t>
      </w:r>
      <w:r w:rsidRPr="002932EB">
        <w:rPr>
          <w:b w:val="0"/>
          <w:i/>
          <w:iCs/>
          <w:sz w:val="24"/>
          <w:szCs w:val="24"/>
        </w:rPr>
        <w:t>School   of  Petrochemical  Engineering,  Changzhou  University, Changzhou          213164,           China</w:t>
      </w:r>
    </w:p>
    <w:p w14:paraId="3C1CCA2E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i/>
          <w:iCs/>
          <w:sz w:val="24"/>
          <w:szCs w:val="24"/>
        </w:rPr>
      </w:pPr>
      <w:r>
        <w:rPr>
          <w:b w:val="0"/>
          <w:i/>
          <w:iCs/>
          <w:sz w:val="24"/>
          <w:szCs w:val="24"/>
          <w:vertAlign w:val="superscript"/>
        </w:rPr>
        <w:t xml:space="preserve">c </w:t>
      </w:r>
      <w:r w:rsidRPr="002932EB">
        <w:rPr>
          <w:b w:val="0"/>
          <w:i/>
          <w:iCs/>
          <w:sz w:val="24"/>
          <w:szCs w:val="24"/>
        </w:rPr>
        <w:t>Research Center for Membrane and Film Technology, Department of Chemical Science and Engineering, Kobe University, 1-1 Rokkodai, Nada-ku, Kobe 657-8501, Japan</w:t>
      </w:r>
    </w:p>
    <w:p w14:paraId="37852C04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i/>
          <w:iCs/>
          <w:sz w:val="24"/>
          <w:szCs w:val="24"/>
        </w:rPr>
      </w:pPr>
      <w:r w:rsidRPr="002932EB">
        <w:rPr>
          <w:b w:val="0"/>
          <w:i/>
          <w:iCs/>
          <w:sz w:val="24"/>
          <w:szCs w:val="24"/>
        </w:rPr>
        <w:t>Wenzhong Ma, Email: wenzhong-ma@cczu.edu.cn</w:t>
      </w:r>
    </w:p>
    <w:p w14:paraId="0AF65F1C" w14:textId="77777777" w:rsidR="004759A7" w:rsidRPr="002932EB" w:rsidRDefault="004759A7" w:rsidP="004759A7">
      <w:pPr>
        <w:pStyle w:val="TitleStyle"/>
        <w:spacing w:line="360" w:lineRule="auto"/>
        <w:ind w:firstLine="480"/>
        <w:rPr>
          <w:b w:val="0"/>
          <w:i/>
          <w:iCs/>
          <w:sz w:val="24"/>
          <w:szCs w:val="24"/>
        </w:rPr>
      </w:pPr>
      <w:r w:rsidRPr="002932EB">
        <w:rPr>
          <w:b w:val="0"/>
          <w:i/>
          <w:iCs/>
          <w:sz w:val="24"/>
          <w:szCs w:val="24"/>
        </w:rPr>
        <w:t>Jing Zhong, Email: zjwyz@cczu.edu.cn</w:t>
      </w:r>
    </w:p>
    <w:p w14:paraId="5607F560" w14:textId="77777777" w:rsidR="004759A7" w:rsidRDefault="004759A7" w:rsidP="00890EE6">
      <w:pPr>
        <w:ind w:firstLine="480"/>
        <w:contextualSpacing/>
        <w:rPr>
          <w:bCs/>
          <w:szCs w:val="24"/>
        </w:rPr>
      </w:pPr>
    </w:p>
    <w:p w14:paraId="47612383" w14:textId="28AB7DDB" w:rsidR="007362EB" w:rsidRPr="007362EB" w:rsidRDefault="007362EB" w:rsidP="00890EE6">
      <w:pPr>
        <w:ind w:firstLine="480"/>
        <w:contextualSpacing/>
        <w:rPr>
          <w:bCs/>
          <w:szCs w:val="24"/>
        </w:rPr>
      </w:pPr>
      <w:bookmarkStart w:id="4" w:name="_GoBack"/>
      <w:bookmarkEnd w:id="4"/>
      <w:r w:rsidRPr="0027277D">
        <w:rPr>
          <w:bCs/>
          <w:szCs w:val="24"/>
        </w:rPr>
        <w:t xml:space="preserve">Herein, the effects of </w:t>
      </w:r>
      <w:r>
        <w:rPr>
          <w:bCs/>
          <w:szCs w:val="24"/>
        </w:rPr>
        <w:t xml:space="preserve">the </w:t>
      </w:r>
      <w:r w:rsidRPr="0027277D">
        <w:rPr>
          <w:bCs/>
          <w:szCs w:val="24"/>
        </w:rPr>
        <w:t xml:space="preserve">interfacial polymerization conditions on </w:t>
      </w:r>
      <w:r>
        <w:rPr>
          <w:bCs/>
          <w:szCs w:val="24"/>
        </w:rPr>
        <w:t xml:space="preserve">the </w:t>
      </w:r>
      <w:r w:rsidRPr="0027277D">
        <w:rPr>
          <w:bCs/>
          <w:szCs w:val="24"/>
        </w:rPr>
        <w:t xml:space="preserve">pervaporation performance </w:t>
      </w:r>
      <w:r>
        <w:rPr>
          <w:bCs/>
          <w:szCs w:val="24"/>
        </w:rPr>
        <w:t xml:space="preserve">of the </w:t>
      </w:r>
      <w:r w:rsidRPr="0027277D">
        <w:rPr>
          <w:bCs/>
          <w:szCs w:val="24"/>
        </w:rPr>
        <w:t xml:space="preserve">TEPA-PA TFC membrane </w:t>
      </w:r>
      <w:r>
        <w:rPr>
          <w:bCs/>
          <w:szCs w:val="24"/>
        </w:rPr>
        <w:t>(</w:t>
      </w:r>
      <w:r w:rsidRPr="0027277D">
        <w:rPr>
          <w:bCs/>
          <w:szCs w:val="24"/>
        </w:rPr>
        <w:t xml:space="preserve">including </w:t>
      </w:r>
      <w:r w:rsidRPr="0027277D">
        <w:rPr>
          <w:bCs/>
          <w:color w:val="000000"/>
          <w:szCs w:val="24"/>
        </w:rPr>
        <w:t xml:space="preserve">the </w:t>
      </w:r>
      <w:r w:rsidRPr="0027277D">
        <w:rPr>
          <w:bCs/>
          <w:szCs w:val="24"/>
        </w:rPr>
        <w:t>contact time and concentration</w:t>
      </w:r>
      <w:r>
        <w:rPr>
          <w:bCs/>
          <w:szCs w:val="24"/>
        </w:rPr>
        <w:t>s</w:t>
      </w:r>
      <w:r w:rsidRPr="00884651">
        <w:rPr>
          <w:bCs/>
          <w:szCs w:val="24"/>
        </w:rPr>
        <w:t xml:space="preserve"> </w:t>
      </w:r>
      <w:r>
        <w:rPr>
          <w:bCs/>
          <w:szCs w:val="24"/>
        </w:rPr>
        <w:t xml:space="preserve">of the </w:t>
      </w:r>
      <w:r w:rsidRPr="0027277D">
        <w:rPr>
          <w:bCs/>
          <w:szCs w:val="24"/>
        </w:rPr>
        <w:t>organic/water phase</w:t>
      </w:r>
      <w:r>
        <w:rPr>
          <w:bCs/>
          <w:szCs w:val="24"/>
        </w:rPr>
        <w:t>s)</w:t>
      </w:r>
      <w:r w:rsidRPr="0027277D">
        <w:rPr>
          <w:bCs/>
          <w:szCs w:val="24"/>
        </w:rPr>
        <w:t xml:space="preserve"> were systematically </w:t>
      </w:r>
      <w:r>
        <w:rPr>
          <w:bCs/>
          <w:szCs w:val="24"/>
        </w:rPr>
        <w:t>described</w:t>
      </w:r>
      <w:r w:rsidRPr="0027277D">
        <w:rPr>
          <w:bCs/>
          <w:szCs w:val="24"/>
        </w:rPr>
        <w:t xml:space="preserve">. </w:t>
      </w:r>
      <w:r>
        <w:rPr>
          <w:bCs/>
          <w:szCs w:val="24"/>
        </w:rPr>
        <w:t>The</w:t>
      </w:r>
      <w:r w:rsidRPr="0027277D">
        <w:rPr>
          <w:bCs/>
          <w:szCs w:val="24"/>
        </w:rPr>
        <w:t xml:space="preserve"> pervaporation separation of </w:t>
      </w:r>
      <w:r>
        <w:rPr>
          <w:bCs/>
          <w:szCs w:val="24"/>
        </w:rPr>
        <w:t xml:space="preserve">a </w:t>
      </w:r>
      <w:r w:rsidRPr="0027277D">
        <w:rPr>
          <w:bCs/>
          <w:szCs w:val="24"/>
        </w:rPr>
        <w:t>90 wt% DMAc/H</w:t>
      </w:r>
      <w:r w:rsidRPr="0027277D">
        <w:rPr>
          <w:bCs/>
          <w:szCs w:val="24"/>
          <w:vertAlign w:val="subscript"/>
        </w:rPr>
        <w:t>2</w:t>
      </w:r>
      <w:r w:rsidRPr="0027277D">
        <w:rPr>
          <w:bCs/>
          <w:szCs w:val="24"/>
        </w:rPr>
        <w:t xml:space="preserve">O system </w:t>
      </w:r>
      <w:r>
        <w:rPr>
          <w:bCs/>
          <w:szCs w:val="24"/>
        </w:rPr>
        <w:t>through the</w:t>
      </w:r>
      <w:r w:rsidRPr="0027277D">
        <w:rPr>
          <w:bCs/>
          <w:szCs w:val="24"/>
        </w:rPr>
        <w:t xml:space="preserve"> TEPA-PA TFC membrane at 3</w:t>
      </w:r>
      <w:r>
        <w:rPr>
          <w:bCs/>
          <w:szCs w:val="24"/>
        </w:rPr>
        <w:t>0 °C was</w:t>
      </w:r>
      <w:r w:rsidRPr="00884651">
        <w:rPr>
          <w:bCs/>
          <w:szCs w:val="24"/>
        </w:rPr>
        <w:t xml:space="preserve"> </w:t>
      </w:r>
      <w:r w:rsidRPr="0027277D">
        <w:rPr>
          <w:bCs/>
          <w:szCs w:val="24"/>
        </w:rPr>
        <w:t>investigated.</w:t>
      </w:r>
    </w:p>
    <w:p w14:paraId="2429C45D" w14:textId="2532FB9B" w:rsidR="00FD7627" w:rsidRPr="0027277D" w:rsidRDefault="00FD7627" w:rsidP="00FD7627">
      <w:pPr>
        <w:ind w:firstLine="480"/>
        <w:contextualSpacing/>
        <w:rPr>
          <w:bCs/>
          <w:szCs w:val="24"/>
        </w:rPr>
      </w:pPr>
      <w:r>
        <w:rPr>
          <w:bCs/>
          <w:szCs w:val="24"/>
        </w:rPr>
        <w:t>T</w:t>
      </w:r>
      <w:r w:rsidRPr="0027277D">
        <w:rPr>
          <w:bCs/>
          <w:szCs w:val="24"/>
        </w:rPr>
        <w:t xml:space="preserve">he effect of different organic/water phase contact times on the pervaporation performance of </w:t>
      </w:r>
      <w:r w:rsidRPr="0027277D">
        <w:rPr>
          <w:bCs/>
          <w:color w:val="000000"/>
          <w:szCs w:val="24"/>
        </w:rPr>
        <w:t>the TEPA-PA membranes w</w:t>
      </w:r>
      <w:r>
        <w:rPr>
          <w:bCs/>
          <w:color w:val="000000"/>
          <w:szCs w:val="24"/>
        </w:rPr>
        <w:t>as</w:t>
      </w:r>
      <w:r w:rsidRPr="0027277D">
        <w:rPr>
          <w:bCs/>
          <w:color w:val="000000"/>
          <w:szCs w:val="24"/>
        </w:rPr>
        <w:t xml:space="preserve"> investigated, </w:t>
      </w:r>
      <w:r w:rsidRPr="0027277D">
        <w:rPr>
          <w:bCs/>
          <w:szCs w:val="24"/>
        </w:rPr>
        <w:t xml:space="preserve">as shown in </w:t>
      </w:r>
      <w:r>
        <w:rPr>
          <w:bCs/>
          <w:szCs w:val="24"/>
        </w:rPr>
        <w:t>Fig.</w:t>
      </w:r>
      <w:r w:rsidRPr="0027277D">
        <w:rPr>
          <w:bCs/>
          <w:szCs w:val="24"/>
        </w:rPr>
        <w:t xml:space="preserve"> </w:t>
      </w:r>
      <w:r w:rsidR="003E09D2">
        <w:rPr>
          <w:bCs/>
          <w:szCs w:val="24"/>
        </w:rPr>
        <w:t>S1</w:t>
      </w:r>
      <w:r w:rsidRPr="0027277D">
        <w:rPr>
          <w:bCs/>
          <w:szCs w:val="24"/>
        </w:rPr>
        <w:t xml:space="preserve">a. </w:t>
      </w:r>
      <w:r>
        <w:rPr>
          <w:bCs/>
          <w:szCs w:val="24"/>
        </w:rPr>
        <w:t>In</w:t>
      </w:r>
      <w:r w:rsidRPr="0027277D">
        <w:rPr>
          <w:bCs/>
          <w:szCs w:val="24"/>
        </w:rPr>
        <w:t xml:space="preserve"> this </w:t>
      </w:r>
      <w:r>
        <w:rPr>
          <w:bCs/>
          <w:szCs w:val="24"/>
        </w:rPr>
        <w:t>case</w:t>
      </w:r>
      <w:r w:rsidRPr="0027277D">
        <w:rPr>
          <w:bCs/>
          <w:szCs w:val="24"/>
        </w:rPr>
        <w:t xml:space="preserve">, the TEPA concentration in the water phase and </w:t>
      </w:r>
      <w:r>
        <w:rPr>
          <w:bCs/>
          <w:szCs w:val="24"/>
        </w:rPr>
        <w:t xml:space="preserve">the </w:t>
      </w:r>
      <w:r w:rsidRPr="0027277D">
        <w:rPr>
          <w:bCs/>
          <w:szCs w:val="24"/>
        </w:rPr>
        <w:t xml:space="preserve">TMC concentration in the organic phase were </w:t>
      </w:r>
      <w:r>
        <w:rPr>
          <w:bCs/>
          <w:szCs w:val="24"/>
        </w:rPr>
        <w:t>set</w:t>
      </w:r>
      <w:r w:rsidRPr="0027277D">
        <w:rPr>
          <w:bCs/>
          <w:szCs w:val="24"/>
        </w:rPr>
        <w:t xml:space="preserve"> at 2 wt% and 0.15 wt%, respectively. The organic/water phase contact time ranged from 10 to 120 s. When the contact time was 30 s, the permeate flux and the water content </w:t>
      </w:r>
      <w:r>
        <w:rPr>
          <w:bCs/>
          <w:szCs w:val="24"/>
        </w:rPr>
        <w:t>on</w:t>
      </w:r>
      <w:r w:rsidRPr="0027277D">
        <w:rPr>
          <w:bCs/>
          <w:szCs w:val="24"/>
        </w:rPr>
        <w:t xml:space="preserve"> the permeate side were 0.1 </w:t>
      </w:r>
      <w:r w:rsidRPr="002D41C6">
        <w:rPr>
          <w:bCs/>
          <w:szCs w:val="24"/>
        </w:rPr>
        <w:t>L m</w:t>
      </w:r>
      <w:r w:rsidRPr="002D41C6">
        <w:rPr>
          <w:bCs/>
          <w:szCs w:val="24"/>
          <w:vertAlign w:val="superscript"/>
        </w:rPr>
        <w:t>–2</w:t>
      </w:r>
      <w:r w:rsidRPr="002D41C6">
        <w:rPr>
          <w:bCs/>
          <w:szCs w:val="24"/>
        </w:rPr>
        <w:t>·h</w:t>
      </w:r>
      <w:r w:rsidRPr="002D41C6">
        <w:rPr>
          <w:bCs/>
          <w:szCs w:val="24"/>
          <w:vertAlign w:val="superscript"/>
        </w:rPr>
        <w:t>–1</w:t>
      </w:r>
      <w:r w:rsidRPr="0027277D">
        <w:rPr>
          <w:bCs/>
          <w:szCs w:val="24"/>
        </w:rPr>
        <w:t xml:space="preserve"> and 81.3 wt%, respectivel</w:t>
      </w:r>
      <w:r>
        <w:rPr>
          <w:bCs/>
          <w:szCs w:val="24"/>
        </w:rPr>
        <w:t>y. W</w:t>
      </w:r>
      <w:r w:rsidRPr="0027277D">
        <w:rPr>
          <w:bCs/>
          <w:szCs w:val="24"/>
        </w:rPr>
        <w:t>ith increas</w:t>
      </w:r>
      <w:r>
        <w:rPr>
          <w:bCs/>
          <w:szCs w:val="24"/>
        </w:rPr>
        <w:t>ing</w:t>
      </w:r>
      <w:r w:rsidRPr="0027277D">
        <w:rPr>
          <w:bCs/>
          <w:szCs w:val="24"/>
        </w:rPr>
        <w:t xml:space="preserve"> contact time, the permeate flux </w:t>
      </w:r>
      <w:r>
        <w:rPr>
          <w:bCs/>
          <w:szCs w:val="24"/>
        </w:rPr>
        <w:t>eventually</w:t>
      </w:r>
      <w:r w:rsidRPr="0027277D">
        <w:rPr>
          <w:bCs/>
          <w:szCs w:val="24"/>
        </w:rPr>
        <w:t xml:space="preserve"> decreased, and the water content </w:t>
      </w:r>
      <w:r>
        <w:rPr>
          <w:bCs/>
          <w:szCs w:val="24"/>
        </w:rPr>
        <w:t>on</w:t>
      </w:r>
      <w:r w:rsidRPr="0027277D">
        <w:rPr>
          <w:bCs/>
          <w:szCs w:val="24"/>
        </w:rPr>
        <w:t xml:space="preserve"> the permeate side increased gradually. When the contact time was 90 s, the trend </w:t>
      </w:r>
      <w:r>
        <w:rPr>
          <w:bCs/>
          <w:szCs w:val="24"/>
        </w:rPr>
        <w:t>for</w:t>
      </w:r>
      <w:r w:rsidRPr="0027277D">
        <w:rPr>
          <w:bCs/>
          <w:szCs w:val="24"/>
        </w:rPr>
        <w:t xml:space="preserve"> </w:t>
      </w:r>
      <w:r w:rsidRPr="0027277D">
        <w:rPr>
          <w:bCs/>
          <w:color w:val="000000"/>
          <w:szCs w:val="24"/>
        </w:rPr>
        <w:t xml:space="preserve">permeate flux and water content </w:t>
      </w:r>
      <w:r>
        <w:rPr>
          <w:bCs/>
          <w:color w:val="000000"/>
          <w:szCs w:val="24"/>
        </w:rPr>
        <w:t>on</w:t>
      </w:r>
      <w:r w:rsidRPr="0027277D">
        <w:rPr>
          <w:bCs/>
          <w:color w:val="000000"/>
          <w:szCs w:val="24"/>
        </w:rPr>
        <w:t xml:space="preserve"> the permeate side was stable</w:t>
      </w:r>
      <w:r>
        <w:rPr>
          <w:bCs/>
          <w:color w:val="000000"/>
          <w:szCs w:val="24"/>
        </w:rPr>
        <w:t>. T</w:t>
      </w:r>
      <w:r w:rsidRPr="0027277D">
        <w:rPr>
          <w:bCs/>
          <w:color w:val="000000"/>
          <w:szCs w:val="24"/>
        </w:rPr>
        <w:t xml:space="preserve">he permeate flux </w:t>
      </w:r>
      <w:r>
        <w:rPr>
          <w:bCs/>
          <w:color w:val="000000"/>
          <w:szCs w:val="24"/>
        </w:rPr>
        <w:t>achieved a value of</w:t>
      </w:r>
      <w:r w:rsidRPr="0027277D">
        <w:rPr>
          <w:bCs/>
          <w:color w:val="000000"/>
          <w:szCs w:val="24"/>
        </w:rPr>
        <w:t xml:space="preserve"> 0.073 </w:t>
      </w:r>
      <w:r w:rsidRPr="002D41C6">
        <w:rPr>
          <w:bCs/>
          <w:color w:val="000000"/>
          <w:szCs w:val="24"/>
        </w:rPr>
        <w:t>L m</w:t>
      </w:r>
      <w:r w:rsidRPr="002D41C6">
        <w:rPr>
          <w:bCs/>
          <w:color w:val="000000"/>
          <w:szCs w:val="24"/>
          <w:vertAlign w:val="superscript"/>
        </w:rPr>
        <w:t>–2</w:t>
      </w:r>
      <w:r w:rsidRPr="002D41C6">
        <w:rPr>
          <w:bCs/>
          <w:color w:val="000000"/>
          <w:szCs w:val="24"/>
        </w:rPr>
        <w:t>·h</w:t>
      </w:r>
      <w:r w:rsidRPr="002D41C6">
        <w:rPr>
          <w:bCs/>
          <w:color w:val="000000"/>
          <w:szCs w:val="24"/>
          <w:vertAlign w:val="superscript"/>
        </w:rPr>
        <w:t>–1</w:t>
      </w:r>
      <w:r w:rsidRPr="0027277D">
        <w:rPr>
          <w:bCs/>
          <w:szCs w:val="24"/>
        </w:rPr>
        <w:t xml:space="preserve">, and the water content </w:t>
      </w:r>
      <w:r>
        <w:rPr>
          <w:bCs/>
          <w:szCs w:val="24"/>
        </w:rPr>
        <w:t>o</w:t>
      </w:r>
      <w:r w:rsidRPr="0027277D">
        <w:rPr>
          <w:bCs/>
          <w:szCs w:val="24"/>
        </w:rPr>
        <w:t xml:space="preserve">n the permeate side </w:t>
      </w:r>
      <w:r>
        <w:rPr>
          <w:bCs/>
          <w:szCs w:val="24"/>
        </w:rPr>
        <w:t>was</w:t>
      </w:r>
      <w:r w:rsidRPr="0027277D">
        <w:rPr>
          <w:bCs/>
          <w:szCs w:val="24"/>
        </w:rPr>
        <w:t xml:space="preserve"> 96.3 wt%. This </w:t>
      </w:r>
      <w:r>
        <w:rPr>
          <w:bCs/>
          <w:szCs w:val="24"/>
        </w:rPr>
        <w:t>was</w:t>
      </w:r>
      <w:r w:rsidRPr="0027277D">
        <w:rPr>
          <w:bCs/>
          <w:szCs w:val="24"/>
        </w:rPr>
        <w:t xml:space="preserve"> mainly </w:t>
      </w:r>
      <w:r>
        <w:rPr>
          <w:bCs/>
          <w:szCs w:val="24"/>
        </w:rPr>
        <w:t>due to</w:t>
      </w:r>
      <w:r w:rsidRPr="0027277D">
        <w:rPr>
          <w:bCs/>
          <w:szCs w:val="24"/>
        </w:rPr>
        <w:t xml:space="preserve"> an increase in </w:t>
      </w:r>
      <w:r w:rsidRPr="0027277D">
        <w:rPr>
          <w:bCs/>
          <w:color w:val="000000"/>
          <w:szCs w:val="24"/>
        </w:rPr>
        <w:t>the contact time</w:t>
      </w:r>
      <w:r>
        <w:rPr>
          <w:bCs/>
          <w:color w:val="000000"/>
          <w:szCs w:val="24"/>
        </w:rPr>
        <w:t>, i.e.,</w:t>
      </w:r>
      <w:r w:rsidRPr="0027277D">
        <w:rPr>
          <w:bCs/>
          <w:color w:val="000000"/>
          <w:szCs w:val="24"/>
        </w:rPr>
        <w:t xml:space="preserve"> an increase in the reaction time</w:t>
      </w:r>
      <w:r>
        <w:rPr>
          <w:bCs/>
          <w:szCs w:val="24"/>
        </w:rPr>
        <w:t xml:space="preserve"> that</w:t>
      </w:r>
      <w:r w:rsidRPr="0027277D">
        <w:rPr>
          <w:bCs/>
          <w:szCs w:val="24"/>
        </w:rPr>
        <w:t xml:space="preserve"> allow</w:t>
      </w:r>
      <w:r>
        <w:rPr>
          <w:bCs/>
          <w:szCs w:val="24"/>
        </w:rPr>
        <w:t>ed</w:t>
      </w:r>
      <w:r w:rsidRPr="0027277D">
        <w:rPr>
          <w:bCs/>
          <w:szCs w:val="24"/>
        </w:rPr>
        <w:t xml:space="preserve"> for a denser separation layer.</w:t>
      </w:r>
    </w:p>
    <w:p w14:paraId="715EED83" w14:textId="29BE92F4" w:rsidR="00FD7627" w:rsidRDefault="00FD7627" w:rsidP="00E109EB">
      <w:pPr>
        <w:ind w:firstLineChars="0" w:firstLine="709"/>
        <w:contextualSpacing/>
        <w:rPr>
          <w:bCs/>
          <w:szCs w:val="24"/>
        </w:rPr>
      </w:pPr>
      <w:r w:rsidRPr="0027277D">
        <w:rPr>
          <w:bCs/>
          <w:szCs w:val="24"/>
        </w:rPr>
        <w:t xml:space="preserve">The pervaporation performance of </w:t>
      </w:r>
      <w:r>
        <w:rPr>
          <w:bCs/>
          <w:szCs w:val="24"/>
        </w:rPr>
        <w:t xml:space="preserve">the </w:t>
      </w:r>
      <w:r w:rsidRPr="0027277D">
        <w:rPr>
          <w:bCs/>
          <w:szCs w:val="24"/>
        </w:rPr>
        <w:t>TEPA-PA</w:t>
      </w:r>
      <w:r w:rsidR="00187447">
        <w:rPr>
          <w:bCs/>
          <w:szCs w:val="24"/>
        </w:rPr>
        <w:t xml:space="preserve"> TFC</w:t>
      </w:r>
      <w:r w:rsidRPr="0027277D">
        <w:rPr>
          <w:bCs/>
          <w:szCs w:val="24"/>
        </w:rPr>
        <w:t xml:space="preserve"> membranes synthesized from</w:t>
      </w:r>
      <w:r>
        <w:rPr>
          <w:bCs/>
          <w:szCs w:val="24"/>
        </w:rPr>
        <w:t xml:space="preserve"> </w:t>
      </w:r>
      <w:r w:rsidRPr="0027277D">
        <w:rPr>
          <w:bCs/>
          <w:szCs w:val="24"/>
        </w:rPr>
        <w:t>different aqueous</w:t>
      </w:r>
      <w:r>
        <w:rPr>
          <w:bCs/>
          <w:szCs w:val="24"/>
        </w:rPr>
        <w:t>-</w:t>
      </w:r>
      <w:r w:rsidRPr="0027277D">
        <w:rPr>
          <w:bCs/>
          <w:szCs w:val="24"/>
        </w:rPr>
        <w:t>phase concentrations (</w:t>
      </w:r>
      <w:r>
        <w:rPr>
          <w:bCs/>
          <w:szCs w:val="24"/>
        </w:rPr>
        <w:t xml:space="preserve">from </w:t>
      </w:r>
      <w:r w:rsidRPr="0027277D">
        <w:rPr>
          <w:bCs/>
          <w:szCs w:val="24"/>
        </w:rPr>
        <w:t xml:space="preserve">0.5 </w:t>
      </w:r>
      <w:r>
        <w:rPr>
          <w:bCs/>
          <w:szCs w:val="24"/>
        </w:rPr>
        <w:t>to</w:t>
      </w:r>
      <w:r w:rsidRPr="0027277D">
        <w:rPr>
          <w:bCs/>
          <w:szCs w:val="24"/>
        </w:rPr>
        <w:t>~2.5 wt%) and organic phase concentrations (</w:t>
      </w:r>
      <w:r>
        <w:rPr>
          <w:bCs/>
          <w:szCs w:val="24"/>
        </w:rPr>
        <w:t xml:space="preserve">from </w:t>
      </w:r>
      <w:r w:rsidRPr="0027277D">
        <w:rPr>
          <w:bCs/>
          <w:szCs w:val="24"/>
        </w:rPr>
        <w:t>0.05</w:t>
      </w:r>
      <w:r>
        <w:rPr>
          <w:bCs/>
          <w:szCs w:val="24"/>
        </w:rPr>
        <w:t xml:space="preserve"> to</w:t>
      </w:r>
      <w:r w:rsidRPr="0027277D">
        <w:rPr>
          <w:bCs/>
          <w:szCs w:val="24"/>
        </w:rPr>
        <w:t>~0.2 wt%) was investigated, as shown in Fig</w:t>
      </w:r>
      <w:r>
        <w:rPr>
          <w:bCs/>
          <w:szCs w:val="24"/>
        </w:rPr>
        <w:t>.</w:t>
      </w:r>
      <w:r w:rsidRPr="0027277D">
        <w:rPr>
          <w:bCs/>
          <w:szCs w:val="24"/>
        </w:rPr>
        <w:t xml:space="preserve"> </w:t>
      </w:r>
      <w:r>
        <w:rPr>
          <w:bCs/>
          <w:szCs w:val="24"/>
        </w:rPr>
        <w:t>7</w:t>
      </w:r>
      <w:r w:rsidRPr="0027277D">
        <w:rPr>
          <w:bCs/>
          <w:szCs w:val="24"/>
        </w:rPr>
        <w:t xml:space="preserve">b and c, respectively. When synthesizing these TEPA-PA TFC membranes, </w:t>
      </w:r>
      <w:r>
        <w:rPr>
          <w:bCs/>
          <w:szCs w:val="24"/>
        </w:rPr>
        <w:t xml:space="preserve">the </w:t>
      </w:r>
      <w:r w:rsidRPr="0027277D">
        <w:rPr>
          <w:bCs/>
          <w:szCs w:val="24"/>
        </w:rPr>
        <w:t xml:space="preserve">TMC concentration in the organic phase solutions was </w:t>
      </w:r>
      <w:r>
        <w:rPr>
          <w:bCs/>
          <w:szCs w:val="24"/>
        </w:rPr>
        <w:t>set to</w:t>
      </w:r>
      <w:r w:rsidRPr="0027277D">
        <w:rPr>
          <w:bCs/>
          <w:szCs w:val="24"/>
        </w:rPr>
        <w:t xml:space="preserve"> 0.15 wt%, </w:t>
      </w:r>
      <w:r>
        <w:rPr>
          <w:bCs/>
          <w:szCs w:val="24"/>
        </w:rPr>
        <w:t>while</w:t>
      </w:r>
      <w:r w:rsidRPr="0027277D">
        <w:rPr>
          <w:bCs/>
          <w:szCs w:val="24"/>
        </w:rPr>
        <w:t xml:space="preserve"> the organic/water phase contact time was </w:t>
      </w:r>
      <w:r>
        <w:rPr>
          <w:bCs/>
          <w:szCs w:val="24"/>
        </w:rPr>
        <w:t xml:space="preserve">defined to be </w:t>
      </w:r>
      <w:r w:rsidRPr="0027277D">
        <w:rPr>
          <w:bCs/>
          <w:szCs w:val="24"/>
        </w:rPr>
        <w:t>90</w:t>
      </w:r>
      <w:r>
        <w:rPr>
          <w:bCs/>
          <w:szCs w:val="24"/>
        </w:rPr>
        <w:t xml:space="preserve"> </w:t>
      </w:r>
      <w:r w:rsidRPr="0027277D">
        <w:rPr>
          <w:bCs/>
          <w:szCs w:val="24"/>
        </w:rPr>
        <w:t xml:space="preserve">s. </w:t>
      </w:r>
      <w:bookmarkStart w:id="5" w:name="_Hlk118135107"/>
      <w:r w:rsidRPr="0027277D">
        <w:rPr>
          <w:bCs/>
          <w:szCs w:val="24"/>
        </w:rPr>
        <w:t>When the TEPA concentration was 0.5 wt%, the permeate flux</w:t>
      </w:r>
      <w:r>
        <w:rPr>
          <w:bCs/>
          <w:szCs w:val="24"/>
        </w:rPr>
        <w:t>,</w:t>
      </w:r>
      <w:r w:rsidRPr="0027277D">
        <w:rPr>
          <w:bCs/>
          <w:szCs w:val="24"/>
        </w:rPr>
        <w:t xml:space="preserve"> and the permeate</w:t>
      </w:r>
      <w:r>
        <w:rPr>
          <w:bCs/>
          <w:szCs w:val="24"/>
        </w:rPr>
        <w:t>-</w:t>
      </w:r>
      <w:r w:rsidRPr="0027277D">
        <w:rPr>
          <w:bCs/>
          <w:szCs w:val="24"/>
        </w:rPr>
        <w:t>side water content were 0.098 m</w:t>
      </w:r>
      <w:r w:rsidRPr="0027277D">
        <w:rPr>
          <w:bCs/>
          <w:szCs w:val="24"/>
          <w:vertAlign w:val="superscript"/>
        </w:rPr>
        <w:t>-2</w:t>
      </w:r>
      <w:r w:rsidRPr="0027277D">
        <w:rPr>
          <w:bCs/>
          <w:szCs w:val="24"/>
        </w:rPr>
        <w:t xml:space="preserve"> h</w:t>
      </w:r>
      <w:r w:rsidRPr="0027277D">
        <w:rPr>
          <w:bCs/>
          <w:szCs w:val="24"/>
          <w:vertAlign w:val="superscript"/>
        </w:rPr>
        <w:t xml:space="preserve">-1 </w:t>
      </w:r>
      <w:r w:rsidRPr="0027277D">
        <w:rPr>
          <w:bCs/>
          <w:szCs w:val="24"/>
        </w:rPr>
        <w:t>bar</w:t>
      </w:r>
      <w:r w:rsidRPr="0027277D">
        <w:rPr>
          <w:bCs/>
          <w:szCs w:val="24"/>
          <w:vertAlign w:val="superscript"/>
        </w:rPr>
        <w:t xml:space="preserve">-1 </w:t>
      </w:r>
      <w:r w:rsidRPr="0027277D">
        <w:rPr>
          <w:bCs/>
          <w:szCs w:val="24"/>
        </w:rPr>
        <w:t xml:space="preserve">and 39.6 wt%, respectively. At </w:t>
      </w:r>
      <w:r>
        <w:rPr>
          <w:bCs/>
          <w:szCs w:val="24"/>
        </w:rPr>
        <w:t>smaller</w:t>
      </w:r>
      <w:r w:rsidRPr="0027277D">
        <w:rPr>
          <w:bCs/>
          <w:szCs w:val="24"/>
        </w:rPr>
        <w:t xml:space="preserve"> TEPA concentration</w:t>
      </w:r>
      <w:r w:rsidRPr="0027277D">
        <w:rPr>
          <w:bCs/>
          <w:color w:val="000000"/>
          <w:szCs w:val="24"/>
        </w:rPr>
        <w:t xml:space="preserve">s, </w:t>
      </w:r>
      <w:r w:rsidRPr="0027277D">
        <w:rPr>
          <w:bCs/>
          <w:szCs w:val="24"/>
        </w:rPr>
        <w:t xml:space="preserve">the TEPA-PA TFC membrane </w:t>
      </w:r>
      <w:r>
        <w:rPr>
          <w:bCs/>
          <w:szCs w:val="24"/>
        </w:rPr>
        <w:t>exhibited</w:t>
      </w:r>
      <w:r w:rsidRPr="0027277D">
        <w:rPr>
          <w:bCs/>
          <w:szCs w:val="24"/>
        </w:rPr>
        <w:t xml:space="preserve"> a higher permeate flux and </w:t>
      </w:r>
      <w:r>
        <w:rPr>
          <w:bCs/>
          <w:szCs w:val="24"/>
        </w:rPr>
        <w:t>a smaller</w:t>
      </w:r>
      <w:r w:rsidRPr="0027277D">
        <w:rPr>
          <w:bCs/>
          <w:szCs w:val="24"/>
        </w:rPr>
        <w:t xml:space="preserve"> water content </w:t>
      </w:r>
      <w:r>
        <w:rPr>
          <w:bCs/>
          <w:szCs w:val="24"/>
        </w:rPr>
        <w:t>o</w:t>
      </w:r>
      <w:r w:rsidRPr="0027277D">
        <w:rPr>
          <w:bCs/>
          <w:szCs w:val="24"/>
        </w:rPr>
        <w:t>n the permeate side. With increas</w:t>
      </w:r>
      <w:r>
        <w:rPr>
          <w:bCs/>
          <w:szCs w:val="24"/>
        </w:rPr>
        <w:t xml:space="preserve">ing </w:t>
      </w:r>
      <w:r w:rsidRPr="0027277D">
        <w:rPr>
          <w:bCs/>
          <w:szCs w:val="24"/>
        </w:rPr>
        <w:t>TEPA concentration, the permeate flux decreased</w:t>
      </w:r>
      <w:r>
        <w:rPr>
          <w:bCs/>
          <w:szCs w:val="24"/>
        </w:rPr>
        <w:t>,</w:t>
      </w:r>
      <w:r w:rsidRPr="0027277D">
        <w:rPr>
          <w:bCs/>
          <w:szCs w:val="24"/>
        </w:rPr>
        <w:t xml:space="preserve"> and the water content </w:t>
      </w:r>
      <w:r>
        <w:rPr>
          <w:bCs/>
          <w:szCs w:val="24"/>
        </w:rPr>
        <w:t>o</w:t>
      </w:r>
      <w:r w:rsidRPr="0027277D">
        <w:rPr>
          <w:bCs/>
          <w:szCs w:val="24"/>
        </w:rPr>
        <w:t xml:space="preserve">n the permeate side increased. This </w:t>
      </w:r>
      <w:r>
        <w:rPr>
          <w:bCs/>
          <w:szCs w:val="24"/>
        </w:rPr>
        <w:t>may</w:t>
      </w:r>
      <w:r w:rsidRPr="0027277D">
        <w:rPr>
          <w:bCs/>
          <w:szCs w:val="24"/>
        </w:rPr>
        <w:t xml:space="preserve"> be attributed to the denser PA layer </w:t>
      </w:r>
      <w:r>
        <w:rPr>
          <w:bCs/>
          <w:szCs w:val="24"/>
        </w:rPr>
        <w:t xml:space="preserve">that was </w:t>
      </w:r>
      <w:r w:rsidRPr="0027277D">
        <w:rPr>
          <w:bCs/>
          <w:szCs w:val="24"/>
        </w:rPr>
        <w:t>formed at higher TEPA concentration</w:t>
      </w:r>
      <w:r w:rsidRPr="0027277D">
        <w:rPr>
          <w:bCs/>
          <w:color w:val="000000"/>
          <w:szCs w:val="24"/>
        </w:rPr>
        <w:t>s.</w:t>
      </w:r>
      <w:r w:rsidRPr="0027277D">
        <w:rPr>
          <w:bCs/>
          <w:szCs w:val="24"/>
        </w:rPr>
        <w:t xml:space="preserve"> </w:t>
      </w:r>
      <w:bookmarkEnd w:id="5"/>
      <w:r>
        <w:rPr>
          <w:bCs/>
          <w:szCs w:val="24"/>
        </w:rPr>
        <w:t>T</w:t>
      </w:r>
      <w:r w:rsidRPr="0027277D">
        <w:rPr>
          <w:bCs/>
          <w:szCs w:val="24"/>
        </w:rPr>
        <w:t xml:space="preserve">he TEPA-PA TFC membrane was </w:t>
      </w:r>
      <w:r w:rsidRPr="0027277D">
        <w:rPr>
          <w:bCs/>
          <w:szCs w:val="24"/>
        </w:rPr>
        <w:lastRenderedPageBreak/>
        <w:t xml:space="preserve">derived from 2 wt% TEPA </w:t>
      </w:r>
      <w:r>
        <w:rPr>
          <w:bCs/>
          <w:szCs w:val="24"/>
        </w:rPr>
        <w:t xml:space="preserve">that </w:t>
      </w:r>
      <w:r w:rsidRPr="0027277D">
        <w:rPr>
          <w:bCs/>
          <w:szCs w:val="24"/>
        </w:rPr>
        <w:t>react</w:t>
      </w:r>
      <w:r>
        <w:rPr>
          <w:bCs/>
          <w:szCs w:val="24"/>
        </w:rPr>
        <w:t>ed</w:t>
      </w:r>
      <w:r w:rsidRPr="0027277D">
        <w:rPr>
          <w:bCs/>
          <w:szCs w:val="24"/>
        </w:rPr>
        <w:t xml:space="preserve"> </w:t>
      </w:r>
      <w:r w:rsidRPr="0027277D">
        <w:rPr>
          <w:bCs/>
          <w:color w:val="000000"/>
          <w:szCs w:val="24"/>
        </w:rPr>
        <w:t>for 90</w:t>
      </w:r>
      <w:r>
        <w:rPr>
          <w:bCs/>
          <w:color w:val="000000"/>
          <w:szCs w:val="24"/>
        </w:rPr>
        <w:t xml:space="preserve"> </w:t>
      </w:r>
      <w:r w:rsidRPr="0027277D">
        <w:rPr>
          <w:bCs/>
          <w:color w:val="000000"/>
          <w:szCs w:val="24"/>
        </w:rPr>
        <w:t xml:space="preserve">s with </w:t>
      </w:r>
      <w:r>
        <w:rPr>
          <w:bCs/>
          <w:color w:val="000000"/>
          <w:szCs w:val="24"/>
        </w:rPr>
        <w:t>different</w:t>
      </w:r>
      <w:r w:rsidRPr="0027277D">
        <w:rPr>
          <w:bCs/>
          <w:color w:val="000000"/>
          <w:szCs w:val="24"/>
        </w:rPr>
        <w:t xml:space="preserve"> </w:t>
      </w:r>
      <w:r w:rsidRPr="0027277D">
        <w:rPr>
          <w:bCs/>
          <w:szCs w:val="24"/>
        </w:rPr>
        <w:t>TMC</w:t>
      </w:r>
      <w:r>
        <w:rPr>
          <w:bCs/>
          <w:szCs w:val="24"/>
        </w:rPr>
        <w:t>-</w:t>
      </w:r>
      <w:r w:rsidRPr="0027277D">
        <w:rPr>
          <w:bCs/>
          <w:szCs w:val="24"/>
        </w:rPr>
        <w:t>content</w:t>
      </w:r>
      <w:r>
        <w:rPr>
          <w:bCs/>
          <w:szCs w:val="24"/>
        </w:rPr>
        <w:t xml:space="preserve"> </w:t>
      </w:r>
      <w:r w:rsidRPr="0027277D">
        <w:rPr>
          <w:bCs/>
          <w:szCs w:val="24"/>
        </w:rPr>
        <w:t>organic-phase solution</w:t>
      </w:r>
      <w:r>
        <w:rPr>
          <w:bCs/>
          <w:szCs w:val="24"/>
        </w:rPr>
        <w:t>s (Fig.</w:t>
      </w:r>
      <w:r w:rsidRPr="0027277D">
        <w:rPr>
          <w:bCs/>
          <w:szCs w:val="24"/>
        </w:rPr>
        <w:t xml:space="preserve"> </w:t>
      </w:r>
      <w:r w:rsidR="003E09D2">
        <w:rPr>
          <w:bCs/>
          <w:szCs w:val="24"/>
        </w:rPr>
        <w:t>S1</w:t>
      </w:r>
      <w:r w:rsidRPr="0027277D">
        <w:rPr>
          <w:bCs/>
          <w:szCs w:val="24"/>
        </w:rPr>
        <w:t>c</w:t>
      </w:r>
      <w:r>
        <w:rPr>
          <w:bCs/>
          <w:szCs w:val="24"/>
        </w:rPr>
        <w:t>)</w:t>
      </w:r>
      <w:r w:rsidRPr="0027277D">
        <w:rPr>
          <w:bCs/>
          <w:szCs w:val="24"/>
        </w:rPr>
        <w:t xml:space="preserve">. </w:t>
      </w:r>
      <w:r>
        <w:rPr>
          <w:bCs/>
          <w:szCs w:val="24"/>
        </w:rPr>
        <w:t>For</w:t>
      </w:r>
      <w:r w:rsidRPr="0027277D">
        <w:rPr>
          <w:bCs/>
          <w:szCs w:val="24"/>
        </w:rPr>
        <w:t xml:space="preserve"> </w:t>
      </w:r>
      <w:r>
        <w:rPr>
          <w:bCs/>
          <w:szCs w:val="24"/>
        </w:rPr>
        <w:t>a</w:t>
      </w:r>
      <w:r w:rsidRPr="0027277D">
        <w:rPr>
          <w:bCs/>
          <w:szCs w:val="24"/>
        </w:rPr>
        <w:t xml:space="preserve"> TMC concentration </w:t>
      </w:r>
      <w:r>
        <w:rPr>
          <w:bCs/>
          <w:szCs w:val="24"/>
        </w:rPr>
        <w:t>of</w:t>
      </w:r>
      <w:r w:rsidRPr="0027277D">
        <w:rPr>
          <w:bCs/>
          <w:szCs w:val="24"/>
        </w:rPr>
        <w:t xml:space="preserve"> 0.15 wt%, the trend of the permeate flux and the permeate</w:t>
      </w:r>
      <w:r>
        <w:rPr>
          <w:bCs/>
          <w:szCs w:val="24"/>
        </w:rPr>
        <w:t>-</w:t>
      </w:r>
      <w:r w:rsidRPr="0027277D">
        <w:rPr>
          <w:bCs/>
          <w:szCs w:val="24"/>
        </w:rPr>
        <w:t>side water</w:t>
      </w:r>
      <w:r>
        <w:rPr>
          <w:bCs/>
          <w:szCs w:val="24"/>
        </w:rPr>
        <w:t>-</w:t>
      </w:r>
      <w:r w:rsidRPr="0027277D">
        <w:rPr>
          <w:bCs/>
          <w:szCs w:val="24"/>
        </w:rPr>
        <w:t xml:space="preserve">content </w:t>
      </w:r>
      <w:r>
        <w:rPr>
          <w:bCs/>
          <w:szCs w:val="24"/>
        </w:rPr>
        <w:t xml:space="preserve">values </w:t>
      </w:r>
      <w:r w:rsidRPr="0027277D">
        <w:rPr>
          <w:bCs/>
          <w:szCs w:val="24"/>
        </w:rPr>
        <w:t>stab</w:t>
      </w:r>
      <w:r>
        <w:rPr>
          <w:bCs/>
          <w:szCs w:val="24"/>
        </w:rPr>
        <w:t>ilized</w:t>
      </w:r>
      <w:r w:rsidRPr="0027277D">
        <w:rPr>
          <w:bCs/>
          <w:szCs w:val="24"/>
        </w:rPr>
        <w:t xml:space="preserve"> at 0.066 </w:t>
      </w:r>
      <w:r w:rsidRPr="002D41C6">
        <w:rPr>
          <w:bCs/>
          <w:szCs w:val="24"/>
        </w:rPr>
        <w:t>L m</w:t>
      </w:r>
      <w:r w:rsidRPr="002D41C6">
        <w:rPr>
          <w:bCs/>
          <w:szCs w:val="24"/>
          <w:vertAlign w:val="superscript"/>
        </w:rPr>
        <w:t>–2</w:t>
      </w:r>
      <w:r w:rsidRPr="002D41C6">
        <w:rPr>
          <w:bCs/>
          <w:szCs w:val="24"/>
        </w:rPr>
        <w:t>·h</w:t>
      </w:r>
      <w:r w:rsidRPr="002D41C6">
        <w:rPr>
          <w:bCs/>
          <w:szCs w:val="24"/>
          <w:vertAlign w:val="superscript"/>
        </w:rPr>
        <w:t>–1</w:t>
      </w:r>
      <w:r w:rsidRPr="0027277D">
        <w:rPr>
          <w:bCs/>
          <w:szCs w:val="24"/>
        </w:rPr>
        <w:t xml:space="preserve"> and 96.6 wt%, respectively. As the concentration of TMC increased, the trend in the pervaporation performance was similar to </w:t>
      </w:r>
      <w:r w:rsidRPr="0027277D">
        <w:rPr>
          <w:bCs/>
          <w:color w:val="000000"/>
          <w:szCs w:val="24"/>
        </w:rPr>
        <w:t>that of the TEPA</w:t>
      </w:r>
      <w:r>
        <w:rPr>
          <w:bCs/>
          <w:color w:val="000000"/>
          <w:szCs w:val="24"/>
        </w:rPr>
        <w:t>-</w:t>
      </w:r>
      <w:r w:rsidRPr="0027277D">
        <w:rPr>
          <w:bCs/>
          <w:color w:val="000000"/>
          <w:szCs w:val="24"/>
        </w:rPr>
        <w:t>content effect</w:t>
      </w:r>
      <w:r w:rsidRPr="0027277D">
        <w:rPr>
          <w:bCs/>
          <w:szCs w:val="24"/>
        </w:rPr>
        <w:t xml:space="preserve">. </w:t>
      </w:r>
    </w:p>
    <w:p w14:paraId="4BF80145" w14:textId="49319F57" w:rsidR="00857448" w:rsidRPr="00505318" w:rsidRDefault="001F31FB" w:rsidP="005435A1">
      <w:pPr>
        <w:ind w:firstLineChars="0" w:firstLine="0"/>
        <w:contextualSpacing/>
        <w:jc w:val="left"/>
        <w:rPr>
          <w:bCs/>
          <w:szCs w:val="24"/>
        </w:rPr>
      </w:pPr>
      <w:r>
        <w:object w:dxaOrig="5185" w:dyaOrig="3256" w14:anchorId="4DB6A3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315.85pt" o:ole="">
            <v:imagedata r:id="rId6" o:title=""/>
          </v:shape>
          <o:OLEObject Type="Embed" ProgID="Origin95.Graph" ShapeID="_x0000_i1025" DrawAspect="Content" ObjectID="_1731135614" r:id="rId7"/>
        </w:object>
      </w:r>
    </w:p>
    <w:p w14:paraId="0902B593" w14:textId="7B6E4389" w:rsidR="00CF12CB" w:rsidRPr="00FD7627" w:rsidRDefault="00857448" w:rsidP="007D7428">
      <w:pPr>
        <w:ind w:firstLineChars="0" w:firstLine="0"/>
        <w:jc w:val="center"/>
      </w:pPr>
      <w:r w:rsidRPr="00322855">
        <w:rPr>
          <w:b/>
          <w:bCs/>
          <w:szCs w:val="24"/>
        </w:rPr>
        <w:t xml:space="preserve">Fig. </w:t>
      </w:r>
      <w:r w:rsidR="00DA38B5">
        <w:rPr>
          <w:b/>
          <w:bCs/>
          <w:szCs w:val="24"/>
        </w:rPr>
        <w:t>S</w:t>
      </w:r>
      <w:r>
        <w:rPr>
          <w:rFonts w:hint="eastAsia"/>
          <w:b/>
          <w:bCs/>
          <w:szCs w:val="24"/>
        </w:rPr>
        <w:t>1</w:t>
      </w:r>
      <w:r w:rsidRPr="00322855">
        <w:rPr>
          <w:b/>
          <w:bCs/>
          <w:szCs w:val="24"/>
        </w:rPr>
        <w:t>.</w:t>
      </w:r>
      <w:r w:rsidRPr="0027277D">
        <w:rPr>
          <w:bCs/>
          <w:szCs w:val="24"/>
        </w:rPr>
        <w:t xml:space="preserve"> Effects of different interfacial polymerization conditions (a</w:t>
      </w:r>
      <w:r>
        <w:rPr>
          <w:bCs/>
          <w:szCs w:val="24"/>
        </w:rPr>
        <w:t>–</w:t>
      </w:r>
      <w:r w:rsidRPr="0027277D">
        <w:rPr>
          <w:bCs/>
          <w:szCs w:val="24"/>
        </w:rPr>
        <w:t>c) on</w:t>
      </w:r>
      <w:r>
        <w:rPr>
          <w:bCs/>
          <w:szCs w:val="24"/>
        </w:rPr>
        <w:t xml:space="preserve"> the</w:t>
      </w:r>
      <w:r w:rsidRPr="0027277D">
        <w:rPr>
          <w:bCs/>
          <w:szCs w:val="24"/>
        </w:rPr>
        <w:t xml:space="preserve"> pervaporation performance</w:t>
      </w:r>
      <w:r>
        <w:rPr>
          <w:bCs/>
          <w:szCs w:val="24"/>
        </w:rPr>
        <w:t xml:space="preserve"> of the</w:t>
      </w:r>
      <w:r w:rsidRPr="0027277D">
        <w:rPr>
          <w:bCs/>
          <w:szCs w:val="24"/>
        </w:rPr>
        <w:t xml:space="preserve"> TEPA-PA TFC membrane</w:t>
      </w:r>
      <w:r>
        <w:rPr>
          <w:bCs/>
          <w:szCs w:val="24"/>
        </w:rPr>
        <w:t xml:space="preserve"> due to</w:t>
      </w:r>
      <w:r w:rsidRPr="0027277D">
        <w:rPr>
          <w:bCs/>
          <w:szCs w:val="24"/>
        </w:rPr>
        <w:t>: (a) organic/water phase contact time; (b) TEPA concentration in the aqueous phase; (c) TMC concentration in the organic phase;</w:t>
      </w:r>
    </w:p>
    <w:sectPr w:rsidR="00CF12CB" w:rsidRPr="00FD76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55D568" w14:textId="77777777" w:rsidR="00B7794E" w:rsidRDefault="00B7794E" w:rsidP="00FD7627">
      <w:pPr>
        <w:spacing w:line="240" w:lineRule="auto"/>
        <w:ind w:firstLine="480"/>
      </w:pPr>
      <w:r>
        <w:separator/>
      </w:r>
    </w:p>
  </w:endnote>
  <w:endnote w:type="continuationSeparator" w:id="0">
    <w:p w14:paraId="5A569AF0" w14:textId="77777777" w:rsidR="00B7794E" w:rsidRDefault="00B7794E" w:rsidP="00FD762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60F311" w14:textId="77777777" w:rsidR="00857448" w:rsidRDefault="0085744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ABD75" w14:textId="77777777" w:rsidR="00857448" w:rsidRDefault="0085744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9B169B" w14:textId="77777777" w:rsidR="00857448" w:rsidRDefault="008574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53DF7E" w14:textId="77777777" w:rsidR="00B7794E" w:rsidRDefault="00B7794E" w:rsidP="00FD7627">
      <w:pPr>
        <w:spacing w:line="240" w:lineRule="auto"/>
        <w:ind w:firstLine="480"/>
      </w:pPr>
      <w:r>
        <w:separator/>
      </w:r>
    </w:p>
  </w:footnote>
  <w:footnote w:type="continuationSeparator" w:id="0">
    <w:p w14:paraId="63490EED" w14:textId="77777777" w:rsidR="00B7794E" w:rsidRDefault="00B7794E" w:rsidP="00FD762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C56BF" w14:textId="77777777" w:rsidR="00857448" w:rsidRDefault="0085744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858D7" w14:textId="77777777" w:rsidR="00857448" w:rsidRDefault="0085744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86694E" w14:textId="77777777" w:rsidR="00857448" w:rsidRDefault="008574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EwNzWwNDc2NTczMDBQ0lEKTi0uzszPAykwrAUAzDoJpiwAAAA="/>
  </w:docVars>
  <w:rsids>
    <w:rsidRoot w:val="006E4A60"/>
    <w:rsid w:val="001530E1"/>
    <w:rsid w:val="00187447"/>
    <w:rsid w:val="001F31FB"/>
    <w:rsid w:val="002D7C26"/>
    <w:rsid w:val="003E09D2"/>
    <w:rsid w:val="004759A7"/>
    <w:rsid w:val="004A501D"/>
    <w:rsid w:val="00505318"/>
    <w:rsid w:val="005435A1"/>
    <w:rsid w:val="00625018"/>
    <w:rsid w:val="006E4A60"/>
    <w:rsid w:val="007362EB"/>
    <w:rsid w:val="007D7428"/>
    <w:rsid w:val="00857448"/>
    <w:rsid w:val="00890EE6"/>
    <w:rsid w:val="00907686"/>
    <w:rsid w:val="00A14325"/>
    <w:rsid w:val="00B7217C"/>
    <w:rsid w:val="00B7794E"/>
    <w:rsid w:val="00CF12CB"/>
    <w:rsid w:val="00D05E96"/>
    <w:rsid w:val="00DA38B5"/>
    <w:rsid w:val="00E109EB"/>
    <w:rsid w:val="00FD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39AF8C32"/>
  <w15:chartTrackingRefBased/>
  <w15:docId w15:val="{8B919A89-3F31-4427-92C8-6AC025FF0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627"/>
    <w:pPr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 w:themeColor="text1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762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76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7627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7627"/>
    <w:rPr>
      <w:sz w:val="18"/>
      <w:szCs w:val="18"/>
    </w:rPr>
  </w:style>
  <w:style w:type="paragraph" w:customStyle="1" w:styleId="TitleStyle">
    <w:name w:val="TitleStyle"/>
    <w:basedOn w:val="a"/>
    <w:rsid w:val="004759A7"/>
    <w:pPr>
      <w:overflowPunct w:val="0"/>
      <w:autoSpaceDE w:val="0"/>
      <w:autoSpaceDN w:val="0"/>
      <w:adjustRightInd w:val="0"/>
      <w:spacing w:line="480" w:lineRule="auto"/>
      <w:ind w:firstLineChars="0" w:firstLine="0"/>
      <w:jc w:val="center"/>
      <w:textAlignment w:val="baseline"/>
    </w:pPr>
    <w:rPr>
      <w:rFonts w:eastAsia="Times New Roman"/>
      <w:b/>
      <w:color w:val="auto"/>
      <w:kern w:val="0"/>
      <w:sz w:val="28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1518</TotalTime>
  <Pages>3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ziang wei</dc:creator>
  <cp:keywords/>
  <dc:description/>
  <cp:lastModifiedBy>Wenzhong Ma</cp:lastModifiedBy>
  <cp:revision>17</cp:revision>
  <dcterms:created xsi:type="dcterms:W3CDTF">2022-11-19T01:41:00Z</dcterms:created>
  <dcterms:modified xsi:type="dcterms:W3CDTF">2022-11-28T02:13:00Z</dcterms:modified>
</cp:coreProperties>
</file>