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18451" w14:textId="77777777" w:rsidR="001327F7" w:rsidRDefault="001327F7" w:rsidP="001327F7">
      <w:pPr>
        <w:spacing w:before="120" w:after="120" w:line="360" w:lineRule="auto"/>
        <w:jc w:val="both"/>
        <w:rPr>
          <w:rFonts w:ascii="Arial" w:hAnsi="Arial" w:cs="Arial"/>
          <w:b/>
          <w:bCs/>
          <w:sz w:val="22"/>
          <w:szCs w:val="22"/>
        </w:rPr>
      </w:pPr>
      <w:r>
        <w:rPr>
          <w:rFonts w:ascii="Arial" w:hAnsi="Arial" w:cs="Arial"/>
          <w:b/>
          <w:bCs/>
          <w:sz w:val="22"/>
          <w:szCs w:val="22"/>
        </w:rPr>
        <w:t>Supplementary Tables</w:t>
      </w:r>
    </w:p>
    <w:p w14:paraId="4B9DF29D" w14:textId="77777777" w:rsidR="001327F7" w:rsidRDefault="001327F7" w:rsidP="001327F7">
      <w:pPr>
        <w:spacing w:before="120" w:after="120" w:line="360" w:lineRule="auto"/>
        <w:jc w:val="both"/>
        <w:rPr>
          <w:rFonts w:ascii="Arial" w:hAnsi="Arial" w:cs="Arial"/>
          <w:sz w:val="22"/>
          <w:szCs w:val="22"/>
        </w:rPr>
      </w:pPr>
      <w:r>
        <w:rPr>
          <w:rFonts w:ascii="Arial" w:hAnsi="Arial" w:cs="Arial"/>
          <w:sz w:val="22"/>
          <w:szCs w:val="22"/>
        </w:rPr>
        <w:t>Supplementary Table 1. Detailed methodology used in each centre to characterise the immunophenotype of MSCs</w:t>
      </w:r>
    </w:p>
    <w:tbl>
      <w:tblPr>
        <w:tblStyle w:val="TableGrid"/>
        <w:tblW w:w="0" w:type="auto"/>
        <w:tblInd w:w="0" w:type="dxa"/>
        <w:tblLook w:val="04A0" w:firstRow="1" w:lastRow="0" w:firstColumn="1" w:lastColumn="0" w:noHBand="0" w:noVBand="1"/>
      </w:tblPr>
      <w:tblGrid>
        <w:gridCol w:w="1683"/>
        <w:gridCol w:w="1716"/>
        <w:gridCol w:w="2555"/>
        <w:gridCol w:w="2410"/>
      </w:tblGrid>
      <w:tr w:rsidR="001327F7" w14:paraId="332AF55A" w14:textId="77777777" w:rsidTr="001327F7">
        <w:tc>
          <w:tcPr>
            <w:tcW w:w="1683" w:type="dxa"/>
            <w:tcBorders>
              <w:top w:val="nil"/>
              <w:left w:val="nil"/>
              <w:bottom w:val="single" w:sz="4" w:space="0" w:color="auto"/>
              <w:right w:val="nil"/>
            </w:tcBorders>
          </w:tcPr>
          <w:p w14:paraId="05714D0D" w14:textId="77777777" w:rsidR="001327F7" w:rsidRDefault="001327F7">
            <w:pPr>
              <w:jc w:val="both"/>
              <w:rPr>
                <w:rFonts w:ascii="Arial" w:hAnsi="Arial" w:cs="Arial"/>
                <w:sz w:val="22"/>
                <w:szCs w:val="22"/>
              </w:rPr>
            </w:pPr>
          </w:p>
        </w:tc>
        <w:tc>
          <w:tcPr>
            <w:tcW w:w="1716" w:type="dxa"/>
            <w:tcBorders>
              <w:top w:val="nil"/>
              <w:left w:val="nil"/>
              <w:bottom w:val="single" w:sz="4" w:space="0" w:color="auto"/>
              <w:right w:val="nil"/>
            </w:tcBorders>
            <w:hideMark/>
          </w:tcPr>
          <w:p w14:paraId="66A5A14B" w14:textId="77777777" w:rsidR="001327F7" w:rsidRDefault="001327F7">
            <w:pPr>
              <w:jc w:val="both"/>
              <w:rPr>
                <w:rFonts w:ascii="Arial" w:hAnsi="Arial" w:cs="Arial"/>
                <w:b/>
                <w:bCs/>
                <w:sz w:val="22"/>
                <w:szCs w:val="22"/>
              </w:rPr>
            </w:pPr>
            <w:r>
              <w:rPr>
                <w:rFonts w:ascii="Arial" w:hAnsi="Arial" w:cs="Arial"/>
                <w:b/>
                <w:bCs/>
                <w:sz w:val="22"/>
                <w:szCs w:val="22"/>
              </w:rPr>
              <w:t>GALWAY</w:t>
            </w:r>
          </w:p>
        </w:tc>
        <w:tc>
          <w:tcPr>
            <w:tcW w:w="2555" w:type="dxa"/>
            <w:tcBorders>
              <w:top w:val="nil"/>
              <w:left w:val="nil"/>
              <w:bottom w:val="single" w:sz="4" w:space="0" w:color="auto"/>
              <w:right w:val="nil"/>
            </w:tcBorders>
            <w:hideMark/>
          </w:tcPr>
          <w:p w14:paraId="7B29B593" w14:textId="77777777" w:rsidR="001327F7" w:rsidRDefault="001327F7">
            <w:pPr>
              <w:jc w:val="center"/>
              <w:rPr>
                <w:rFonts w:ascii="Arial" w:hAnsi="Arial" w:cs="Arial"/>
                <w:b/>
                <w:bCs/>
                <w:sz w:val="22"/>
                <w:szCs w:val="22"/>
              </w:rPr>
            </w:pPr>
            <w:r>
              <w:rPr>
                <w:rFonts w:ascii="Arial" w:hAnsi="Arial" w:cs="Arial"/>
                <w:b/>
                <w:bCs/>
                <w:sz w:val="22"/>
                <w:szCs w:val="22"/>
              </w:rPr>
              <w:t>HEIDELBERG</w:t>
            </w:r>
          </w:p>
        </w:tc>
        <w:tc>
          <w:tcPr>
            <w:tcW w:w="2410" w:type="dxa"/>
            <w:tcBorders>
              <w:top w:val="nil"/>
              <w:left w:val="nil"/>
              <w:bottom w:val="single" w:sz="4" w:space="0" w:color="auto"/>
              <w:right w:val="nil"/>
            </w:tcBorders>
            <w:hideMark/>
          </w:tcPr>
          <w:p w14:paraId="0A27C7DC" w14:textId="77777777" w:rsidR="001327F7" w:rsidRDefault="001327F7">
            <w:pPr>
              <w:jc w:val="center"/>
              <w:rPr>
                <w:rFonts w:ascii="Arial" w:hAnsi="Arial" w:cs="Arial"/>
                <w:b/>
                <w:bCs/>
                <w:sz w:val="22"/>
                <w:szCs w:val="22"/>
              </w:rPr>
            </w:pPr>
            <w:r>
              <w:rPr>
                <w:rFonts w:ascii="Arial" w:hAnsi="Arial" w:cs="Arial"/>
                <w:b/>
                <w:bCs/>
                <w:sz w:val="22"/>
                <w:szCs w:val="22"/>
              </w:rPr>
              <w:t>LIVERPOOL</w:t>
            </w:r>
          </w:p>
        </w:tc>
      </w:tr>
      <w:tr w:rsidR="001327F7" w14:paraId="32D150BF" w14:textId="77777777" w:rsidTr="001327F7">
        <w:tc>
          <w:tcPr>
            <w:tcW w:w="1683" w:type="dxa"/>
            <w:tcBorders>
              <w:top w:val="single" w:sz="4" w:space="0" w:color="auto"/>
              <w:left w:val="nil"/>
              <w:bottom w:val="single" w:sz="4" w:space="0" w:color="auto"/>
              <w:right w:val="nil"/>
            </w:tcBorders>
            <w:vAlign w:val="center"/>
            <w:hideMark/>
          </w:tcPr>
          <w:p w14:paraId="12133A8A" w14:textId="77777777" w:rsidR="001327F7" w:rsidRDefault="001327F7">
            <w:pPr>
              <w:jc w:val="right"/>
              <w:rPr>
                <w:rFonts w:ascii="Arial" w:hAnsi="Arial" w:cs="Arial"/>
                <w:b/>
                <w:bCs/>
                <w:sz w:val="22"/>
                <w:szCs w:val="22"/>
              </w:rPr>
            </w:pPr>
            <w:r>
              <w:rPr>
                <w:rFonts w:ascii="Arial" w:hAnsi="Arial" w:cs="Arial"/>
                <w:b/>
                <w:bCs/>
                <w:sz w:val="22"/>
                <w:szCs w:val="22"/>
              </w:rPr>
              <w:t>Instrument</w:t>
            </w:r>
          </w:p>
        </w:tc>
        <w:tc>
          <w:tcPr>
            <w:tcW w:w="1716" w:type="dxa"/>
            <w:tcBorders>
              <w:top w:val="single" w:sz="4" w:space="0" w:color="auto"/>
              <w:left w:val="nil"/>
              <w:bottom w:val="single" w:sz="4" w:space="0" w:color="auto"/>
              <w:right w:val="nil"/>
            </w:tcBorders>
            <w:vAlign w:val="center"/>
            <w:hideMark/>
          </w:tcPr>
          <w:p w14:paraId="06B9867F" w14:textId="77777777" w:rsidR="001327F7" w:rsidRDefault="001327F7">
            <w:pPr>
              <w:rPr>
                <w:rFonts w:ascii="Arial" w:hAnsi="Arial" w:cs="Arial"/>
                <w:sz w:val="22"/>
                <w:szCs w:val="22"/>
              </w:rPr>
            </w:pPr>
            <w:r>
              <w:rPr>
                <w:rFonts w:ascii="Arial" w:hAnsi="Arial" w:cs="Arial"/>
                <w:sz w:val="22"/>
                <w:szCs w:val="22"/>
              </w:rPr>
              <w:t>FACS Canto II (BD Biosciences)</w:t>
            </w:r>
          </w:p>
        </w:tc>
        <w:tc>
          <w:tcPr>
            <w:tcW w:w="2555" w:type="dxa"/>
            <w:tcBorders>
              <w:top w:val="single" w:sz="4" w:space="0" w:color="auto"/>
              <w:left w:val="nil"/>
              <w:bottom w:val="single" w:sz="4" w:space="0" w:color="auto"/>
              <w:right w:val="nil"/>
            </w:tcBorders>
            <w:vAlign w:val="center"/>
            <w:hideMark/>
          </w:tcPr>
          <w:p w14:paraId="166958C2" w14:textId="77777777" w:rsidR="001327F7" w:rsidRDefault="001327F7">
            <w:pPr>
              <w:rPr>
                <w:rFonts w:ascii="Arial" w:hAnsi="Arial" w:cs="Arial"/>
                <w:sz w:val="22"/>
                <w:szCs w:val="22"/>
              </w:rPr>
            </w:pPr>
            <w:r>
              <w:rPr>
                <w:rFonts w:ascii="Arial" w:hAnsi="Arial" w:cs="Arial"/>
                <w:sz w:val="22"/>
                <w:szCs w:val="22"/>
              </w:rPr>
              <w:t>FACS Canto (BD Biosciences)</w:t>
            </w:r>
          </w:p>
        </w:tc>
        <w:tc>
          <w:tcPr>
            <w:tcW w:w="2410" w:type="dxa"/>
            <w:tcBorders>
              <w:top w:val="single" w:sz="4" w:space="0" w:color="auto"/>
              <w:left w:val="nil"/>
              <w:bottom w:val="single" w:sz="4" w:space="0" w:color="auto"/>
              <w:right w:val="nil"/>
            </w:tcBorders>
            <w:vAlign w:val="center"/>
            <w:hideMark/>
          </w:tcPr>
          <w:p w14:paraId="627EBACE" w14:textId="77777777" w:rsidR="001327F7" w:rsidRDefault="001327F7">
            <w:pPr>
              <w:rPr>
                <w:rFonts w:ascii="Arial" w:hAnsi="Arial" w:cs="Arial"/>
                <w:sz w:val="22"/>
                <w:szCs w:val="22"/>
              </w:rPr>
            </w:pPr>
            <w:proofErr w:type="spellStart"/>
            <w:r>
              <w:rPr>
                <w:rFonts w:ascii="Arial" w:hAnsi="Arial" w:cs="Arial"/>
                <w:sz w:val="22"/>
                <w:szCs w:val="22"/>
              </w:rPr>
              <w:t>FACScalibur</w:t>
            </w:r>
            <w:proofErr w:type="spellEnd"/>
            <w:r>
              <w:rPr>
                <w:rFonts w:ascii="Arial" w:hAnsi="Arial" w:cs="Arial"/>
                <w:sz w:val="22"/>
                <w:szCs w:val="22"/>
              </w:rPr>
              <w:t xml:space="preserve"> (BD Biosciences)</w:t>
            </w:r>
          </w:p>
        </w:tc>
      </w:tr>
      <w:tr w:rsidR="001327F7" w14:paraId="32E64E96" w14:textId="77777777" w:rsidTr="001327F7">
        <w:tc>
          <w:tcPr>
            <w:tcW w:w="1683" w:type="dxa"/>
            <w:tcBorders>
              <w:top w:val="single" w:sz="4" w:space="0" w:color="auto"/>
              <w:left w:val="nil"/>
              <w:bottom w:val="single" w:sz="4" w:space="0" w:color="auto"/>
              <w:right w:val="nil"/>
            </w:tcBorders>
            <w:vAlign w:val="center"/>
            <w:hideMark/>
          </w:tcPr>
          <w:p w14:paraId="2313760C" w14:textId="77777777" w:rsidR="001327F7" w:rsidRDefault="001327F7">
            <w:pPr>
              <w:jc w:val="right"/>
              <w:rPr>
                <w:rFonts w:ascii="Arial" w:hAnsi="Arial" w:cs="Arial"/>
                <w:b/>
                <w:bCs/>
                <w:sz w:val="22"/>
                <w:szCs w:val="22"/>
              </w:rPr>
            </w:pPr>
            <w:r>
              <w:rPr>
                <w:rFonts w:ascii="Arial" w:hAnsi="Arial" w:cs="Arial"/>
                <w:b/>
                <w:bCs/>
                <w:sz w:val="22"/>
                <w:szCs w:val="22"/>
              </w:rPr>
              <w:t>FACS Buffer</w:t>
            </w:r>
          </w:p>
        </w:tc>
        <w:tc>
          <w:tcPr>
            <w:tcW w:w="1716" w:type="dxa"/>
            <w:tcBorders>
              <w:top w:val="single" w:sz="4" w:space="0" w:color="auto"/>
              <w:left w:val="nil"/>
              <w:bottom w:val="single" w:sz="4" w:space="0" w:color="auto"/>
              <w:right w:val="nil"/>
            </w:tcBorders>
            <w:vAlign w:val="center"/>
            <w:hideMark/>
          </w:tcPr>
          <w:p w14:paraId="3CA468DA" w14:textId="77777777" w:rsidR="001327F7" w:rsidRDefault="001327F7">
            <w:pPr>
              <w:rPr>
                <w:rFonts w:ascii="Arial" w:hAnsi="Arial" w:cs="Arial"/>
                <w:sz w:val="22"/>
                <w:szCs w:val="22"/>
                <w:lang w:val="de-DE"/>
              </w:rPr>
            </w:pPr>
            <w:r>
              <w:rPr>
                <w:rFonts w:ascii="Arial" w:hAnsi="Arial" w:cs="Arial"/>
                <w:sz w:val="22"/>
                <w:szCs w:val="22"/>
                <w:lang w:val="de-DE"/>
              </w:rPr>
              <w:t>2% FBS in 1X DPBS, sterile filtered</w:t>
            </w:r>
          </w:p>
        </w:tc>
        <w:tc>
          <w:tcPr>
            <w:tcW w:w="2555" w:type="dxa"/>
            <w:tcBorders>
              <w:top w:val="single" w:sz="4" w:space="0" w:color="auto"/>
              <w:left w:val="nil"/>
              <w:bottom w:val="single" w:sz="4" w:space="0" w:color="auto"/>
              <w:right w:val="nil"/>
            </w:tcBorders>
            <w:vAlign w:val="center"/>
            <w:hideMark/>
          </w:tcPr>
          <w:p w14:paraId="0A573968" w14:textId="77777777" w:rsidR="001327F7" w:rsidRDefault="001327F7">
            <w:pPr>
              <w:rPr>
                <w:rFonts w:ascii="Arial" w:hAnsi="Arial" w:cs="Arial"/>
                <w:sz w:val="22"/>
                <w:szCs w:val="22"/>
                <w:lang w:val="de-DE"/>
              </w:rPr>
            </w:pPr>
            <w:r>
              <w:rPr>
                <w:rFonts w:ascii="Arial" w:hAnsi="Arial" w:cs="Arial"/>
                <w:sz w:val="22"/>
                <w:szCs w:val="22"/>
                <w:lang w:val="de-DE"/>
              </w:rPr>
              <w:t>0.4 % bovine serum albumin BSA, 0.02 % sodium azide NaN3 in PBS, pH 7.4</w:t>
            </w:r>
          </w:p>
        </w:tc>
        <w:tc>
          <w:tcPr>
            <w:tcW w:w="2410" w:type="dxa"/>
            <w:tcBorders>
              <w:top w:val="single" w:sz="4" w:space="0" w:color="auto"/>
              <w:left w:val="nil"/>
              <w:bottom w:val="single" w:sz="4" w:space="0" w:color="auto"/>
              <w:right w:val="nil"/>
            </w:tcBorders>
            <w:vAlign w:val="center"/>
          </w:tcPr>
          <w:p w14:paraId="4F4205D3" w14:textId="77777777" w:rsidR="001327F7" w:rsidRDefault="001327F7">
            <w:pPr>
              <w:rPr>
                <w:rFonts w:ascii="Arial" w:hAnsi="Arial" w:cs="Arial"/>
                <w:sz w:val="22"/>
                <w:szCs w:val="22"/>
                <w:lang w:val="de-DE"/>
              </w:rPr>
            </w:pPr>
          </w:p>
        </w:tc>
      </w:tr>
      <w:tr w:rsidR="001327F7" w14:paraId="47544C4A" w14:textId="77777777" w:rsidTr="001327F7">
        <w:tc>
          <w:tcPr>
            <w:tcW w:w="1683" w:type="dxa"/>
            <w:tcBorders>
              <w:top w:val="single" w:sz="4" w:space="0" w:color="auto"/>
              <w:left w:val="nil"/>
              <w:bottom w:val="single" w:sz="4" w:space="0" w:color="auto"/>
              <w:right w:val="nil"/>
            </w:tcBorders>
            <w:vAlign w:val="center"/>
            <w:hideMark/>
          </w:tcPr>
          <w:p w14:paraId="4861AFA7" w14:textId="77777777" w:rsidR="001327F7" w:rsidRDefault="001327F7">
            <w:pPr>
              <w:jc w:val="right"/>
              <w:rPr>
                <w:rFonts w:ascii="Arial" w:hAnsi="Arial" w:cs="Arial"/>
                <w:b/>
                <w:bCs/>
                <w:sz w:val="22"/>
                <w:szCs w:val="22"/>
              </w:rPr>
            </w:pPr>
            <w:r>
              <w:rPr>
                <w:rFonts w:ascii="Arial" w:hAnsi="Arial" w:cs="Arial"/>
                <w:b/>
                <w:bCs/>
                <w:sz w:val="22"/>
                <w:szCs w:val="22"/>
              </w:rPr>
              <w:t>Blocking</w:t>
            </w:r>
          </w:p>
        </w:tc>
        <w:tc>
          <w:tcPr>
            <w:tcW w:w="1716" w:type="dxa"/>
            <w:tcBorders>
              <w:top w:val="single" w:sz="4" w:space="0" w:color="auto"/>
              <w:left w:val="nil"/>
              <w:bottom w:val="single" w:sz="4" w:space="0" w:color="auto"/>
              <w:right w:val="nil"/>
            </w:tcBorders>
            <w:vAlign w:val="center"/>
          </w:tcPr>
          <w:p w14:paraId="669C675E" w14:textId="77777777" w:rsidR="001327F7" w:rsidRDefault="001327F7">
            <w:pPr>
              <w:rPr>
                <w:rFonts w:ascii="Arial" w:hAnsi="Arial" w:cs="Arial"/>
                <w:sz w:val="22"/>
                <w:szCs w:val="22"/>
              </w:rPr>
            </w:pPr>
          </w:p>
        </w:tc>
        <w:tc>
          <w:tcPr>
            <w:tcW w:w="2555" w:type="dxa"/>
            <w:tcBorders>
              <w:top w:val="single" w:sz="4" w:space="0" w:color="auto"/>
              <w:left w:val="nil"/>
              <w:bottom w:val="single" w:sz="4" w:space="0" w:color="auto"/>
              <w:right w:val="nil"/>
            </w:tcBorders>
            <w:vAlign w:val="center"/>
            <w:hideMark/>
          </w:tcPr>
          <w:p w14:paraId="193668DA" w14:textId="77777777" w:rsidR="001327F7" w:rsidRDefault="001327F7">
            <w:pPr>
              <w:rPr>
                <w:rFonts w:ascii="Arial" w:hAnsi="Arial" w:cs="Arial"/>
                <w:sz w:val="22"/>
                <w:szCs w:val="22"/>
              </w:rPr>
            </w:pPr>
            <w:r>
              <w:rPr>
                <w:rFonts w:ascii="Arial" w:hAnsi="Arial" w:cs="Arial"/>
                <w:sz w:val="22"/>
                <w:szCs w:val="22"/>
              </w:rPr>
              <w:t xml:space="preserve">4°C for 5 minutes with </w:t>
            </w:r>
            <w:proofErr w:type="spellStart"/>
            <w:r>
              <w:rPr>
                <w:rFonts w:ascii="Arial" w:hAnsi="Arial" w:cs="Arial"/>
                <w:sz w:val="22"/>
                <w:szCs w:val="22"/>
              </w:rPr>
              <w:t>FcR</w:t>
            </w:r>
            <w:proofErr w:type="spellEnd"/>
            <w:r>
              <w:rPr>
                <w:rFonts w:ascii="Arial" w:hAnsi="Arial" w:cs="Arial"/>
                <w:sz w:val="22"/>
                <w:szCs w:val="22"/>
              </w:rPr>
              <w:t xml:space="preserve"> blocking reagent (</w:t>
            </w:r>
            <w:proofErr w:type="spellStart"/>
            <w:r>
              <w:rPr>
                <w:rFonts w:ascii="Arial" w:hAnsi="Arial" w:cs="Arial"/>
                <w:sz w:val="22"/>
                <w:szCs w:val="22"/>
              </w:rPr>
              <w:t>Miltenyi</w:t>
            </w:r>
            <w:proofErr w:type="spellEnd"/>
            <w:r>
              <w:rPr>
                <w:rFonts w:ascii="Arial" w:hAnsi="Arial" w:cs="Arial"/>
                <w:sz w:val="22"/>
                <w:szCs w:val="22"/>
              </w:rPr>
              <w:t xml:space="preserve"> </w:t>
            </w:r>
            <w:proofErr w:type="spellStart"/>
            <w:r>
              <w:rPr>
                <w:rFonts w:ascii="Arial" w:hAnsi="Arial" w:cs="Arial"/>
                <w:sz w:val="22"/>
                <w:szCs w:val="22"/>
              </w:rPr>
              <w:t>Biotec</w:t>
            </w:r>
            <w:proofErr w:type="spellEnd"/>
            <w:r>
              <w:rPr>
                <w:rFonts w:ascii="Arial" w:hAnsi="Arial" w:cs="Arial"/>
                <w:sz w:val="22"/>
                <w:szCs w:val="22"/>
              </w:rPr>
              <w:t>, 130-059-901)</w:t>
            </w:r>
          </w:p>
        </w:tc>
        <w:tc>
          <w:tcPr>
            <w:tcW w:w="2410" w:type="dxa"/>
            <w:tcBorders>
              <w:top w:val="single" w:sz="4" w:space="0" w:color="auto"/>
              <w:left w:val="nil"/>
              <w:bottom w:val="single" w:sz="4" w:space="0" w:color="auto"/>
              <w:right w:val="nil"/>
            </w:tcBorders>
            <w:vAlign w:val="center"/>
          </w:tcPr>
          <w:p w14:paraId="576135A8" w14:textId="77777777" w:rsidR="001327F7" w:rsidRDefault="001327F7">
            <w:pPr>
              <w:rPr>
                <w:rFonts w:ascii="Arial" w:hAnsi="Arial" w:cs="Arial"/>
                <w:sz w:val="22"/>
                <w:szCs w:val="22"/>
              </w:rPr>
            </w:pPr>
          </w:p>
        </w:tc>
      </w:tr>
      <w:tr w:rsidR="001327F7" w14:paraId="73508DCD" w14:textId="77777777" w:rsidTr="001327F7">
        <w:tc>
          <w:tcPr>
            <w:tcW w:w="1683" w:type="dxa"/>
            <w:tcBorders>
              <w:top w:val="single" w:sz="4" w:space="0" w:color="auto"/>
              <w:left w:val="nil"/>
              <w:bottom w:val="single" w:sz="4" w:space="0" w:color="auto"/>
              <w:right w:val="nil"/>
            </w:tcBorders>
            <w:vAlign w:val="center"/>
            <w:hideMark/>
          </w:tcPr>
          <w:p w14:paraId="07FFA00F" w14:textId="77777777" w:rsidR="001327F7" w:rsidRDefault="001327F7">
            <w:pPr>
              <w:jc w:val="right"/>
              <w:rPr>
                <w:rFonts w:ascii="Arial" w:hAnsi="Arial" w:cs="Arial"/>
                <w:b/>
                <w:bCs/>
                <w:sz w:val="22"/>
                <w:szCs w:val="22"/>
              </w:rPr>
            </w:pPr>
            <w:r>
              <w:rPr>
                <w:rFonts w:ascii="Arial" w:hAnsi="Arial" w:cs="Arial"/>
                <w:b/>
                <w:bCs/>
                <w:sz w:val="22"/>
                <w:szCs w:val="22"/>
              </w:rPr>
              <w:t>Antibodies</w:t>
            </w:r>
          </w:p>
        </w:tc>
        <w:tc>
          <w:tcPr>
            <w:tcW w:w="1716" w:type="dxa"/>
            <w:tcBorders>
              <w:top w:val="single" w:sz="4" w:space="0" w:color="auto"/>
              <w:left w:val="nil"/>
              <w:bottom w:val="single" w:sz="4" w:space="0" w:color="auto"/>
              <w:right w:val="nil"/>
            </w:tcBorders>
            <w:vAlign w:val="center"/>
            <w:hideMark/>
          </w:tcPr>
          <w:p w14:paraId="74AC0583" w14:textId="77777777" w:rsidR="001327F7" w:rsidRDefault="001327F7">
            <w:pPr>
              <w:rPr>
                <w:rFonts w:ascii="Arial" w:hAnsi="Arial" w:cs="Arial"/>
                <w:sz w:val="22"/>
                <w:szCs w:val="22"/>
              </w:rPr>
            </w:pPr>
            <w:r>
              <w:rPr>
                <w:rFonts w:ascii="Arial" w:hAnsi="Arial" w:cs="Arial"/>
                <w:sz w:val="22"/>
                <w:szCs w:val="22"/>
              </w:rPr>
              <w:t xml:space="preserve">BD Biosciences </w:t>
            </w:r>
            <w:proofErr w:type="spellStart"/>
            <w:r>
              <w:rPr>
                <w:rFonts w:ascii="Arial" w:hAnsi="Arial" w:cs="Arial"/>
                <w:sz w:val="22"/>
                <w:szCs w:val="22"/>
              </w:rPr>
              <w:t>StemFlow</w:t>
            </w:r>
            <w:proofErr w:type="spellEnd"/>
            <w:r>
              <w:rPr>
                <w:rFonts w:ascii="Arial" w:hAnsi="Arial" w:cs="Arial"/>
                <w:sz w:val="22"/>
                <w:szCs w:val="22"/>
              </w:rPr>
              <w:t xml:space="preserve"> Human MSC Analysis Kit (BD Biosciences, 562245)</w:t>
            </w:r>
          </w:p>
        </w:tc>
        <w:tc>
          <w:tcPr>
            <w:tcW w:w="2555" w:type="dxa"/>
            <w:tcBorders>
              <w:top w:val="single" w:sz="4" w:space="0" w:color="auto"/>
              <w:left w:val="nil"/>
              <w:bottom w:val="single" w:sz="4" w:space="0" w:color="auto"/>
              <w:right w:val="nil"/>
            </w:tcBorders>
            <w:vAlign w:val="center"/>
            <w:hideMark/>
          </w:tcPr>
          <w:p w14:paraId="065C56EC" w14:textId="77777777" w:rsidR="001327F7" w:rsidRDefault="001327F7">
            <w:pPr>
              <w:rPr>
                <w:rFonts w:ascii="Arial" w:hAnsi="Arial" w:cs="Arial"/>
                <w:sz w:val="22"/>
                <w:szCs w:val="22"/>
              </w:rPr>
            </w:pPr>
            <w:r>
              <w:rPr>
                <w:rFonts w:ascii="Arial" w:hAnsi="Arial" w:cs="Arial"/>
                <w:sz w:val="22"/>
                <w:szCs w:val="22"/>
              </w:rPr>
              <w:t xml:space="preserve">anti-CD44 (APC Cy7, </w:t>
            </w:r>
            <w:proofErr w:type="spellStart"/>
            <w:r>
              <w:rPr>
                <w:rFonts w:ascii="Arial" w:hAnsi="Arial" w:cs="Arial"/>
                <w:sz w:val="22"/>
                <w:szCs w:val="22"/>
              </w:rPr>
              <w:t>Biolegend</w:t>
            </w:r>
            <w:proofErr w:type="spellEnd"/>
            <w:r>
              <w:rPr>
                <w:rFonts w:ascii="Arial" w:hAnsi="Arial" w:cs="Arial"/>
                <w:sz w:val="22"/>
                <w:szCs w:val="22"/>
              </w:rPr>
              <w:t xml:space="preserve">, 103028), anti-CD73 (PE, </w:t>
            </w:r>
            <w:proofErr w:type="spellStart"/>
            <w:r>
              <w:rPr>
                <w:rFonts w:ascii="Arial" w:hAnsi="Arial" w:cs="Arial"/>
                <w:sz w:val="22"/>
                <w:szCs w:val="22"/>
              </w:rPr>
              <w:t>Biolegend</w:t>
            </w:r>
            <w:proofErr w:type="spellEnd"/>
            <w:r>
              <w:rPr>
                <w:rFonts w:ascii="Arial" w:hAnsi="Arial" w:cs="Arial"/>
                <w:sz w:val="22"/>
                <w:szCs w:val="22"/>
              </w:rPr>
              <w:t xml:space="preserve"> 344004), anti-CD90 (APC, BD Biosciences, 559869</w:t>
            </w:r>
            <w:proofErr w:type="gramStart"/>
            <w:r>
              <w:rPr>
                <w:rFonts w:ascii="Arial" w:hAnsi="Arial" w:cs="Arial"/>
                <w:sz w:val="22"/>
                <w:szCs w:val="22"/>
              </w:rPr>
              <w:t>, )</w:t>
            </w:r>
            <w:proofErr w:type="gramEnd"/>
            <w:r>
              <w:rPr>
                <w:rFonts w:ascii="Arial" w:hAnsi="Arial" w:cs="Arial"/>
                <w:sz w:val="22"/>
                <w:szCs w:val="22"/>
              </w:rPr>
              <w:t xml:space="preserve">, anti-CD-105 (PE-Cy7, </w:t>
            </w:r>
            <w:proofErr w:type="spellStart"/>
            <w:r>
              <w:rPr>
                <w:rFonts w:ascii="Arial" w:hAnsi="Arial" w:cs="Arial"/>
                <w:sz w:val="22"/>
                <w:szCs w:val="22"/>
              </w:rPr>
              <w:t>Biolegend</w:t>
            </w:r>
            <w:proofErr w:type="spellEnd"/>
            <w:r>
              <w:rPr>
                <w:rFonts w:ascii="Arial" w:hAnsi="Arial" w:cs="Arial"/>
                <w:sz w:val="22"/>
                <w:szCs w:val="22"/>
              </w:rPr>
              <w:t xml:space="preserve">, 304016, ), anti-CD34 (APC, BD Biosciences 555824), anti-CD45 (PE-Cy7, </w:t>
            </w:r>
            <w:proofErr w:type="spellStart"/>
            <w:r>
              <w:rPr>
                <w:rFonts w:ascii="Arial" w:hAnsi="Arial" w:cs="Arial"/>
                <w:sz w:val="22"/>
                <w:szCs w:val="22"/>
              </w:rPr>
              <w:t>Biolenged</w:t>
            </w:r>
            <w:proofErr w:type="spellEnd"/>
            <w:r>
              <w:rPr>
                <w:rFonts w:ascii="Arial" w:hAnsi="Arial" w:cs="Arial"/>
                <w:sz w:val="22"/>
                <w:szCs w:val="22"/>
              </w:rPr>
              <w:t xml:space="preserve"> 304016), anti-HLA-DR (APC Cy7, </w:t>
            </w:r>
            <w:proofErr w:type="spellStart"/>
            <w:r>
              <w:rPr>
                <w:rFonts w:ascii="Arial" w:hAnsi="Arial" w:cs="Arial"/>
                <w:sz w:val="22"/>
                <w:szCs w:val="22"/>
              </w:rPr>
              <w:t>Biolegend</w:t>
            </w:r>
            <w:proofErr w:type="spellEnd"/>
            <w:r>
              <w:rPr>
                <w:rFonts w:ascii="Arial" w:hAnsi="Arial" w:cs="Arial"/>
                <w:sz w:val="22"/>
                <w:szCs w:val="22"/>
              </w:rPr>
              <w:t>, 307618).</w:t>
            </w:r>
          </w:p>
        </w:tc>
        <w:tc>
          <w:tcPr>
            <w:tcW w:w="2410" w:type="dxa"/>
            <w:tcBorders>
              <w:top w:val="single" w:sz="4" w:space="0" w:color="auto"/>
              <w:left w:val="nil"/>
              <w:bottom w:val="single" w:sz="4" w:space="0" w:color="auto"/>
              <w:right w:val="nil"/>
            </w:tcBorders>
            <w:vAlign w:val="center"/>
            <w:hideMark/>
          </w:tcPr>
          <w:p w14:paraId="1F7F579B" w14:textId="77777777" w:rsidR="001327F7" w:rsidRDefault="001327F7">
            <w:pPr>
              <w:rPr>
                <w:rFonts w:ascii="Arial" w:hAnsi="Arial" w:cs="Arial"/>
                <w:sz w:val="22"/>
                <w:szCs w:val="22"/>
              </w:rPr>
            </w:pPr>
            <w:r>
              <w:rPr>
                <w:rFonts w:ascii="Arial" w:hAnsi="Arial" w:cs="Arial"/>
                <w:sz w:val="22"/>
                <w:szCs w:val="22"/>
              </w:rPr>
              <w:t xml:space="preserve">anti-CD11b (APC, </w:t>
            </w:r>
            <w:proofErr w:type="spellStart"/>
            <w:r>
              <w:rPr>
                <w:rFonts w:ascii="Arial" w:hAnsi="Arial" w:cs="Arial"/>
                <w:sz w:val="22"/>
                <w:szCs w:val="22"/>
              </w:rPr>
              <w:t>Miltenyi</w:t>
            </w:r>
            <w:proofErr w:type="spellEnd"/>
            <w:r>
              <w:rPr>
                <w:rFonts w:ascii="Arial" w:hAnsi="Arial" w:cs="Arial"/>
                <w:sz w:val="22"/>
                <w:szCs w:val="22"/>
              </w:rPr>
              <w:t xml:space="preserve"> </w:t>
            </w:r>
            <w:proofErr w:type="spellStart"/>
            <w:r>
              <w:rPr>
                <w:rFonts w:ascii="Arial" w:hAnsi="Arial" w:cs="Arial"/>
                <w:sz w:val="22"/>
                <w:szCs w:val="22"/>
              </w:rPr>
              <w:t>Biotec</w:t>
            </w:r>
            <w:proofErr w:type="spellEnd"/>
            <w:r>
              <w:rPr>
                <w:rFonts w:ascii="Arial" w:hAnsi="Arial" w:cs="Arial"/>
                <w:sz w:val="22"/>
                <w:szCs w:val="22"/>
              </w:rPr>
              <w:t xml:space="preserve">, 130 113-793), anti-CD19 (APC, </w:t>
            </w:r>
            <w:proofErr w:type="spellStart"/>
            <w:r>
              <w:rPr>
                <w:rFonts w:ascii="Arial" w:hAnsi="Arial" w:cs="Arial"/>
                <w:sz w:val="22"/>
                <w:szCs w:val="22"/>
              </w:rPr>
              <w:t>Miltenyi</w:t>
            </w:r>
            <w:proofErr w:type="spellEnd"/>
            <w:r>
              <w:rPr>
                <w:rFonts w:ascii="Arial" w:hAnsi="Arial" w:cs="Arial"/>
                <w:sz w:val="22"/>
                <w:szCs w:val="22"/>
              </w:rPr>
              <w:t xml:space="preserve"> </w:t>
            </w:r>
            <w:proofErr w:type="spellStart"/>
            <w:r>
              <w:rPr>
                <w:rFonts w:ascii="Arial" w:hAnsi="Arial" w:cs="Arial"/>
                <w:sz w:val="22"/>
                <w:szCs w:val="22"/>
              </w:rPr>
              <w:t>Biotec</w:t>
            </w:r>
            <w:proofErr w:type="spellEnd"/>
            <w:r>
              <w:rPr>
                <w:rFonts w:ascii="Arial" w:hAnsi="Arial" w:cs="Arial"/>
                <w:sz w:val="22"/>
                <w:szCs w:val="22"/>
              </w:rPr>
              <w:t xml:space="preserve">, 130-113-727), anti-CD34 (APC, </w:t>
            </w:r>
            <w:proofErr w:type="spellStart"/>
            <w:r>
              <w:rPr>
                <w:rFonts w:ascii="Arial" w:hAnsi="Arial" w:cs="Arial"/>
                <w:sz w:val="22"/>
                <w:szCs w:val="22"/>
              </w:rPr>
              <w:t>Miltenyi</w:t>
            </w:r>
            <w:proofErr w:type="spellEnd"/>
            <w:r>
              <w:rPr>
                <w:rFonts w:ascii="Arial" w:hAnsi="Arial" w:cs="Arial"/>
                <w:sz w:val="22"/>
                <w:szCs w:val="22"/>
              </w:rPr>
              <w:t xml:space="preserve"> </w:t>
            </w:r>
            <w:proofErr w:type="spellStart"/>
            <w:r>
              <w:rPr>
                <w:rFonts w:ascii="Arial" w:hAnsi="Arial" w:cs="Arial"/>
                <w:sz w:val="22"/>
                <w:szCs w:val="22"/>
              </w:rPr>
              <w:t>Biotec</w:t>
            </w:r>
            <w:proofErr w:type="spellEnd"/>
            <w:r>
              <w:rPr>
                <w:rFonts w:ascii="Arial" w:hAnsi="Arial" w:cs="Arial"/>
                <w:sz w:val="22"/>
                <w:szCs w:val="22"/>
              </w:rPr>
              <w:t xml:space="preserve">, 130-113-738), anti CD44 (APC, </w:t>
            </w:r>
            <w:proofErr w:type="spellStart"/>
            <w:r>
              <w:rPr>
                <w:rFonts w:ascii="Arial" w:hAnsi="Arial" w:cs="Arial"/>
                <w:sz w:val="22"/>
                <w:szCs w:val="22"/>
              </w:rPr>
              <w:t>Miltenyi</w:t>
            </w:r>
            <w:proofErr w:type="spellEnd"/>
            <w:r>
              <w:rPr>
                <w:rFonts w:ascii="Arial" w:hAnsi="Arial" w:cs="Arial"/>
                <w:sz w:val="22"/>
                <w:szCs w:val="22"/>
              </w:rPr>
              <w:t xml:space="preserve"> </w:t>
            </w:r>
            <w:proofErr w:type="spellStart"/>
            <w:r>
              <w:rPr>
                <w:rFonts w:ascii="Arial" w:hAnsi="Arial" w:cs="Arial"/>
                <w:sz w:val="22"/>
                <w:szCs w:val="22"/>
              </w:rPr>
              <w:t>Biotec</w:t>
            </w:r>
            <w:proofErr w:type="spellEnd"/>
            <w:r>
              <w:rPr>
                <w:rFonts w:ascii="Arial" w:hAnsi="Arial" w:cs="Arial"/>
                <w:sz w:val="22"/>
                <w:szCs w:val="22"/>
              </w:rPr>
              <w:t xml:space="preserve">, 130-113-893), anti CD45 (APC, </w:t>
            </w:r>
            <w:proofErr w:type="spellStart"/>
            <w:r>
              <w:rPr>
                <w:rFonts w:ascii="Arial" w:hAnsi="Arial" w:cs="Arial"/>
                <w:sz w:val="22"/>
                <w:szCs w:val="22"/>
              </w:rPr>
              <w:t>Miltenyi</w:t>
            </w:r>
            <w:proofErr w:type="spellEnd"/>
            <w:r>
              <w:rPr>
                <w:rFonts w:ascii="Arial" w:hAnsi="Arial" w:cs="Arial"/>
                <w:sz w:val="22"/>
                <w:szCs w:val="22"/>
              </w:rPr>
              <w:t xml:space="preserve"> </w:t>
            </w:r>
            <w:proofErr w:type="spellStart"/>
            <w:r>
              <w:rPr>
                <w:rFonts w:ascii="Arial" w:hAnsi="Arial" w:cs="Arial"/>
                <w:sz w:val="22"/>
                <w:szCs w:val="22"/>
              </w:rPr>
              <w:t>Biotec</w:t>
            </w:r>
            <w:proofErr w:type="spellEnd"/>
            <w:r>
              <w:rPr>
                <w:rFonts w:ascii="Arial" w:hAnsi="Arial" w:cs="Arial"/>
                <w:sz w:val="22"/>
                <w:szCs w:val="22"/>
              </w:rPr>
              <w:t xml:space="preserve">, 130-113-676), anti CD73 (APC, </w:t>
            </w:r>
            <w:proofErr w:type="spellStart"/>
            <w:r>
              <w:rPr>
                <w:rFonts w:ascii="Arial" w:hAnsi="Arial" w:cs="Arial"/>
                <w:sz w:val="22"/>
                <w:szCs w:val="22"/>
              </w:rPr>
              <w:t>Miltenyi</w:t>
            </w:r>
            <w:proofErr w:type="spellEnd"/>
            <w:r>
              <w:rPr>
                <w:rFonts w:ascii="Arial" w:hAnsi="Arial" w:cs="Arial"/>
                <w:sz w:val="22"/>
                <w:szCs w:val="22"/>
              </w:rPr>
              <w:t xml:space="preserve"> </w:t>
            </w:r>
            <w:proofErr w:type="spellStart"/>
            <w:r>
              <w:rPr>
                <w:rFonts w:ascii="Arial" w:hAnsi="Arial" w:cs="Arial"/>
                <w:sz w:val="22"/>
                <w:szCs w:val="22"/>
              </w:rPr>
              <w:t>Biotec</w:t>
            </w:r>
            <w:proofErr w:type="spellEnd"/>
            <w:r>
              <w:rPr>
                <w:rFonts w:ascii="Arial" w:hAnsi="Arial" w:cs="Arial"/>
                <w:sz w:val="22"/>
                <w:szCs w:val="22"/>
              </w:rPr>
              <w:t xml:space="preserve">, 130-097-945), anti-CD90 (APC, </w:t>
            </w:r>
            <w:proofErr w:type="spellStart"/>
            <w:r>
              <w:rPr>
                <w:rFonts w:ascii="Arial" w:hAnsi="Arial" w:cs="Arial"/>
                <w:sz w:val="22"/>
                <w:szCs w:val="22"/>
              </w:rPr>
              <w:t>Miltenyi</w:t>
            </w:r>
            <w:proofErr w:type="spellEnd"/>
            <w:r>
              <w:rPr>
                <w:rFonts w:ascii="Arial" w:hAnsi="Arial" w:cs="Arial"/>
                <w:sz w:val="22"/>
                <w:szCs w:val="22"/>
              </w:rPr>
              <w:t xml:space="preserve"> </w:t>
            </w:r>
            <w:proofErr w:type="spellStart"/>
            <w:r>
              <w:rPr>
                <w:rFonts w:ascii="Arial" w:hAnsi="Arial" w:cs="Arial"/>
                <w:sz w:val="22"/>
                <w:szCs w:val="22"/>
              </w:rPr>
              <w:t>Biotec</w:t>
            </w:r>
            <w:proofErr w:type="spellEnd"/>
            <w:r>
              <w:rPr>
                <w:rFonts w:ascii="Arial" w:hAnsi="Arial" w:cs="Arial"/>
                <w:sz w:val="22"/>
                <w:szCs w:val="22"/>
              </w:rPr>
              <w:t xml:space="preserve"> 130-117-534), anti CD105 (APC, </w:t>
            </w:r>
            <w:proofErr w:type="spellStart"/>
            <w:r>
              <w:rPr>
                <w:rFonts w:ascii="Arial" w:hAnsi="Arial" w:cs="Arial"/>
                <w:sz w:val="22"/>
                <w:szCs w:val="22"/>
              </w:rPr>
              <w:t>Miltenyi</w:t>
            </w:r>
            <w:proofErr w:type="spellEnd"/>
            <w:r>
              <w:rPr>
                <w:rFonts w:ascii="Arial" w:hAnsi="Arial" w:cs="Arial"/>
                <w:sz w:val="22"/>
                <w:szCs w:val="22"/>
              </w:rPr>
              <w:t xml:space="preserve"> </w:t>
            </w:r>
            <w:proofErr w:type="spellStart"/>
            <w:r>
              <w:rPr>
                <w:rFonts w:ascii="Arial" w:hAnsi="Arial" w:cs="Arial"/>
                <w:sz w:val="22"/>
                <w:szCs w:val="22"/>
              </w:rPr>
              <w:t>Biotec</w:t>
            </w:r>
            <w:proofErr w:type="spellEnd"/>
            <w:r>
              <w:rPr>
                <w:rFonts w:ascii="Arial" w:hAnsi="Arial" w:cs="Arial"/>
                <w:sz w:val="22"/>
                <w:szCs w:val="22"/>
              </w:rPr>
              <w:t xml:space="preserve">, 130-099-125), anti-HLA-DR (APC, </w:t>
            </w:r>
            <w:proofErr w:type="spellStart"/>
            <w:r>
              <w:rPr>
                <w:rFonts w:ascii="Arial" w:hAnsi="Arial" w:cs="Arial"/>
                <w:sz w:val="22"/>
                <w:szCs w:val="22"/>
              </w:rPr>
              <w:t>Miltenyi</w:t>
            </w:r>
            <w:proofErr w:type="spellEnd"/>
            <w:r>
              <w:rPr>
                <w:rFonts w:ascii="Arial" w:hAnsi="Arial" w:cs="Arial"/>
                <w:sz w:val="22"/>
                <w:szCs w:val="22"/>
              </w:rPr>
              <w:t xml:space="preserve"> </w:t>
            </w:r>
            <w:proofErr w:type="spellStart"/>
            <w:r>
              <w:rPr>
                <w:rFonts w:ascii="Arial" w:hAnsi="Arial" w:cs="Arial"/>
                <w:sz w:val="22"/>
                <w:szCs w:val="22"/>
              </w:rPr>
              <w:t>Biotec</w:t>
            </w:r>
            <w:proofErr w:type="spellEnd"/>
            <w:r>
              <w:rPr>
                <w:rFonts w:ascii="Arial" w:hAnsi="Arial" w:cs="Arial"/>
                <w:sz w:val="22"/>
                <w:szCs w:val="22"/>
              </w:rPr>
              <w:t xml:space="preserve">, 130-113-960), IgG1 mouse isotype (APC, </w:t>
            </w:r>
            <w:proofErr w:type="spellStart"/>
            <w:r>
              <w:rPr>
                <w:rFonts w:ascii="Arial" w:hAnsi="Arial" w:cs="Arial"/>
                <w:sz w:val="22"/>
                <w:szCs w:val="22"/>
              </w:rPr>
              <w:t>Miltenyi</w:t>
            </w:r>
            <w:proofErr w:type="spellEnd"/>
            <w:r>
              <w:rPr>
                <w:rFonts w:ascii="Arial" w:hAnsi="Arial" w:cs="Arial"/>
                <w:sz w:val="22"/>
                <w:szCs w:val="22"/>
              </w:rPr>
              <w:t xml:space="preserve"> </w:t>
            </w:r>
            <w:proofErr w:type="spellStart"/>
            <w:r>
              <w:rPr>
                <w:rFonts w:ascii="Arial" w:hAnsi="Arial" w:cs="Arial"/>
                <w:sz w:val="22"/>
                <w:szCs w:val="22"/>
              </w:rPr>
              <w:t>Biotec</w:t>
            </w:r>
            <w:proofErr w:type="spellEnd"/>
            <w:r>
              <w:rPr>
                <w:rFonts w:ascii="Arial" w:hAnsi="Arial" w:cs="Arial"/>
                <w:sz w:val="22"/>
                <w:szCs w:val="22"/>
              </w:rPr>
              <w:t xml:space="preserve">, 130-113-758), or IgG2 mouse isotype (APC, </w:t>
            </w:r>
            <w:proofErr w:type="spellStart"/>
            <w:r>
              <w:rPr>
                <w:rFonts w:ascii="Arial" w:hAnsi="Arial" w:cs="Arial"/>
                <w:sz w:val="22"/>
                <w:szCs w:val="22"/>
              </w:rPr>
              <w:t>Miltenyi</w:t>
            </w:r>
            <w:proofErr w:type="spellEnd"/>
            <w:r>
              <w:rPr>
                <w:rFonts w:ascii="Arial" w:hAnsi="Arial" w:cs="Arial"/>
                <w:sz w:val="22"/>
                <w:szCs w:val="22"/>
              </w:rPr>
              <w:t>, 130-113-831)</w:t>
            </w:r>
          </w:p>
        </w:tc>
      </w:tr>
      <w:tr w:rsidR="001327F7" w14:paraId="29526FEA" w14:textId="77777777" w:rsidTr="001327F7">
        <w:tc>
          <w:tcPr>
            <w:tcW w:w="1683" w:type="dxa"/>
            <w:tcBorders>
              <w:top w:val="single" w:sz="4" w:space="0" w:color="auto"/>
              <w:left w:val="nil"/>
              <w:bottom w:val="single" w:sz="4" w:space="0" w:color="auto"/>
              <w:right w:val="nil"/>
            </w:tcBorders>
            <w:vAlign w:val="center"/>
            <w:hideMark/>
          </w:tcPr>
          <w:p w14:paraId="745CF006" w14:textId="77777777" w:rsidR="001327F7" w:rsidRDefault="001327F7">
            <w:pPr>
              <w:jc w:val="right"/>
              <w:rPr>
                <w:rFonts w:ascii="Arial" w:hAnsi="Arial" w:cs="Arial"/>
                <w:b/>
                <w:bCs/>
                <w:sz w:val="22"/>
                <w:szCs w:val="22"/>
              </w:rPr>
            </w:pPr>
            <w:r>
              <w:rPr>
                <w:rFonts w:ascii="Arial" w:hAnsi="Arial" w:cs="Arial"/>
                <w:b/>
                <w:bCs/>
                <w:sz w:val="22"/>
                <w:szCs w:val="22"/>
              </w:rPr>
              <w:t>Viability dye and concentration</w:t>
            </w:r>
          </w:p>
        </w:tc>
        <w:tc>
          <w:tcPr>
            <w:tcW w:w="1716" w:type="dxa"/>
            <w:tcBorders>
              <w:top w:val="single" w:sz="4" w:space="0" w:color="auto"/>
              <w:left w:val="nil"/>
              <w:bottom w:val="single" w:sz="4" w:space="0" w:color="auto"/>
              <w:right w:val="nil"/>
            </w:tcBorders>
            <w:vAlign w:val="center"/>
            <w:hideMark/>
          </w:tcPr>
          <w:p w14:paraId="2C710E71" w14:textId="77777777" w:rsidR="001327F7" w:rsidRDefault="001327F7">
            <w:pPr>
              <w:rPr>
                <w:rFonts w:ascii="Arial" w:hAnsi="Arial" w:cs="Arial"/>
                <w:sz w:val="22"/>
                <w:szCs w:val="22"/>
              </w:rPr>
            </w:pPr>
            <w:r>
              <w:rPr>
                <w:rFonts w:ascii="Arial" w:hAnsi="Arial" w:cs="Arial"/>
                <w:sz w:val="22"/>
                <w:szCs w:val="22"/>
              </w:rPr>
              <w:t>Draq7</w:t>
            </w:r>
            <w:r>
              <w:rPr>
                <w:rFonts w:ascii="Arial" w:hAnsi="Arial" w:cs="Arial"/>
                <w:sz w:val="22"/>
                <w:szCs w:val="22"/>
                <w:vertAlign w:val="superscript"/>
              </w:rPr>
              <w:t>TM</w:t>
            </w:r>
            <w:r>
              <w:rPr>
                <w:rFonts w:ascii="Arial" w:hAnsi="Arial" w:cs="Arial"/>
                <w:sz w:val="22"/>
                <w:szCs w:val="22"/>
              </w:rPr>
              <w:t xml:space="preserve"> (1:750 in FACS buffer) (</w:t>
            </w:r>
            <w:proofErr w:type="spellStart"/>
            <w:r>
              <w:rPr>
                <w:rFonts w:ascii="Arial" w:hAnsi="Arial" w:cs="Arial"/>
                <w:sz w:val="22"/>
                <w:szCs w:val="22"/>
              </w:rPr>
              <w:t>BioStatus</w:t>
            </w:r>
            <w:proofErr w:type="spellEnd"/>
            <w:r>
              <w:rPr>
                <w:rFonts w:ascii="Arial" w:hAnsi="Arial" w:cs="Arial"/>
                <w:sz w:val="22"/>
                <w:szCs w:val="22"/>
              </w:rPr>
              <w:t xml:space="preserve">, </w:t>
            </w:r>
            <w:r>
              <w:rPr>
                <w:rFonts w:ascii="Arial" w:eastAsia="Arial" w:hAnsi="Arial" w:cs="Arial"/>
                <w:sz w:val="22"/>
                <w:szCs w:val="22"/>
              </w:rPr>
              <w:t>DR70250</w:t>
            </w:r>
            <w:r>
              <w:rPr>
                <w:rFonts w:ascii="Arial" w:hAnsi="Arial" w:cs="Arial"/>
                <w:sz w:val="22"/>
                <w:szCs w:val="22"/>
              </w:rPr>
              <w:t>)</w:t>
            </w:r>
          </w:p>
        </w:tc>
        <w:tc>
          <w:tcPr>
            <w:tcW w:w="2555" w:type="dxa"/>
            <w:tcBorders>
              <w:top w:val="single" w:sz="4" w:space="0" w:color="auto"/>
              <w:left w:val="nil"/>
              <w:bottom w:val="single" w:sz="4" w:space="0" w:color="auto"/>
              <w:right w:val="nil"/>
            </w:tcBorders>
            <w:vAlign w:val="center"/>
            <w:hideMark/>
          </w:tcPr>
          <w:p w14:paraId="0843CD10" w14:textId="77777777" w:rsidR="001327F7" w:rsidRDefault="001327F7">
            <w:pPr>
              <w:rPr>
                <w:rFonts w:ascii="Arial" w:hAnsi="Arial" w:cs="Arial"/>
                <w:sz w:val="22"/>
                <w:szCs w:val="22"/>
              </w:rPr>
            </w:pPr>
            <w:proofErr w:type="spellStart"/>
            <w:r>
              <w:rPr>
                <w:rFonts w:ascii="Arial" w:hAnsi="Arial" w:cs="Arial"/>
                <w:sz w:val="22"/>
                <w:szCs w:val="22"/>
              </w:rPr>
              <w:t>Sytox</w:t>
            </w:r>
            <w:proofErr w:type="spellEnd"/>
            <w:r>
              <w:rPr>
                <w:rFonts w:ascii="Arial" w:hAnsi="Arial" w:cs="Arial"/>
                <w:sz w:val="22"/>
                <w:szCs w:val="22"/>
              </w:rPr>
              <w:t xml:space="preserve"> Blue viability dye (1:2000 in FACS Buffer) (Invitrogen Life Technologies, S34859)</w:t>
            </w:r>
          </w:p>
        </w:tc>
        <w:tc>
          <w:tcPr>
            <w:tcW w:w="2410" w:type="dxa"/>
            <w:tcBorders>
              <w:top w:val="single" w:sz="4" w:space="0" w:color="auto"/>
              <w:left w:val="nil"/>
              <w:bottom w:val="single" w:sz="4" w:space="0" w:color="auto"/>
              <w:right w:val="nil"/>
            </w:tcBorders>
            <w:vAlign w:val="center"/>
          </w:tcPr>
          <w:p w14:paraId="2C1E8148" w14:textId="77777777" w:rsidR="001327F7" w:rsidRDefault="001327F7">
            <w:pPr>
              <w:rPr>
                <w:rFonts w:ascii="Arial" w:hAnsi="Arial" w:cs="Arial"/>
                <w:sz w:val="22"/>
                <w:szCs w:val="22"/>
              </w:rPr>
            </w:pPr>
          </w:p>
        </w:tc>
      </w:tr>
      <w:tr w:rsidR="001327F7" w14:paraId="26B70E7D" w14:textId="77777777" w:rsidTr="001327F7">
        <w:trPr>
          <w:trHeight w:val="77"/>
        </w:trPr>
        <w:tc>
          <w:tcPr>
            <w:tcW w:w="1683" w:type="dxa"/>
            <w:tcBorders>
              <w:top w:val="single" w:sz="4" w:space="0" w:color="auto"/>
              <w:left w:val="nil"/>
              <w:bottom w:val="single" w:sz="4" w:space="0" w:color="auto"/>
              <w:right w:val="nil"/>
            </w:tcBorders>
            <w:vAlign w:val="center"/>
            <w:hideMark/>
          </w:tcPr>
          <w:p w14:paraId="5A9C25CB" w14:textId="77777777" w:rsidR="001327F7" w:rsidRDefault="001327F7">
            <w:pPr>
              <w:jc w:val="right"/>
              <w:rPr>
                <w:rFonts w:ascii="Arial" w:hAnsi="Arial" w:cs="Arial"/>
                <w:b/>
                <w:bCs/>
                <w:sz w:val="22"/>
                <w:szCs w:val="22"/>
              </w:rPr>
            </w:pPr>
            <w:r>
              <w:rPr>
                <w:rFonts w:ascii="Arial" w:hAnsi="Arial" w:cs="Arial"/>
                <w:b/>
                <w:bCs/>
                <w:sz w:val="22"/>
                <w:szCs w:val="22"/>
              </w:rPr>
              <w:lastRenderedPageBreak/>
              <w:t>Events recorded</w:t>
            </w:r>
          </w:p>
        </w:tc>
        <w:tc>
          <w:tcPr>
            <w:tcW w:w="1716" w:type="dxa"/>
            <w:tcBorders>
              <w:top w:val="single" w:sz="4" w:space="0" w:color="auto"/>
              <w:left w:val="nil"/>
              <w:bottom w:val="single" w:sz="4" w:space="0" w:color="auto"/>
              <w:right w:val="nil"/>
            </w:tcBorders>
            <w:vAlign w:val="center"/>
            <w:hideMark/>
          </w:tcPr>
          <w:p w14:paraId="3362C905" w14:textId="77777777" w:rsidR="001327F7" w:rsidRDefault="001327F7">
            <w:pPr>
              <w:rPr>
                <w:rFonts w:ascii="Arial" w:hAnsi="Arial" w:cs="Arial"/>
                <w:sz w:val="22"/>
                <w:szCs w:val="22"/>
              </w:rPr>
            </w:pPr>
            <w:r>
              <w:rPr>
                <w:rFonts w:ascii="Arial" w:hAnsi="Arial" w:cs="Arial"/>
                <w:sz w:val="22"/>
                <w:szCs w:val="22"/>
              </w:rPr>
              <w:t>&gt; 10</w:t>
            </w:r>
            <w:r>
              <w:rPr>
                <w:rFonts w:ascii="Arial" w:hAnsi="Arial" w:cs="Arial"/>
                <w:sz w:val="22"/>
                <w:szCs w:val="22"/>
                <w:vertAlign w:val="superscript"/>
              </w:rPr>
              <w:t>4</w:t>
            </w:r>
          </w:p>
        </w:tc>
        <w:tc>
          <w:tcPr>
            <w:tcW w:w="2555" w:type="dxa"/>
            <w:tcBorders>
              <w:top w:val="single" w:sz="4" w:space="0" w:color="auto"/>
              <w:left w:val="nil"/>
              <w:bottom w:val="single" w:sz="4" w:space="0" w:color="auto"/>
              <w:right w:val="nil"/>
            </w:tcBorders>
            <w:vAlign w:val="center"/>
            <w:hideMark/>
          </w:tcPr>
          <w:p w14:paraId="6FC68A59" w14:textId="77777777" w:rsidR="001327F7" w:rsidRDefault="001327F7">
            <w:pPr>
              <w:rPr>
                <w:rFonts w:ascii="Arial" w:hAnsi="Arial" w:cs="Arial"/>
                <w:sz w:val="22"/>
                <w:szCs w:val="22"/>
              </w:rPr>
            </w:pPr>
            <w:r>
              <w:rPr>
                <w:rFonts w:ascii="Arial" w:hAnsi="Arial" w:cs="Arial"/>
                <w:sz w:val="22"/>
                <w:szCs w:val="22"/>
              </w:rPr>
              <w:t>&gt; 10</w:t>
            </w:r>
            <w:r>
              <w:rPr>
                <w:rFonts w:ascii="Arial" w:hAnsi="Arial" w:cs="Arial"/>
                <w:sz w:val="22"/>
                <w:szCs w:val="22"/>
                <w:vertAlign w:val="superscript"/>
              </w:rPr>
              <w:t>4</w:t>
            </w:r>
          </w:p>
        </w:tc>
        <w:tc>
          <w:tcPr>
            <w:tcW w:w="2410" w:type="dxa"/>
            <w:tcBorders>
              <w:top w:val="single" w:sz="4" w:space="0" w:color="auto"/>
              <w:left w:val="nil"/>
              <w:bottom w:val="single" w:sz="4" w:space="0" w:color="auto"/>
              <w:right w:val="nil"/>
            </w:tcBorders>
            <w:vAlign w:val="center"/>
            <w:hideMark/>
          </w:tcPr>
          <w:p w14:paraId="2EB667C0" w14:textId="77777777" w:rsidR="001327F7" w:rsidRDefault="001327F7">
            <w:pPr>
              <w:rPr>
                <w:rFonts w:ascii="Arial" w:hAnsi="Arial" w:cs="Arial"/>
                <w:sz w:val="22"/>
                <w:szCs w:val="22"/>
              </w:rPr>
            </w:pPr>
            <w:r>
              <w:rPr>
                <w:rFonts w:ascii="Arial" w:hAnsi="Arial" w:cs="Arial"/>
                <w:sz w:val="22"/>
                <w:szCs w:val="22"/>
              </w:rPr>
              <w:t>&gt; 10</w:t>
            </w:r>
            <w:r>
              <w:rPr>
                <w:rFonts w:ascii="Arial" w:hAnsi="Arial" w:cs="Arial"/>
                <w:sz w:val="22"/>
                <w:szCs w:val="22"/>
                <w:vertAlign w:val="superscript"/>
              </w:rPr>
              <w:t>4</w:t>
            </w:r>
          </w:p>
        </w:tc>
      </w:tr>
    </w:tbl>
    <w:p w14:paraId="57B38DCD" w14:textId="77777777" w:rsidR="001327F7" w:rsidRDefault="001327F7" w:rsidP="001327F7">
      <w:pPr>
        <w:rPr>
          <w:rFonts w:ascii="Arial" w:hAnsi="Arial" w:cs="Arial"/>
          <w:b/>
          <w:bCs/>
          <w:sz w:val="22"/>
          <w:szCs w:val="22"/>
        </w:rPr>
      </w:pPr>
    </w:p>
    <w:p w14:paraId="1E53DAC0" w14:textId="77777777" w:rsidR="001327F7" w:rsidRDefault="001327F7" w:rsidP="001327F7">
      <w:pPr>
        <w:rPr>
          <w:rFonts w:ascii="Arial" w:hAnsi="Arial" w:cs="Arial"/>
          <w:b/>
          <w:bCs/>
          <w:sz w:val="22"/>
          <w:szCs w:val="22"/>
        </w:rPr>
      </w:pPr>
    </w:p>
    <w:p w14:paraId="11FBB319" w14:textId="77777777" w:rsidR="001327F7" w:rsidRDefault="001327F7" w:rsidP="001327F7">
      <w:pPr>
        <w:spacing w:before="120" w:after="120" w:line="360" w:lineRule="auto"/>
        <w:jc w:val="both"/>
        <w:rPr>
          <w:rFonts w:ascii="Arial" w:hAnsi="Arial" w:cs="Arial"/>
          <w:b/>
          <w:bCs/>
          <w:sz w:val="22"/>
          <w:szCs w:val="22"/>
        </w:rPr>
      </w:pPr>
      <w:r>
        <w:rPr>
          <w:rFonts w:ascii="Arial" w:hAnsi="Arial" w:cs="Arial"/>
          <w:b/>
          <w:bCs/>
          <w:sz w:val="22"/>
          <w:szCs w:val="22"/>
        </w:rPr>
        <w:t>Supplementary Information</w:t>
      </w:r>
    </w:p>
    <w:p w14:paraId="0012742B" w14:textId="77777777" w:rsidR="001327F7" w:rsidRDefault="001327F7" w:rsidP="001327F7">
      <w:pPr>
        <w:spacing w:before="120" w:after="120" w:line="360" w:lineRule="auto"/>
        <w:jc w:val="both"/>
        <w:rPr>
          <w:rFonts w:ascii="Arial" w:hAnsi="Arial" w:cs="Arial"/>
          <w:b/>
          <w:bCs/>
          <w:sz w:val="22"/>
          <w:szCs w:val="22"/>
        </w:rPr>
      </w:pPr>
      <w:r>
        <w:rPr>
          <w:rFonts w:ascii="Arial" w:hAnsi="Arial" w:cs="Arial"/>
          <w:b/>
          <w:bCs/>
          <w:sz w:val="22"/>
          <w:szCs w:val="22"/>
        </w:rPr>
        <w:t>Materials and Methods</w:t>
      </w:r>
    </w:p>
    <w:p w14:paraId="5EFF3DEE" w14:textId="77777777" w:rsidR="001327F7" w:rsidRDefault="001327F7" w:rsidP="001327F7">
      <w:pPr>
        <w:pStyle w:val="ListParagraph"/>
        <w:numPr>
          <w:ilvl w:val="0"/>
          <w:numId w:val="1"/>
        </w:numPr>
        <w:spacing w:before="120" w:after="120" w:line="360" w:lineRule="auto"/>
        <w:jc w:val="both"/>
        <w:rPr>
          <w:b/>
          <w:bCs/>
          <w:sz w:val="22"/>
          <w:szCs w:val="22"/>
        </w:rPr>
      </w:pPr>
      <w:r>
        <w:rPr>
          <w:b/>
          <w:bCs/>
          <w:sz w:val="22"/>
          <w:szCs w:val="22"/>
        </w:rPr>
        <w:t>Serum Screen</w:t>
      </w:r>
    </w:p>
    <w:p w14:paraId="00F7C907" w14:textId="77777777" w:rsidR="001327F7" w:rsidRDefault="001327F7" w:rsidP="001327F7">
      <w:pPr>
        <w:spacing w:before="120" w:after="120" w:line="360" w:lineRule="auto"/>
        <w:jc w:val="both"/>
        <w:rPr>
          <w:sz w:val="22"/>
          <w:szCs w:val="22"/>
        </w:rPr>
      </w:pPr>
      <w:r>
        <w:rPr>
          <w:sz w:val="22"/>
          <w:szCs w:val="22"/>
        </w:rPr>
        <w:t>Three batches of FBS from different suppliers were tested to source a serum that supported the growth of MSCs from each tissue source in adequate amounts to service the complete project. Three already isolated BM-MSC donors were used, and we measured their proliferation rates, immunophenotype, and trilineage differentiation potential. Proliferation and immunophenotype were performed as described previously in the Materials and Methods section.</w:t>
      </w:r>
    </w:p>
    <w:p w14:paraId="3CE7D26E" w14:textId="77777777" w:rsidR="001327F7" w:rsidRDefault="001327F7" w:rsidP="001327F7">
      <w:pPr>
        <w:spacing w:before="120" w:after="120" w:line="360" w:lineRule="auto"/>
        <w:jc w:val="both"/>
        <w:rPr>
          <w:sz w:val="22"/>
          <w:szCs w:val="22"/>
        </w:rPr>
      </w:pPr>
      <w:r>
        <w:rPr>
          <w:sz w:val="22"/>
          <w:szCs w:val="22"/>
        </w:rPr>
        <w:t xml:space="preserve">For </w:t>
      </w:r>
      <w:proofErr w:type="spellStart"/>
      <w:r>
        <w:rPr>
          <w:sz w:val="22"/>
          <w:szCs w:val="22"/>
        </w:rPr>
        <w:t>adipogenic</w:t>
      </w:r>
      <w:proofErr w:type="spellEnd"/>
      <w:r>
        <w:rPr>
          <w:sz w:val="22"/>
          <w:szCs w:val="22"/>
        </w:rPr>
        <w:t xml:space="preserve"> differentiation, confluent cultures were treated with </w:t>
      </w:r>
      <w:proofErr w:type="spellStart"/>
      <w:r>
        <w:rPr>
          <w:sz w:val="22"/>
          <w:szCs w:val="22"/>
        </w:rPr>
        <w:t>adipogenic</w:t>
      </w:r>
      <w:proofErr w:type="spellEnd"/>
      <w:r>
        <w:rPr>
          <w:sz w:val="22"/>
          <w:szCs w:val="22"/>
        </w:rPr>
        <w:t xml:space="preserve"> induction media, which consisted of high glucose Dulbecco’s modified eagle medium (HG-DMEM, </w:t>
      </w:r>
      <w:proofErr w:type="spellStart"/>
      <w:r>
        <w:rPr>
          <w:sz w:val="22"/>
          <w:szCs w:val="22"/>
        </w:rPr>
        <w:t>SigmaAldrich</w:t>
      </w:r>
      <w:proofErr w:type="spellEnd"/>
      <w:r>
        <w:rPr>
          <w:sz w:val="22"/>
          <w:szCs w:val="22"/>
        </w:rPr>
        <w:t xml:space="preserve">, D5796) supplemented with 10% of each FBS respectively and 1% penicillin-streptomycin (PS, Gibco, 15140-122), 1 µM dexamethasone (Merck, D4902), 10 µg/mL insulin (Sigma, 11376497001), 200 µM indomethacin (Merck, I7378) and 500 µM 3-Isobutyl-1-Methyl-Xanthine (MIX, Merck, I7018)) during 3 days and subsequently with </w:t>
      </w:r>
      <w:proofErr w:type="spellStart"/>
      <w:r>
        <w:rPr>
          <w:sz w:val="22"/>
          <w:szCs w:val="22"/>
        </w:rPr>
        <w:t>adipogenic</w:t>
      </w:r>
      <w:proofErr w:type="spellEnd"/>
      <w:r>
        <w:rPr>
          <w:sz w:val="22"/>
          <w:szCs w:val="22"/>
        </w:rPr>
        <w:t xml:space="preserve"> maintenance media (HG-DMEM, 10% of each FBS, and 1% PS) for 1 day in three repeating cycles. At the completion of the last cycle, cells were incubated in maintenance media for 7 days. Control cells were maintained in regular culture media. Detection of intracellular lipid accumulation was achieved by staining the cultures with 3% Oil Red O (Sigma, O0625) in de-ionised water (6:4) after fixation with 10% neutral buffered formalin (Sigma-Aldrich, HT501128). Harris Modified Haematoxylin (Sigma-Aldrich, HHS-16) was used to counterstain before brightfield imaging at 4X on an Olympus BX43 microscope fitted with an HD Chrome camera (1/.8”) and a 0.5x C-mount adapter. For quantitative analysis, 99% isopropanol (Sigma-Aldrich, I9516) was used to extract the Oil Red O-stained lipids that were then quantified in a multimode plate reader via absorbance at 490 nm (Victor X3, Perkin Elmer). </w:t>
      </w:r>
    </w:p>
    <w:p w14:paraId="2480AB58" w14:textId="77777777" w:rsidR="001327F7" w:rsidRDefault="001327F7" w:rsidP="001327F7">
      <w:pPr>
        <w:spacing w:before="120" w:after="120" w:line="360" w:lineRule="auto"/>
        <w:jc w:val="both"/>
        <w:rPr>
          <w:sz w:val="22"/>
          <w:szCs w:val="22"/>
        </w:rPr>
      </w:pPr>
      <w:r>
        <w:rPr>
          <w:sz w:val="22"/>
          <w:szCs w:val="22"/>
        </w:rPr>
        <w:t>For chondrogenic differentiation, harvested BM-MSCs were transferred to screw capped microcentrifuge tubes at a concentration of 2 x 10</w:t>
      </w:r>
      <w:r>
        <w:rPr>
          <w:sz w:val="22"/>
          <w:szCs w:val="22"/>
          <w:vertAlign w:val="superscript"/>
        </w:rPr>
        <w:t>5</w:t>
      </w:r>
      <w:r>
        <w:rPr>
          <w:sz w:val="22"/>
          <w:szCs w:val="22"/>
        </w:rPr>
        <w:t xml:space="preserve"> cells and centrifuged at 100 g for 5 minutes in a swing out rotor to generate cell pellets. Negative differentiated pellets were cultured with incomplete chondrogenic media (ICM: HG-DMEM supplemented with 100 </w:t>
      </w:r>
      <w:proofErr w:type="spellStart"/>
      <w:r>
        <w:rPr>
          <w:sz w:val="22"/>
          <w:szCs w:val="22"/>
        </w:rPr>
        <w:t>nM</w:t>
      </w:r>
      <w:proofErr w:type="spellEnd"/>
      <w:r>
        <w:rPr>
          <w:sz w:val="22"/>
          <w:szCs w:val="22"/>
        </w:rPr>
        <w:t xml:space="preserve"> dexamethasone, 50 µg/mL ascorbic acid 2-phosphate (Sigma, A8960) 40 µg/mL L-proline (Sigma, P0380), 1X ITS+ media supplement (insulin, transferrin, </w:t>
      </w:r>
      <w:proofErr w:type="spellStart"/>
      <w:r>
        <w:rPr>
          <w:sz w:val="22"/>
          <w:szCs w:val="22"/>
        </w:rPr>
        <w:lastRenderedPageBreak/>
        <w:t>selenous</w:t>
      </w:r>
      <w:proofErr w:type="spellEnd"/>
      <w:r>
        <w:rPr>
          <w:sz w:val="22"/>
          <w:szCs w:val="22"/>
        </w:rPr>
        <w:t xml:space="preserve"> acid, linoleic acid, bovine serum albumin), 1 mM sodium pyruvate,1% PS) while positive differentiated pellets were cultured with complete chondrogenic media (CCM: ICM supplemented with 10 ng/ml transforming growth factor β3 (TGF-β3, R&amp;D Systems, UK). Media changes were performed every other day for 21 days. The level of chondrogenesis was assessed by measuring the sulphated glycosaminoglycans (s-GAG) present in each pellet using the DMMB assay and normalising between cultures by DNA content measured using </w:t>
      </w:r>
      <w:proofErr w:type="spellStart"/>
      <w:r>
        <w:rPr>
          <w:sz w:val="22"/>
          <w:szCs w:val="22"/>
        </w:rPr>
        <w:t>PicoGreen</w:t>
      </w:r>
      <w:r>
        <w:rPr>
          <w:sz w:val="22"/>
          <w:szCs w:val="22"/>
          <w:vertAlign w:val="superscript"/>
        </w:rPr>
        <w:t>TM</w:t>
      </w:r>
      <w:proofErr w:type="spellEnd"/>
      <w:r>
        <w:rPr>
          <w:sz w:val="22"/>
          <w:szCs w:val="22"/>
        </w:rPr>
        <w:t xml:space="preserve"> Quant-</w:t>
      </w:r>
      <w:proofErr w:type="spellStart"/>
      <w:r>
        <w:rPr>
          <w:sz w:val="22"/>
          <w:szCs w:val="22"/>
        </w:rPr>
        <w:t>iT</w:t>
      </w:r>
      <w:proofErr w:type="spellEnd"/>
      <w:r>
        <w:rPr>
          <w:sz w:val="22"/>
          <w:szCs w:val="22"/>
        </w:rPr>
        <w:t xml:space="preserve"> Kit (</w:t>
      </w:r>
      <w:proofErr w:type="spellStart"/>
      <w:r>
        <w:rPr>
          <w:sz w:val="22"/>
          <w:szCs w:val="22"/>
        </w:rPr>
        <w:t>ThermoFisher</w:t>
      </w:r>
      <w:proofErr w:type="spellEnd"/>
      <w:r>
        <w:rPr>
          <w:sz w:val="22"/>
          <w:szCs w:val="22"/>
        </w:rPr>
        <w:t xml:space="preserve"> Scientific, P11496) as per the manufacturer’s instructions.</w:t>
      </w:r>
    </w:p>
    <w:p w14:paraId="773A04B0" w14:textId="77777777" w:rsidR="001327F7" w:rsidRDefault="001327F7" w:rsidP="001327F7">
      <w:pPr>
        <w:spacing w:before="120" w:after="120" w:line="360" w:lineRule="auto"/>
        <w:jc w:val="both"/>
        <w:rPr>
          <w:sz w:val="22"/>
          <w:szCs w:val="22"/>
        </w:rPr>
      </w:pPr>
      <w:r>
        <w:rPr>
          <w:sz w:val="22"/>
          <w:szCs w:val="22"/>
        </w:rPr>
        <w:t xml:space="preserve">For osteogenic differentiation, 80% confluent cultures were treated with osteogenic induction media, which consisted </w:t>
      </w:r>
      <w:proofErr w:type="spellStart"/>
      <w:r>
        <w:rPr>
          <w:sz w:val="22"/>
          <w:szCs w:val="22"/>
        </w:rPr>
        <w:t>oflow</w:t>
      </w:r>
      <w:proofErr w:type="spellEnd"/>
      <w:r>
        <w:rPr>
          <w:sz w:val="22"/>
          <w:szCs w:val="22"/>
        </w:rPr>
        <w:t xml:space="preserve"> glucose Dulbecco’s modified eagle medium (LG-DMEM, </w:t>
      </w:r>
      <w:proofErr w:type="spellStart"/>
      <w:r>
        <w:rPr>
          <w:sz w:val="22"/>
          <w:szCs w:val="22"/>
        </w:rPr>
        <w:t>SigmaAldrich</w:t>
      </w:r>
      <w:proofErr w:type="spellEnd"/>
      <w:r>
        <w:rPr>
          <w:sz w:val="22"/>
          <w:szCs w:val="22"/>
        </w:rPr>
        <w:t xml:space="preserve">, D6046) supplemented with 10% of each FBS, 1% PS, 100 </w:t>
      </w:r>
      <w:proofErr w:type="spellStart"/>
      <w:r>
        <w:rPr>
          <w:sz w:val="22"/>
          <w:szCs w:val="22"/>
        </w:rPr>
        <w:t>nM</w:t>
      </w:r>
      <w:proofErr w:type="spellEnd"/>
      <w:r>
        <w:rPr>
          <w:sz w:val="22"/>
          <w:szCs w:val="22"/>
        </w:rPr>
        <w:t xml:space="preserve"> dexamethasone, 100 µM ascorbic acid 2-phosphate (Sigma, A8960), and 10 mM ß-glycerophosphate (Sigma, G9422). Control cells were maintained in regular culture media. Media changes were performed twice per week for 17 days. At the end of this period, cultures were washed with PBS and treated with 0.5 M HCl (Sigma, 1090581000) to collect the cell layer. The cell suspension was then incubated overnight at 4 °C under agitation, centrifuged to discard cell debris and the calcium present in the supernatant quantified using the </w:t>
      </w:r>
      <w:proofErr w:type="spellStart"/>
      <w:r>
        <w:rPr>
          <w:sz w:val="22"/>
          <w:szCs w:val="22"/>
        </w:rPr>
        <w:t>Stanbio</w:t>
      </w:r>
      <w:proofErr w:type="spellEnd"/>
      <w:r>
        <w:rPr>
          <w:sz w:val="22"/>
          <w:szCs w:val="22"/>
        </w:rPr>
        <w:t xml:space="preserve"> Calcium CPC </w:t>
      </w:r>
      <w:proofErr w:type="spellStart"/>
      <w:r>
        <w:rPr>
          <w:sz w:val="22"/>
          <w:szCs w:val="22"/>
        </w:rPr>
        <w:t>liquicolour</w:t>
      </w:r>
      <w:proofErr w:type="spellEnd"/>
      <w:r>
        <w:rPr>
          <w:sz w:val="22"/>
          <w:szCs w:val="22"/>
        </w:rPr>
        <w:t xml:space="preserve"> kit (</w:t>
      </w:r>
      <w:proofErr w:type="spellStart"/>
      <w:r>
        <w:rPr>
          <w:sz w:val="22"/>
          <w:szCs w:val="22"/>
        </w:rPr>
        <w:t>Stanbio</w:t>
      </w:r>
      <w:proofErr w:type="spellEnd"/>
      <w:r>
        <w:rPr>
          <w:sz w:val="22"/>
          <w:szCs w:val="22"/>
        </w:rPr>
        <w:t xml:space="preserve"> via </w:t>
      </w:r>
      <w:proofErr w:type="spellStart"/>
      <w:r>
        <w:rPr>
          <w:sz w:val="22"/>
          <w:szCs w:val="22"/>
        </w:rPr>
        <w:t>ThermoFisher</w:t>
      </w:r>
      <w:proofErr w:type="spellEnd"/>
      <w:r>
        <w:rPr>
          <w:sz w:val="22"/>
          <w:szCs w:val="22"/>
        </w:rPr>
        <w:t xml:space="preserve">, 0150250) as per the manufacturer’s instructions. Representative brightfield images of the cultures were taken after fixation in 95% ice cold methanol and staining for calcium deposits with 2% Alizarin Red S (Merck, A5533). Images were taken as described for </w:t>
      </w:r>
      <w:proofErr w:type="spellStart"/>
      <w:r>
        <w:rPr>
          <w:sz w:val="22"/>
          <w:szCs w:val="22"/>
        </w:rPr>
        <w:t>adipogenic</w:t>
      </w:r>
      <w:proofErr w:type="spellEnd"/>
      <w:r>
        <w:rPr>
          <w:sz w:val="22"/>
          <w:szCs w:val="22"/>
        </w:rPr>
        <w:t xml:space="preserve"> cultures.</w:t>
      </w:r>
    </w:p>
    <w:p w14:paraId="07D2DD36" w14:textId="77777777" w:rsidR="001327F7" w:rsidRDefault="001327F7" w:rsidP="001327F7">
      <w:pPr>
        <w:spacing w:before="120" w:after="120" w:line="360" w:lineRule="auto"/>
        <w:jc w:val="both"/>
        <w:rPr>
          <w:sz w:val="22"/>
          <w:szCs w:val="22"/>
        </w:rPr>
      </w:pPr>
    </w:p>
    <w:p w14:paraId="3F7D0B1A" w14:textId="77777777" w:rsidR="001327F7" w:rsidRDefault="001327F7" w:rsidP="001327F7">
      <w:pPr>
        <w:spacing w:before="120" w:after="120" w:line="360" w:lineRule="auto"/>
        <w:jc w:val="both"/>
        <w:rPr>
          <w:sz w:val="22"/>
          <w:szCs w:val="22"/>
        </w:rPr>
      </w:pPr>
    </w:p>
    <w:p w14:paraId="3B1FBDE9" w14:textId="77777777" w:rsidR="001327F7" w:rsidRDefault="001327F7" w:rsidP="001327F7">
      <w:pPr>
        <w:spacing w:before="120" w:after="120" w:line="360" w:lineRule="auto"/>
        <w:jc w:val="both"/>
        <w:rPr>
          <w:sz w:val="22"/>
          <w:szCs w:val="22"/>
        </w:rPr>
      </w:pPr>
    </w:p>
    <w:p w14:paraId="4BC568D6" w14:textId="77777777" w:rsidR="001327F7" w:rsidRDefault="001327F7" w:rsidP="001327F7">
      <w:pPr>
        <w:spacing w:before="120" w:after="120" w:line="360" w:lineRule="auto"/>
        <w:jc w:val="both"/>
        <w:rPr>
          <w:sz w:val="22"/>
          <w:szCs w:val="22"/>
        </w:rPr>
      </w:pPr>
    </w:p>
    <w:p w14:paraId="6F53C7BC" w14:textId="77777777" w:rsidR="001327F7" w:rsidRDefault="001327F7" w:rsidP="001327F7">
      <w:pPr>
        <w:spacing w:before="120" w:after="120" w:line="360" w:lineRule="auto"/>
        <w:jc w:val="both"/>
        <w:rPr>
          <w:sz w:val="22"/>
          <w:szCs w:val="22"/>
        </w:rPr>
      </w:pPr>
    </w:p>
    <w:p w14:paraId="7C226A02" w14:textId="77777777" w:rsidR="001327F7" w:rsidRDefault="001327F7" w:rsidP="001327F7">
      <w:pPr>
        <w:spacing w:before="120" w:after="120" w:line="360" w:lineRule="auto"/>
        <w:jc w:val="both"/>
        <w:rPr>
          <w:sz w:val="22"/>
          <w:szCs w:val="22"/>
        </w:rPr>
      </w:pPr>
    </w:p>
    <w:p w14:paraId="4F49D286" w14:textId="77777777" w:rsidR="001327F7" w:rsidRDefault="001327F7" w:rsidP="001327F7">
      <w:pPr>
        <w:spacing w:before="120" w:after="120" w:line="360" w:lineRule="auto"/>
        <w:jc w:val="both"/>
        <w:rPr>
          <w:sz w:val="22"/>
          <w:szCs w:val="22"/>
        </w:rPr>
      </w:pPr>
    </w:p>
    <w:p w14:paraId="5E1E4C00" w14:textId="77777777" w:rsidR="001327F7" w:rsidRDefault="001327F7" w:rsidP="001327F7">
      <w:pPr>
        <w:spacing w:before="120" w:after="120" w:line="360" w:lineRule="auto"/>
        <w:jc w:val="both"/>
        <w:rPr>
          <w:sz w:val="22"/>
          <w:szCs w:val="22"/>
        </w:rPr>
      </w:pPr>
    </w:p>
    <w:p w14:paraId="4B56765D" w14:textId="77777777" w:rsidR="001327F7" w:rsidRDefault="001327F7" w:rsidP="001327F7">
      <w:pPr>
        <w:spacing w:before="120" w:after="120" w:line="360" w:lineRule="auto"/>
        <w:jc w:val="both"/>
        <w:rPr>
          <w:sz w:val="22"/>
          <w:szCs w:val="22"/>
        </w:rPr>
      </w:pPr>
    </w:p>
    <w:p w14:paraId="4F07A9DF" w14:textId="77777777" w:rsidR="001327F7" w:rsidRDefault="001327F7" w:rsidP="001327F7">
      <w:pPr>
        <w:spacing w:before="120" w:after="120" w:line="360" w:lineRule="auto"/>
        <w:jc w:val="both"/>
        <w:rPr>
          <w:sz w:val="22"/>
          <w:szCs w:val="22"/>
        </w:rPr>
      </w:pPr>
    </w:p>
    <w:p w14:paraId="740CB2EA" w14:textId="77777777" w:rsidR="001327F7" w:rsidRDefault="001327F7" w:rsidP="001327F7">
      <w:pPr>
        <w:spacing w:before="120" w:after="120" w:line="360" w:lineRule="auto"/>
        <w:jc w:val="both"/>
        <w:rPr>
          <w:sz w:val="22"/>
          <w:szCs w:val="22"/>
        </w:rPr>
      </w:pPr>
    </w:p>
    <w:p w14:paraId="2638B238" w14:textId="77777777" w:rsidR="001327F7" w:rsidRDefault="001327F7" w:rsidP="001327F7">
      <w:pPr>
        <w:spacing w:before="120" w:after="120" w:line="360" w:lineRule="auto"/>
        <w:jc w:val="both"/>
        <w:rPr>
          <w:sz w:val="22"/>
          <w:szCs w:val="22"/>
        </w:rPr>
      </w:pPr>
    </w:p>
    <w:p w14:paraId="6819E7E2" w14:textId="77777777" w:rsidR="001327F7" w:rsidRDefault="001327F7" w:rsidP="001327F7">
      <w:pPr>
        <w:spacing w:before="120" w:after="120" w:line="360" w:lineRule="auto"/>
        <w:jc w:val="both"/>
        <w:rPr>
          <w:sz w:val="22"/>
          <w:szCs w:val="22"/>
        </w:rPr>
      </w:pPr>
    </w:p>
    <w:p w14:paraId="44E1A543" w14:textId="77777777" w:rsidR="001327F7" w:rsidRDefault="001327F7" w:rsidP="001327F7">
      <w:pPr>
        <w:spacing w:before="120" w:after="120" w:line="360" w:lineRule="auto"/>
        <w:jc w:val="both"/>
        <w:rPr>
          <w:sz w:val="22"/>
          <w:szCs w:val="22"/>
        </w:rPr>
      </w:pPr>
    </w:p>
    <w:p w14:paraId="1F8DE537" w14:textId="77777777" w:rsidR="001327F7" w:rsidRDefault="001327F7" w:rsidP="001327F7">
      <w:pPr>
        <w:spacing w:before="120" w:after="120" w:line="360" w:lineRule="auto"/>
        <w:jc w:val="both"/>
        <w:rPr>
          <w:rFonts w:ascii="Arial" w:hAnsi="Arial" w:cs="Arial"/>
          <w:b/>
          <w:bCs/>
          <w:sz w:val="22"/>
          <w:szCs w:val="22"/>
        </w:rPr>
      </w:pPr>
    </w:p>
    <w:p w14:paraId="3717496A"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C5674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7F7"/>
    <w:rsid w:val="001327F7"/>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2A4E0"/>
  <w15:chartTrackingRefBased/>
  <w15:docId w15:val="{AC2EEB5C-AF08-4411-8FB6-87C73681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F7"/>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7F7"/>
    <w:pPr>
      <w:ind w:left="720"/>
      <w:contextualSpacing/>
    </w:pPr>
  </w:style>
  <w:style w:type="table" w:styleId="TableGrid">
    <w:name w:val="Table Grid"/>
    <w:basedOn w:val="TableNormal"/>
    <w:uiPriority w:val="39"/>
    <w:rsid w:val="001327F7"/>
    <w:pPr>
      <w:spacing w:after="0" w:line="240" w:lineRule="auto"/>
    </w:pPr>
    <w:rPr>
      <w:sz w:val="24"/>
      <w:szCs w:val="24"/>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925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855</Words>
  <Characters>4877</Characters>
  <Application>Microsoft Office Word</Application>
  <DocSecurity>0</DocSecurity>
  <Lines>40</Lines>
  <Paragraphs>11</Paragraphs>
  <ScaleCrop>false</ScaleCrop>
  <Company>Springer Nature</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2023-02-03T07:22:00Z</dcterms:created>
  <dcterms:modified xsi:type="dcterms:W3CDTF">2023-02-03T07:22:00Z</dcterms:modified>
</cp:coreProperties>
</file>