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FCDD4" w14:textId="77777777" w:rsidR="0033457B" w:rsidRPr="0033457B" w:rsidRDefault="0033457B" w:rsidP="0033457B">
      <w:pPr>
        <w:spacing w:line="480" w:lineRule="auto"/>
        <w:jc w:val="center"/>
        <w:rPr>
          <w:b/>
          <w:bCs/>
          <w:kern w:val="0"/>
          <w:sz w:val="36"/>
        </w:rPr>
      </w:pPr>
      <w:r w:rsidRPr="0033457B">
        <w:rPr>
          <w:b/>
          <w:bCs/>
          <w:kern w:val="0"/>
          <w:sz w:val="36"/>
        </w:rPr>
        <w:t>Supplementary</w:t>
      </w:r>
    </w:p>
    <w:p w14:paraId="1B382472" w14:textId="77777777" w:rsidR="0033457B" w:rsidRPr="005C158F" w:rsidRDefault="0033457B" w:rsidP="0033457B">
      <w:pPr>
        <w:autoSpaceDE w:val="0"/>
        <w:autoSpaceDN w:val="0"/>
        <w:adjustRightInd w:val="0"/>
        <w:spacing w:line="480" w:lineRule="auto"/>
        <w:rPr>
          <w:rFonts w:eastAsia="TimesTen-Bold"/>
          <w:b/>
          <w:bCs/>
          <w:kern w:val="0"/>
          <w:sz w:val="28"/>
          <w:szCs w:val="28"/>
        </w:rPr>
      </w:pPr>
      <w:r>
        <w:rPr>
          <w:rFonts w:eastAsia="TimesTen-Bold" w:hint="eastAsia"/>
          <w:b/>
          <w:bCs/>
          <w:kern w:val="0"/>
          <w:sz w:val="28"/>
          <w:szCs w:val="28"/>
        </w:rPr>
        <w:t>Su</w:t>
      </w:r>
      <w:r>
        <w:rPr>
          <w:rFonts w:eastAsia="TimesTen-Bold"/>
          <w:b/>
          <w:bCs/>
          <w:kern w:val="0"/>
          <w:sz w:val="28"/>
          <w:szCs w:val="28"/>
        </w:rPr>
        <w:t xml:space="preserve">pplementary </w:t>
      </w:r>
      <w:r w:rsidRPr="005C158F">
        <w:rPr>
          <w:rFonts w:eastAsia="TimesTen-Bold"/>
          <w:b/>
          <w:bCs/>
          <w:kern w:val="0"/>
          <w:sz w:val="28"/>
          <w:szCs w:val="28"/>
        </w:rPr>
        <w:t>Materials and Methods</w:t>
      </w:r>
    </w:p>
    <w:p w14:paraId="53DAE881"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Clinical samples and animals</w:t>
      </w:r>
    </w:p>
    <w:p w14:paraId="10167475" w14:textId="77777777" w:rsidR="0033457B" w:rsidRPr="00503884" w:rsidRDefault="0033457B" w:rsidP="0033457B">
      <w:pPr>
        <w:pStyle w:val="a7"/>
        <w:spacing w:line="480" w:lineRule="auto"/>
        <w:ind w:firstLine="0"/>
        <w:rPr>
          <w:rFonts w:eastAsia="微软雅黑"/>
        </w:rPr>
      </w:pPr>
      <w:r w:rsidRPr="00503884">
        <w:rPr>
          <w:rFonts w:eastAsia="微软雅黑"/>
        </w:rPr>
        <w:t xml:space="preserve">Paraffin-embedded tumor tissue samples from 263 GBM patients were obtained from the </w:t>
      </w:r>
      <w:r>
        <w:rPr>
          <w:rFonts w:eastAsia="微软雅黑"/>
        </w:rPr>
        <w:t>D</w:t>
      </w:r>
      <w:r w:rsidRPr="00503884">
        <w:rPr>
          <w:rFonts w:eastAsia="微软雅黑"/>
        </w:rPr>
        <w:t xml:space="preserve">epartment of </w:t>
      </w:r>
      <w:r>
        <w:rPr>
          <w:rFonts w:eastAsia="微软雅黑"/>
        </w:rPr>
        <w:t>P</w:t>
      </w:r>
      <w:r w:rsidRPr="00503884">
        <w:rPr>
          <w:rFonts w:eastAsia="微软雅黑"/>
        </w:rPr>
        <w:t xml:space="preserve">athology, </w:t>
      </w:r>
      <w:r>
        <w:rPr>
          <w:rFonts w:eastAsia="微软雅黑"/>
        </w:rPr>
        <w:t>T</w:t>
      </w:r>
      <w:r w:rsidRPr="00503884">
        <w:rPr>
          <w:rFonts w:eastAsia="微软雅黑"/>
        </w:rPr>
        <w:t xml:space="preserve">he First Affiliated Hospital of </w:t>
      </w:r>
      <w:r>
        <w:rPr>
          <w:rFonts w:eastAsia="微软雅黑"/>
        </w:rPr>
        <w:t xml:space="preserve">the </w:t>
      </w:r>
      <w:r w:rsidRPr="00503884">
        <w:rPr>
          <w:rFonts w:eastAsia="微软雅黑"/>
        </w:rPr>
        <w:t xml:space="preserve">University of Science and Technology of China from September 2010 to January 2017. </w:t>
      </w:r>
      <w:r>
        <w:rPr>
          <w:rFonts w:eastAsia="微软雅黑"/>
        </w:rPr>
        <w:t>None of the</w:t>
      </w:r>
      <w:r w:rsidRPr="00503884">
        <w:rPr>
          <w:rFonts w:eastAsia="微软雅黑"/>
        </w:rPr>
        <w:t xml:space="preserve"> patients </w:t>
      </w:r>
      <w:r>
        <w:rPr>
          <w:rFonts w:eastAsia="微软雅黑"/>
        </w:rPr>
        <w:t>had</w:t>
      </w:r>
      <w:r w:rsidRPr="00503884">
        <w:rPr>
          <w:rFonts w:eastAsia="微软雅黑"/>
        </w:rPr>
        <w:t xml:space="preserve"> </w:t>
      </w:r>
      <w:r>
        <w:rPr>
          <w:rFonts w:eastAsia="微软雅黑"/>
        </w:rPr>
        <w:t>received</w:t>
      </w:r>
      <w:r w:rsidRPr="00503884">
        <w:rPr>
          <w:rFonts w:eastAsia="微软雅黑"/>
        </w:rPr>
        <w:t xml:space="preserve"> chemotherapy, radiotherapy</w:t>
      </w:r>
      <w:r>
        <w:rPr>
          <w:rFonts w:eastAsia="微软雅黑"/>
        </w:rPr>
        <w:t>,</w:t>
      </w:r>
      <w:r w:rsidRPr="00503884">
        <w:rPr>
          <w:rFonts w:eastAsia="微软雅黑"/>
        </w:rPr>
        <w:t xml:space="preserve"> </w:t>
      </w:r>
      <w:r>
        <w:rPr>
          <w:rFonts w:eastAsia="微软雅黑"/>
        </w:rPr>
        <w:t>or</w:t>
      </w:r>
      <w:r w:rsidRPr="00503884">
        <w:rPr>
          <w:rFonts w:eastAsia="微软雅黑"/>
        </w:rPr>
        <w:t xml:space="preserve"> any other antitumor therapies. </w:t>
      </w:r>
      <w:r w:rsidRPr="00503884">
        <w:t>GBM samples</w:t>
      </w:r>
      <w:r>
        <w:t xml:space="preserve"> were selected</w:t>
      </w:r>
      <w:r w:rsidRPr="00503884">
        <w:t xml:space="preserve"> according to</w:t>
      </w:r>
      <w:r>
        <w:t xml:space="preserve"> the</w:t>
      </w:r>
      <w:r w:rsidRPr="00503884">
        <w:t xml:space="preserve"> central nervous system glioma classification standards of </w:t>
      </w:r>
      <w:r>
        <w:t xml:space="preserve">the </w:t>
      </w:r>
      <w:r w:rsidRPr="00503884">
        <w:t>WHO (2016). The diagnosis was performed by two pathologists who were blind</w:t>
      </w:r>
      <w:r>
        <w:t>ed</w:t>
      </w:r>
      <w:r w:rsidRPr="00503884">
        <w:t xml:space="preserve"> to this study. Tissues with abundant tumor cells and no hemorrhagic necrosis we</w:t>
      </w:r>
      <w:bookmarkStart w:id="0" w:name="_GoBack"/>
      <w:bookmarkEnd w:id="0"/>
      <w:r w:rsidRPr="00503884">
        <w:t>re selected for microarray</w:t>
      </w:r>
      <w:r>
        <w:t xml:space="preserve"> analysis</w:t>
      </w:r>
      <w:r w:rsidRPr="00503884">
        <w:t xml:space="preserve">. Adjacent normal tissues from the tumor tissue of the same patient were set as </w:t>
      </w:r>
      <w:r>
        <w:t xml:space="preserve">the </w:t>
      </w:r>
      <w:r w:rsidRPr="00503884">
        <w:t xml:space="preserve">negative control. </w:t>
      </w:r>
      <w:r>
        <w:t>The f</w:t>
      </w:r>
      <w:r w:rsidRPr="00503884">
        <w:t xml:space="preserve">ollow-up study ended on November 30, 2017. </w:t>
      </w:r>
      <w:r w:rsidRPr="00503884">
        <w:rPr>
          <w:rFonts w:eastAsia="微软雅黑"/>
        </w:rPr>
        <w:t>All procedure</w:t>
      </w:r>
      <w:r>
        <w:rPr>
          <w:rFonts w:eastAsia="微软雅黑"/>
        </w:rPr>
        <w:t>s</w:t>
      </w:r>
      <w:r w:rsidRPr="00503884">
        <w:rPr>
          <w:rFonts w:eastAsia="微软雅黑"/>
        </w:rPr>
        <w:t xml:space="preserve"> w</w:t>
      </w:r>
      <w:r>
        <w:rPr>
          <w:rFonts w:eastAsia="微软雅黑"/>
        </w:rPr>
        <w:t>ere</w:t>
      </w:r>
      <w:r w:rsidRPr="00503884">
        <w:rPr>
          <w:rFonts w:eastAsia="微软雅黑"/>
        </w:rPr>
        <w:t xml:space="preserve"> approved by the </w:t>
      </w:r>
      <w:r>
        <w:rPr>
          <w:rFonts w:eastAsia="微软雅黑"/>
        </w:rPr>
        <w:t>E</w:t>
      </w:r>
      <w:r w:rsidRPr="00503884">
        <w:rPr>
          <w:rFonts w:eastAsia="微软雅黑"/>
        </w:rPr>
        <w:t>thic</w:t>
      </w:r>
      <w:r>
        <w:rPr>
          <w:rFonts w:eastAsia="微软雅黑"/>
        </w:rPr>
        <w:t>s</w:t>
      </w:r>
      <w:r w:rsidRPr="00503884">
        <w:rPr>
          <w:rFonts w:eastAsia="微软雅黑"/>
        </w:rPr>
        <w:t xml:space="preserve"> </w:t>
      </w:r>
      <w:r>
        <w:rPr>
          <w:rFonts w:eastAsia="微软雅黑"/>
        </w:rPr>
        <w:t>C</w:t>
      </w:r>
      <w:r w:rsidRPr="00503884">
        <w:rPr>
          <w:rFonts w:eastAsia="微软雅黑"/>
        </w:rPr>
        <w:t xml:space="preserve">ommittee of </w:t>
      </w:r>
      <w:r>
        <w:rPr>
          <w:rFonts w:eastAsia="微软雅黑"/>
        </w:rPr>
        <w:t>T</w:t>
      </w:r>
      <w:r w:rsidRPr="00503884">
        <w:rPr>
          <w:rFonts w:eastAsia="微软雅黑"/>
        </w:rPr>
        <w:t xml:space="preserve">he First </w:t>
      </w:r>
      <w:r>
        <w:rPr>
          <w:rFonts w:eastAsia="微软雅黑"/>
        </w:rPr>
        <w:t>A</w:t>
      </w:r>
      <w:r w:rsidRPr="00503884">
        <w:rPr>
          <w:rFonts w:eastAsia="微软雅黑"/>
        </w:rPr>
        <w:t xml:space="preserve">ffiliated Hospital of </w:t>
      </w:r>
      <w:r>
        <w:rPr>
          <w:rFonts w:eastAsia="微软雅黑"/>
        </w:rPr>
        <w:t xml:space="preserve">the </w:t>
      </w:r>
      <w:r w:rsidRPr="00503884">
        <w:rPr>
          <w:rFonts w:eastAsia="微软雅黑"/>
        </w:rPr>
        <w:t>University of Science and Technology of China.</w:t>
      </w:r>
    </w:p>
    <w:p w14:paraId="487E6CF1" w14:textId="77777777" w:rsidR="0033457B" w:rsidRPr="00503884" w:rsidRDefault="0033457B" w:rsidP="0033457B">
      <w:pPr>
        <w:autoSpaceDE w:val="0"/>
        <w:autoSpaceDN w:val="0"/>
        <w:adjustRightInd w:val="0"/>
        <w:spacing w:line="480" w:lineRule="auto"/>
        <w:ind w:firstLineChars="300" w:firstLine="720"/>
        <w:rPr>
          <w:rFonts w:eastAsia="微软雅黑"/>
          <w:sz w:val="24"/>
        </w:rPr>
      </w:pPr>
      <w:r w:rsidRPr="00503884">
        <w:rPr>
          <w:rFonts w:eastAsia="微软雅黑"/>
          <w:sz w:val="24"/>
        </w:rPr>
        <w:t xml:space="preserve">The tumor xenograft model was </w:t>
      </w:r>
      <w:r>
        <w:rPr>
          <w:rFonts w:eastAsia="微软雅黑"/>
          <w:sz w:val="24"/>
        </w:rPr>
        <w:t>design</w:t>
      </w:r>
      <w:r w:rsidRPr="00503884">
        <w:rPr>
          <w:rFonts w:eastAsia="微软雅黑"/>
          <w:sz w:val="24"/>
        </w:rPr>
        <w:t xml:space="preserve">ed by </w:t>
      </w:r>
      <w:r>
        <w:rPr>
          <w:rFonts w:eastAsia="微软雅黑"/>
          <w:sz w:val="24"/>
        </w:rPr>
        <w:t>the A</w:t>
      </w:r>
      <w:r w:rsidRPr="00503884">
        <w:rPr>
          <w:rFonts w:eastAsia="微软雅黑"/>
          <w:sz w:val="24"/>
        </w:rPr>
        <w:t xml:space="preserve">nimal </w:t>
      </w:r>
      <w:r>
        <w:rPr>
          <w:rFonts w:eastAsia="微软雅黑"/>
          <w:sz w:val="24"/>
        </w:rPr>
        <w:t>E</w:t>
      </w:r>
      <w:r w:rsidRPr="00503884">
        <w:rPr>
          <w:rFonts w:eastAsia="微软雅黑"/>
          <w:sz w:val="24"/>
        </w:rPr>
        <w:t xml:space="preserve">xperiments </w:t>
      </w:r>
      <w:r>
        <w:rPr>
          <w:rFonts w:eastAsia="微软雅黑"/>
          <w:sz w:val="24"/>
        </w:rPr>
        <w:t>E</w:t>
      </w:r>
      <w:r w:rsidRPr="00503884">
        <w:rPr>
          <w:rFonts w:eastAsia="微软雅黑"/>
          <w:sz w:val="24"/>
        </w:rPr>
        <w:t>thic</w:t>
      </w:r>
      <w:r>
        <w:rPr>
          <w:rFonts w:eastAsia="微软雅黑"/>
          <w:sz w:val="24"/>
        </w:rPr>
        <w:t>s</w:t>
      </w:r>
      <w:r w:rsidRPr="00503884">
        <w:rPr>
          <w:rFonts w:eastAsia="微软雅黑"/>
          <w:sz w:val="24"/>
        </w:rPr>
        <w:t xml:space="preserve"> </w:t>
      </w:r>
      <w:r>
        <w:rPr>
          <w:rFonts w:eastAsia="微软雅黑"/>
          <w:sz w:val="24"/>
        </w:rPr>
        <w:t>C</w:t>
      </w:r>
      <w:r w:rsidRPr="00503884">
        <w:rPr>
          <w:rFonts w:eastAsia="微软雅黑"/>
          <w:sz w:val="24"/>
        </w:rPr>
        <w:t xml:space="preserve">ommittee of </w:t>
      </w:r>
      <w:r>
        <w:rPr>
          <w:rFonts w:eastAsia="微软雅黑"/>
          <w:sz w:val="24"/>
        </w:rPr>
        <w:t>the U</w:t>
      </w:r>
      <w:r w:rsidRPr="00503884">
        <w:rPr>
          <w:rFonts w:eastAsia="微软雅黑"/>
          <w:sz w:val="24"/>
        </w:rPr>
        <w:t xml:space="preserve">niversity of </w:t>
      </w:r>
      <w:r>
        <w:rPr>
          <w:rFonts w:eastAsia="微软雅黑"/>
          <w:sz w:val="24"/>
        </w:rPr>
        <w:t>S</w:t>
      </w:r>
      <w:r w:rsidRPr="00503884">
        <w:rPr>
          <w:rFonts w:eastAsia="微软雅黑"/>
          <w:sz w:val="24"/>
        </w:rPr>
        <w:t xml:space="preserve">cience and </w:t>
      </w:r>
      <w:r>
        <w:rPr>
          <w:rFonts w:eastAsia="微软雅黑"/>
          <w:sz w:val="24"/>
        </w:rPr>
        <w:t>T</w:t>
      </w:r>
      <w:r w:rsidRPr="00503884">
        <w:rPr>
          <w:rFonts w:eastAsia="微软雅黑"/>
          <w:sz w:val="24"/>
        </w:rPr>
        <w:t>echnology of China (</w:t>
      </w:r>
      <w:r>
        <w:rPr>
          <w:rFonts w:eastAsia="微软雅黑"/>
          <w:sz w:val="24"/>
        </w:rPr>
        <w:t xml:space="preserve">No: </w:t>
      </w:r>
      <w:r w:rsidRPr="00503884">
        <w:rPr>
          <w:rFonts w:eastAsia="微软雅黑"/>
          <w:sz w:val="24"/>
        </w:rPr>
        <w:t xml:space="preserve">USTCACUC1801033). All operations and experimental procedures </w:t>
      </w:r>
      <w:r>
        <w:rPr>
          <w:rFonts w:eastAsia="微软雅黑"/>
          <w:sz w:val="24"/>
        </w:rPr>
        <w:t>were in accordance with the</w:t>
      </w:r>
      <w:r w:rsidRPr="00503884">
        <w:rPr>
          <w:rFonts w:eastAsia="微软雅黑"/>
          <w:sz w:val="24"/>
        </w:rPr>
        <w:t xml:space="preserve"> Guide for the Care and Use of Laborotary Animals from the National Institutes of Health, USA. Female nude mice (BALB/c-Foxn1nu/Nju, 5</w:t>
      </w:r>
      <w:r>
        <w:rPr>
          <w:rFonts w:eastAsia="微软雅黑"/>
          <w:sz w:val="24"/>
        </w:rPr>
        <w:t>–</w:t>
      </w:r>
      <w:r w:rsidRPr="00503884">
        <w:rPr>
          <w:rFonts w:eastAsia="微软雅黑"/>
          <w:sz w:val="24"/>
        </w:rPr>
        <w:t xml:space="preserve">7 weeks old) were obtained from the Model Animal Researh Center of Nanjing University (Nanjing, China) and raised in </w:t>
      </w:r>
      <w:r>
        <w:rPr>
          <w:rFonts w:eastAsia="微软雅黑"/>
          <w:sz w:val="24"/>
        </w:rPr>
        <w:t>a specific pathogen-free</w:t>
      </w:r>
      <w:r w:rsidRPr="00503884">
        <w:rPr>
          <w:rFonts w:eastAsia="微软雅黑"/>
          <w:sz w:val="24"/>
        </w:rPr>
        <w:t xml:space="preserve"> animal laboratory. After 5 days of ac</w:t>
      </w:r>
      <w:r>
        <w:rPr>
          <w:rFonts w:eastAsia="微软雅黑"/>
          <w:sz w:val="24"/>
        </w:rPr>
        <w:t>climation</w:t>
      </w:r>
      <w:r w:rsidRPr="00503884">
        <w:rPr>
          <w:rFonts w:eastAsia="微软雅黑"/>
          <w:sz w:val="24"/>
        </w:rPr>
        <w:t xml:space="preserve">, the mice were randomly divided into </w:t>
      </w:r>
      <w:r>
        <w:rPr>
          <w:rFonts w:eastAsia="微软雅黑"/>
          <w:sz w:val="24"/>
        </w:rPr>
        <w:t>four</w:t>
      </w:r>
      <w:r w:rsidRPr="00503884">
        <w:rPr>
          <w:rFonts w:eastAsia="微软雅黑"/>
          <w:sz w:val="24"/>
        </w:rPr>
        <w:t xml:space="preserve"> groups: HULC (</w:t>
      </w:r>
      <w:r w:rsidRPr="00503884">
        <w:rPr>
          <w:rFonts w:eastAsia="微软雅黑"/>
          <w:i/>
          <w:sz w:val="24"/>
        </w:rPr>
        <w:t>n</w:t>
      </w:r>
      <w:r w:rsidRPr="00503884">
        <w:rPr>
          <w:rFonts w:eastAsia="微软雅黑"/>
          <w:sz w:val="24"/>
        </w:rPr>
        <w:t xml:space="preserve">=10), </w:t>
      </w:r>
      <w:r>
        <w:rPr>
          <w:rFonts w:eastAsia="微软雅黑"/>
          <w:sz w:val="24"/>
        </w:rPr>
        <w:t>vector (</w:t>
      </w:r>
      <w:r w:rsidRPr="00503884">
        <w:rPr>
          <w:rFonts w:eastAsia="微软雅黑"/>
          <w:sz w:val="24"/>
        </w:rPr>
        <w:t>VEC</w:t>
      </w:r>
      <w:r>
        <w:rPr>
          <w:rFonts w:eastAsia="微软雅黑"/>
          <w:sz w:val="24"/>
        </w:rPr>
        <w:t xml:space="preserve">, </w:t>
      </w:r>
      <w:r w:rsidRPr="00503884">
        <w:rPr>
          <w:rFonts w:eastAsia="微软雅黑"/>
          <w:i/>
          <w:sz w:val="24"/>
        </w:rPr>
        <w:t>n</w:t>
      </w:r>
      <w:r w:rsidRPr="00503884">
        <w:rPr>
          <w:rFonts w:eastAsia="微软雅黑"/>
          <w:sz w:val="24"/>
        </w:rPr>
        <w:t>=10), HULC-siRNA (</w:t>
      </w:r>
      <w:r w:rsidRPr="00503884">
        <w:rPr>
          <w:rFonts w:eastAsia="微软雅黑"/>
          <w:i/>
          <w:sz w:val="24"/>
        </w:rPr>
        <w:t>n</w:t>
      </w:r>
      <w:r w:rsidRPr="00503884">
        <w:rPr>
          <w:rFonts w:eastAsia="微软雅黑"/>
          <w:sz w:val="24"/>
        </w:rPr>
        <w:t xml:space="preserve">=10), and </w:t>
      </w:r>
      <w:r>
        <w:rPr>
          <w:rFonts w:eastAsia="微软雅黑"/>
          <w:sz w:val="24"/>
        </w:rPr>
        <w:t>negative control (</w:t>
      </w:r>
      <w:r w:rsidRPr="00503884">
        <w:rPr>
          <w:rFonts w:eastAsia="微软雅黑"/>
          <w:sz w:val="24"/>
        </w:rPr>
        <w:t>NC</w:t>
      </w:r>
      <w:r>
        <w:rPr>
          <w:rFonts w:eastAsia="微软雅黑"/>
          <w:sz w:val="24"/>
        </w:rPr>
        <w:t xml:space="preserve">, </w:t>
      </w:r>
      <w:r w:rsidRPr="00503884">
        <w:rPr>
          <w:rFonts w:eastAsia="微软雅黑"/>
          <w:i/>
          <w:sz w:val="24"/>
        </w:rPr>
        <w:t>n</w:t>
      </w:r>
      <w:r w:rsidRPr="00503884">
        <w:rPr>
          <w:rFonts w:eastAsia="微软雅黑"/>
          <w:sz w:val="24"/>
        </w:rPr>
        <w:t xml:space="preserve">=10) groups, to build </w:t>
      </w:r>
      <w:r>
        <w:rPr>
          <w:rFonts w:eastAsia="微软雅黑"/>
          <w:sz w:val="24"/>
        </w:rPr>
        <w:t xml:space="preserve">the </w:t>
      </w:r>
      <w:r w:rsidRPr="00503884">
        <w:rPr>
          <w:rFonts w:eastAsia="微软雅黑"/>
          <w:sz w:val="24"/>
        </w:rPr>
        <w:t xml:space="preserve">tumor xenograft model. After </w:t>
      </w:r>
      <w:r w:rsidRPr="00503884">
        <w:rPr>
          <w:rFonts w:eastAsia="微软雅黑"/>
          <w:sz w:val="24"/>
        </w:rPr>
        <w:lastRenderedPageBreak/>
        <w:t>anaesthetization, the mice were placed in a stereotaxic frame, and the skull was exposed for intracranial injections. After stable transfection, 5×10</w:t>
      </w:r>
      <w:r w:rsidRPr="00503884">
        <w:rPr>
          <w:rFonts w:eastAsia="微软雅黑"/>
          <w:sz w:val="24"/>
          <w:vertAlign w:val="superscript"/>
        </w:rPr>
        <w:t>6</w:t>
      </w:r>
      <w:r w:rsidRPr="00503884">
        <w:rPr>
          <w:rFonts w:eastAsia="微软雅黑"/>
          <w:sz w:val="24"/>
        </w:rPr>
        <w:t xml:space="preserve"> resuspended U87 cells were used for each intracranial injection. U87 cells with overexpressed HULC and HULC </w:t>
      </w:r>
      <w:r w:rsidRPr="00235DEB">
        <w:rPr>
          <w:rFonts w:eastAsia="微软雅黑"/>
          <w:sz w:val="24"/>
        </w:rPr>
        <w:t xml:space="preserve">siRNA were used in </w:t>
      </w:r>
      <w:r>
        <w:rPr>
          <w:rFonts w:eastAsia="微软雅黑"/>
          <w:sz w:val="24"/>
        </w:rPr>
        <w:t xml:space="preserve">the </w:t>
      </w:r>
      <w:r w:rsidRPr="00235DEB">
        <w:rPr>
          <w:rFonts w:eastAsia="微软雅黑"/>
          <w:sz w:val="24"/>
        </w:rPr>
        <w:t xml:space="preserve">HULC group and </w:t>
      </w:r>
      <w:r>
        <w:rPr>
          <w:rFonts w:eastAsia="微软雅黑"/>
          <w:sz w:val="24"/>
        </w:rPr>
        <w:t xml:space="preserve">the </w:t>
      </w:r>
      <w:r w:rsidRPr="00235DEB">
        <w:rPr>
          <w:rFonts w:eastAsia="微软雅黑"/>
          <w:sz w:val="24"/>
        </w:rPr>
        <w:t xml:space="preserve">HULC-siRNA group, respectively, while those with the </w:t>
      </w:r>
      <w:r w:rsidRPr="00F150D1">
        <w:rPr>
          <w:rFonts w:eastAsia="微软雅黑"/>
          <w:sz w:val="24"/>
        </w:rPr>
        <w:t>vector</w:t>
      </w:r>
      <w:r w:rsidRPr="00235DEB">
        <w:rPr>
          <w:rFonts w:eastAsia="微软雅黑"/>
          <w:sz w:val="24"/>
        </w:rPr>
        <w:t xml:space="preserve"> and </w:t>
      </w:r>
      <w:r>
        <w:rPr>
          <w:rFonts w:eastAsia="微软雅黑"/>
          <w:sz w:val="24"/>
        </w:rPr>
        <w:t>phosphate-buffered saline (</w:t>
      </w:r>
      <w:r w:rsidRPr="00F150D1">
        <w:rPr>
          <w:rFonts w:eastAsia="微软雅黑"/>
          <w:sz w:val="24"/>
        </w:rPr>
        <w:t>PBS</w:t>
      </w:r>
      <w:r>
        <w:rPr>
          <w:rFonts w:eastAsia="微软雅黑"/>
          <w:sz w:val="24"/>
        </w:rPr>
        <w:t>)</w:t>
      </w:r>
      <w:r w:rsidRPr="00235DEB">
        <w:rPr>
          <w:rFonts w:eastAsia="微软雅黑"/>
          <w:sz w:val="24"/>
        </w:rPr>
        <w:t xml:space="preserve"> were used in </w:t>
      </w:r>
      <w:r>
        <w:rPr>
          <w:rFonts w:eastAsia="微软雅黑"/>
          <w:sz w:val="24"/>
        </w:rPr>
        <w:t xml:space="preserve">the </w:t>
      </w:r>
      <w:r w:rsidRPr="00235DEB">
        <w:rPr>
          <w:rFonts w:eastAsia="微软雅黑"/>
          <w:sz w:val="24"/>
        </w:rPr>
        <w:t xml:space="preserve">VEC group and NC group, respectively. </w:t>
      </w:r>
      <w:r w:rsidRPr="00E3597E">
        <w:rPr>
          <w:rFonts w:eastAsia="微软雅黑"/>
          <w:sz w:val="24"/>
        </w:rPr>
        <w:t xml:space="preserve">The movement and nervous system </w:t>
      </w:r>
      <w:r w:rsidRPr="001075FD">
        <w:rPr>
          <w:rFonts w:eastAsia="微软雅黑"/>
          <w:sz w:val="24"/>
        </w:rPr>
        <w:t xml:space="preserve">signs of </w:t>
      </w:r>
      <w:r>
        <w:rPr>
          <w:rFonts w:eastAsia="微软雅黑"/>
          <w:sz w:val="24"/>
        </w:rPr>
        <w:t xml:space="preserve">the </w:t>
      </w:r>
      <w:r w:rsidRPr="001075FD">
        <w:rPr>
          <w:rFonts w:eastAsia="微软雅黑"/>
          <w:sz w:val="24"/>
        </w:rPr>
        <w:t xml:space="preserve">mice were observed by </w:t>
      </w:r>
      <w:r>
        <w:rPr>
          <w:rFonts w:eastAsia="微软雅黑"/>
          <w:sz w:val="24"/>
        </w:rPr>
        <w:t xml:space="preserve">a </w:t>
      </w:r>
      <w:r w:rsidRPr="001075FD">
        <w:rPr>
          <w:rFonts w:eastAsia="微软雅黑"/>
          <w:sz w:val="24"/>
        </w:rPr>
        <w:t>Signa HDX 3.0 T Magnetic</w:t>
      </w:r>
      <w:r>
        <w:rPr>
          <w:rFonts w:eastAsia="微软雅黑"/>
          <w:sz w:val="24"/>
        </w:rPr>
        <w:t xml:space="preserve"> </w:t>
      </w:r>
      <w:r w:rsidRPr="001075FD">
        <w:rPr>
          <w:rFonts w:eastAsia="微软雅黑"/>
          <w:sz w:val="24"/>
        </w:rPr>
        <w:t>Resonance scanner</w:t>
      </w:r>
      <w:r w:rsidRPr="003C6FEA">
        <w:rPr>
          <w:rFonts w:eastAsia="微软雅黑"/>
          <w:sz w:val="24"/>
        </w:rPr>
        <w:t xml:space="preserve"> (GE, USA) every 3 days</w:t>
      </w:r>
      <w:r>
        <w:rPr>
          <w:rFonts w:eastAsia="微软雅黑"/>
          <w:sz w:val="24"/>
        </w:rPr>
        <w:t>,</w:t>
      </w:r>
      <w:r w:rsidRPr="003C6FEA">
        <w:rPr>
          <w:rFonts w:eastAsia="微软雅黑"/>
          <w:sz w:val="24"/>
        </w:rPr>
        <w:t xml:space="preserve"> and all</w:t>
      </w:r>
      <w:r>
        <w:rPr>
          <w:rFonts w:eastAsia="微软雅黑"/>
          <w:sz w:val="24"/>
        </w:rPr>
        <w:t xml:space="preserve"> of</w:t>
      </w:r>
      <w:r w:rsidRPr="003C6FEA">
        <w:rPr>
          <w:rFonts w:eastAsia="微软雅黑"/>
          <w:sz w:val="24"/>
        </w:rPr>
        <w:t xml:space="preserve"> the mice were weighed once a week. When the nude mice appeare</w:t>
      </w:r>
      <w:r w:rsidRPr="00503884">
        <w:rPr>
          <w:rFonts w:eastAsia="微软雅黑"/>
          <w:sz w:val="24"/>
        </w:rPr>
        <w:t>d to be thin, weak</w:t>
      </w:r>
      <w:r>
        <w:rPr>
          <w:rFonts w:eastAsia="微软雅黑"/>
          <w:sz w:val="24"/>
        </w:rPr>
        <w:t>,</w:t>
      </w:r>
      <w:r w:rsidRPr="00503884">
        <w:rPr>
          <w:rFonts w:eastAsia="微软雅黑"/>
          <w:sz w:val="24"/>
        </w:rPr>
        <w:t xml:space="preserve"> </w:t>
      </w:r>
      <w:r>
        <w:rPr>
          <w:rFonts w:eastAsia="微软雅黑"/>
          <w:sz w:val="24"/>
        </w:rPr>
        <w:t>or had</w:t>
      </w:r>
      <w:r w:rsidRPr="00503884">
        <w:rPr>
          <w:rFonts w:eastAsia="微软雅黑"/>
          <w:sz w:val="24"/>
        </w:rPr>
        <w:t xml:space="preserve"> no reaction to outer stimulations, they were subjected to euthanasia. Then the brain tissue was separated from </w:t>
      </w:r>
      <w:r>
        <w:rPr>
          <w:rFonts w:eastAsia="微软雅黑"/>
          <w:sz w:val="24"/>
        </w:rPr>
        <w:t xml:space="preserve">the </w:t>
      </w:r>
      <w:r w:rsidRPr="00503884">
        <w:rPr>
          <w:rFonts w:eastAsia="微软雅黑"/>
          <w:sz w:val="24"/>
        </w:rPr>
        <w:t>skull immediately.</w:t>
      </w:r>
    </w:p>
    <w:p w14:paraId="35263B7C" w14:textId="77777777" w:rsidR="0033457B" w:rsidRPr="00503884" w:rsidRDefault="0033457B" w:rsidP="0033457B">
      <w:pPr>
        <w:autoSpaceDE w:val="0"/>
        <w:autoSpaceDN w:val="0"/>
        <w:adjustRightInd w:val="0"/>
        <w:spacing w:line="480" w:lineRule="auto"/>
        <w:ind w:firstLineChars="100" w:firstLine="240"/>
        <w:rPr>
          <w:bCs/>
          <w:kern w:val="0"/>
          <w:sz w:val="24"/>
        </w:rPr>
      </w:pPr>
    </w:p>
    <w:p w14:paraId="16C4C709" w14:textId="77777777" w:rsidR="0033457B" w:rsidRPr="005C158F" w:rsidRDefault="0033457B" w:rsidP="0033457B">
      <w:pPr>
        <w:spacing w:line="480" w:lineRule="auto"/>
        <w:rPr>
          <w:b/>
          <w:bCs/>
          <w:i/>
          <w:iCs/>
          <w:kern w:val="0"/>
          <w:sz w:val="24"/>
        </w:rPr>
      </w:pPr>
      <w:r w:rsidRPr="005C158F">
        <w:rPr>
          <w:b/>
          <w:bCs/>
          <w:i/>
          <w:iCs/>
          <w:kern w:val="0"/>
          <w:sz w:val="24"/>
        </w:rPr>
        <w:t xml:space="preserve">Tissue microarray RNAscope </w:t>
      </w:r>
      <w:r w:rsidRPr="00B7311E">
        <w:rPr>
          <w:b/>
          <w:bCs/>
          <w:i/>
          <w:iCs/>
          <w:kern w:val="0"/>
          <w:sz w:val="24"/>
        </w:rPr>
        <w:t>in situ</w:t>
      </w:r>
      <w:r w:rsidRPr="005C158F">
        <w:rPr>
          <w:b/>
          <w:bCs/>
          <w:i/>
          <w:iCs/>
          <w:kern w:val="0"/>
          <w:sz w:val="24"/>
        </w:rPr>
        <w:t xml:space="preserve"> hybridization</w:t>
      </w:r>
    </w:p>
    <w:p w14:paraId="16146695" w14:textId="77777777" w:rsidR="0033457B" w:rsidRPr="00503884" w:rsidRDefault="0033457B" w:rsidP="0033457B">
      <w:pPr>
        <w:spacing w:line="480" w:lineRule="auto"/>
        <w:rPr>
          <w:sz w:val="24"/>
        </w:rPr>
      </w:pPr>
      <w:r>
        <w:rPr>
          <w:sz w:val="24"/>
        </w:rPr>
        <w:t xml:space="preserve">A total of </w:t>
      </w:r>
      <w:r w:rsidRPr="00503884">
        <w:rPr>
          <w:sz w:val="24"/>
        </w:rPr>
        <w:t>263 tumor tissue</w:t>
      </w:r>
      <w:r>
        <w:rPr>
          <w:sz w:val="24"/>
        </w:rPr>
        <w:t>s</w:t>
      </w:r>
      <w:r w:rsidRPr="00503884">
        <w:rPr>
          <w:sz w:val="24"/>
        </w:rPr>
        <w:t xml:space="preserve"> and 263 corresponding adjacent normal tissues were used for tissue microarray</w:t>
      </w:r>
      <w:r>
        <w:rPr>
          <w:sz w:val="24"/>
        </w:rPr>
        <w:t xml:space="preserve"> analysis</w:t>
      </w:r>
      <w:r w:rsidRPr="00503884">
        <w:rPr>
          <w:sz w:val="24"/>
        </w:rPr>
        <w:t xml:space="preserve">. </w:t>
      </w:r>
      <w:r>
        <w:rPr>
          <w:sz w:val="24"/>
        </w:rPr>
        <w:t xml:space="preserve">The </w:t>
      </w:r>
      <w:r w:rsidRPr="00503884">
        <w:rPr>
          <w:sz w:val="24"/>
        </w:rPr>
        <w:t xml:space="preserve">BA-Hs-HULC probes were from </w:t>
      </w:r>
      <w:r>
        <w:rPr>
          <w:sz w:val="24"/>
        </w:rPr>
        <w:t xml:space="preserve">the </w:t>
      </w:r>
      <w:r w:rsidRPr="00503884">
        <w:rPr>
          <w:sz w:val="24"/>
        </w:rPr>
        <w:t xml:space="preserve">Advanced Cell Diagnostics </w:t>
      </w:r>
      <w:r>
        <w:rPr>
          <w:sz w:val="24"/>
        </w:rPr>
        <w:t>C</w:t>
      </w:r>
      <w:r w:rsidRPr="00503884">
        <w:rPr>
          <w:sz w:val="24"/>
        </w:rPr>
        <w:t>ompany (USA). The procedure was performed according to the man</w:t>
      </w:r>
      <w:r>
        <w:rPr>
          <w:sz w:val="24"/>
        </w:rPr>
        <w:t>ufacturer’s instructions</w:t>
      </w:r>
      <w:r w:rsidRPr="00503884">
        <w:rPr>
          <w:sz w:val="24"/>
        </w:rPr>
        <w:t>. Briefly, the 4</w:t>
      </w:r>
      <w:r>
        <w:rPr>
          <w:sz w:val="24"/>
        </w:rPr>
        <w:t>-</w:t>
      </w:r>
      <w:r w:rsidRPr="00503884">
        <w:rPr>
          <w:sz w:val="24"/>
        </w:rPr>
        <w:t>µm-thick tissue micro</w:t>
      </w:r>
      <w:r>
        <w:rPr>
          <w:sz w:val="24"/>
        </w:rPr>
        <w:t>chip</w:t>
      </w:r>
      <w:r w:rsidRPr="00503884">
        <w:rPr>
          <w:sz w:val="24"/>
        </w:rPr>
        <w:t xml:space="preserve"> was tested by</w:t>
      </w:r>
      <w:r w:rsidRPr="00503884">
        <w:rPr>
          <w:rFonts w:eastAsia="瀹嬩綋"/>
          <w:color w:val="2B2B2B"/>
          <w:sz w:val="24"/>
          <w:shd w:val="clear" w:color="auto" w:fill="FFFFFF"/>
        </w:rPr>
        <w:t xml:space="preserve"> </w:t>
      </w:r>
      <w:r>
        <w:rPr>
          <w:rFonts w:eastAsia="瀹嬩綋"/>
          <w:color w:val="2B2B2B"/>
          <w:sz w:val="24"/>
          <w:shd w:val="clear" w:color="auto" w:fill="FFFFFF"/>
        </w:rPr>
        <w:t xml:space="preserve">a </w:t>
      </w:r>
      <w:r w:rsidRPr="00503884">
        <w:rPr>
          <w:rFonts w:eastAsia="瀹嬩綋"/>
          <w:color w:val="2B2B2B"/>
          <w:sz w:val="24"/>
          <w:shd w:val="clear" w:color="auto" w:fill="FFFFFF"/>
        </w:rPr>
        <w:t xml:space="preserve">human gene </w:t>
      </w:r>
      <w:r w:rsidRPr="00503884">
        <w:rPr>
          <w:rFonts w:eastAsia="瀹嬩綋"/>
          <w:i/>
          <w:color w:val="2B2B2B"/>
          <w:sz w:val="24"/>
          <w:shd w:val="clear" w:color="auto" w:fill="FFFFFF"/>
        </w:rPr>
        <w:t>in situ</w:t>
      </w:r>
      <w:r w:rsidRPr="00503884">
        <w:rPr>
          <w:rFonts w:eastAsia="瀹嬩綋"/>
          <w:color w:val="2B2B2B"/>
          <w:sz w:val="24"/>
          <w:shd w:val="clear" w:color="auto" w:fill="FFFFFF"/>
        </w:rPr>
        <w:t xml:space="preserve"> hybridization detection kit (</w:t>
      </w:r>
      <w:r w:rsidRPr="00503884">
        <w:rPr>
          <w:sz w:val="24"/>
        </w:rPr>
        <w:t>BaseScope</w:t>
      </w:r>
      <w:r w:rsidRPr="00503884">
        <w:rPr>
          <w:sz w:val="24"/>
          <w:vertAlign w:val="superscript"/>
        </w:rPr>
        <w:t>TM</w:t>
      </w:r>
      <w:r w:rsidRPr="00503884">
        <w:rPr>
          <w:rFonts w:eastAsia="瀹嬩綋"/>
          <w:color w:val="2B2B2B"/>
          <w:sz w:val="24"/>
          <w:shd w:val="clear" w:color="auto" w:fill="FFFFFF"/>
        </w:rPr>
        <w:t>) and then dewaxed, incubated, digested, hybridized</w:t>
      </w:r>
      <w:r>
        <w:rPr>
          <w:rFonts w:eastAsia="瀹嬩綋"/>
          <w:color w:val="2B2B2B"/>
          <w:sz w:val="24"/>
          <w:shd w:val="clear" w:color="auto" w:fill="FFFFFF"/>
        </w:rPr>
        <w:t>,</w:t>
      </w:r>
      <w:r w:rsidRPr="00503884">
        <w:rPr>
          <w:rFonts w:eastAsia="瀹嬩綋"/>
          <w:color w:val="2B2B2B"/>
          <w:sz w:val="24"/>
          <w:shd w:val="clear" w:color="auto" w:fill="FFFFFF"/>
        </w:rPr>
        <w:t xml:space="preserve"> and colorated. </w:t>
      </w:r>
      <w:r w:rsidRPr="00503884">
        <w:rPr>
          <w:sz w:val="24"/>
        </w:rPr>
        <w:t xml:space="preserve">The positive staining was then observed under </w:t>
      </w:r>
      <w:r>
        <w:rPr>
          <w:sz w:val="24"/>
        </w:rPr>
        <w:t xml:space="preserve">a </w:t>
      </w:r>
      <w:r w:rsidRPr="00503884">
        <w:rPr>
          <w:sz w:val="24"/>
        </w:rPr>
        <w:t>microscope. Human HeLa cell</w:t>
      </w:r>
      <w:r>
        <w:rPr>
          <w:sz w:val="24"/>
        </w:rPr>
        <w:t>s</w:t>
      </w:r>
      <w:r w:rsidRPr="00503884">
        <w:rPr>
          <w:sz w:val="24"/>
        </w:rPr>
        <w:t xml:space="preserve"> with</w:t>
      </w:r>
      <w:r>
        <w:rPr>
          <w:sz w:val="24"/>
        </w:rPr>
        <w:t xml:space="preserve"> the</w:t>
      </w:r>
      <w:r w:rsidRPr="00503884">
        <w:rPr>
          <w:sz w:val="24"/>
        </w:rPr>
        <w:t xml:space="preserve"> PPIB probe </w:t>
      </w:r>
      <w:r>
        <w:rPr>
          <w:sz w:val="24"/>
        </w:rPr>
        <w:t>were used</w:t>
      </w:r>
      <w:r w:rsidRPr="00503884">
        <w:rPr>
          <w:sz w:val="24"/>
        </w:rPr>
        <w:t xml:space="preserve"> as</w:t>
      </w:r>
      <w:r>
        <w:rPr>
          <w:sz w:val="24"/>
        </w:rPr>
        <w:t xml:space="preserve"> a</w:t>
      </w:r>
      <w:r w:rsidRPr="00503884">
        <w:rPr>
          <w:sz w:val="24"/>
        </w:rPr>
        <w:t xml:space="preserve"> positive control, while </w:t>
      </w:r>
      <w:r w:rsidRPr="005C158F">
        <w:rPr>
          <w:i/>
          <w:iCs/>
          <w:sz w:val="24"/>
        </w:rPr>
        <w:t>Bacill</w:t>
      </w:r>
      <w:r>
        <w:rPr>
          <w:i/>
          <w:iCs/>
          <w:sz w:val="24"/>
        </w:rPr>
        <w:t>i</w:t>
      </w:r>
      <w:r w:rsidRPr="00503884">
        <w:rPr>
          <w:sz w:val="24"/>
        </w:rPr>
        <w:t xml:space="preserve"> with </w:t>
      </w:r>
      <w:r>
        <w:rPr>
          <w:sz w:val="24"/>
        </w:rPr>
        <w:t xml:space="preserve">the </w:t>
      </w:r>
      <w:r w:rsidRPr="00503884">
        <w:rPr>
          <w:sz w:val="24"/>
        </w:rPr>
        <w:t>DapB probe w</w:t>
      </w:r>
      <w:r>
        <w:rPr>
          <w:sz w:val="24"/>
        </w:rPr>
        <w:t>ere used as a</w:t>
      </w:r>
      <w:r w:rsidRPr="00503884">
        <w:rPr>
          <w:sz w:val="24"/>
        </w:rPr>
        <w:t xml:space="preserve"> negative con</w:t>
      </w:r>
      <w:r>
        <w:rPr>
          <w:sz w:val="24"/>
        </w:rPr>
        <w:t>trol</w:t>
      </w:r>
      <w:r w:rsidRPr="00503884">
        <w:rPr>
          <w:sz w:val="24"/>
        </w:rPr>
        <w:t>. The interpretation of BaseScope</w:t>
      </w:r>
      <w:r w:rsidRPr="00503884">
        <w:rPr>
          <w:sz w:val="24"/>
          <w:vertAlign w:val="superscript"/>
        </w:rPr>
        <w:t>TM</w:t>
      </w:r>
      <w:r w:rsidRPr="00503884">
        <w:rPr>
          <w:sz w:val="24"/>
        </w:rPr>
        <w:t xml:space="preserve"> </w:t>
      </w:r>
      <w:r w:rsidRPr="00503884">
        <w:rPr>
          <w:i/>
          <w:sz w:val="24"/>
        </w:rPr>
        <w:t xml:space="preserve">in situ </w:t>
      </w:r>
      <w:r w:rsidRPr="00503884">
        <w:rPr>
          <w:sz w:val="24"/>
        </w:rPr>
        <w:t>hybridization staining was as follows: the positive red signal</w:t>
      </w:r>
      <w:r>
        <w:rPr>
          <w:sz w:val="24"/>
        </w:rPr>
        <w:t xml:space="preserve"> was</w:t>
      </w:r>
      <w:r w:rsidRPr="00503884">
        <w:rPr>
          <w:sz w:val="24"/>
        </w:rPr>
        <w:t xml:space="preserve"> located in the nucleus, and the scoring standard </w:t>
      </w:r>
      <w:r>
        <w:rPr>
          <w:sz w:val="24"/>
        </w:rPr>
        <w:t>wa</w:t>
      </w:r>
      <w:r w:rsidRPr="00503884">
        <w:rPr>
          <w:sz w:val="24"/>
        </w:rPr>
        <w:t xml:space="preserve">s based on the number of staining signal points under </w:t>
      </w:r>
      <w:r>
        <w:rPr>
          <w:sz w:val="24"/>
        </w:rPr>
        <w:t xml:space="preserve">a </w:t>
      </w:r>
      <w:r w:rsidRPr="00503884">
        <w:rPr>
          <w:sz w:val="24"/>
        </w:rPr>
        <w:t xml:space="preserve">bright field microscope. The area with the highest number of positive signal </w:t>
      </w:r>
      <w:r w:rsidRPr="00503884">
        <w:rPr>
          <w:sz w:val="24"/>
        </w:rPr>
        <w:lastRenderedPageBreak/>
        <w:t>points of cells was counted, and the average number was finally obtained: 0, no staining; 1+, 1</w:t>
      </w:r>
      <w:r>
        <w:rPr>
          <w:sz w:val="24"/>
        </w:rPr>
        <w:t>–</w:t>
      </w:r>
      <w:r w:rsidRPr="00503884">
        <w:rPr>
          <w:sz w:val="24"/>
        </w:rPr>
        <w:t>3 signal points per 10 cells; 2+, 4</w:t>
      </w:r>
      <w:r>
        <w:rPr>
          <w:sz w:val="24"/>
        </w:rPr>
        <w:t>–</w:t>
      </w:r>
      <w:r w:rsidRPr="00503884">
        <w:rPr>
          <w:sz w:val="24"/>
        </w:rPr>
        <w:t>9 signal points per 10 cells; 3+, 10</w:t>
      </w:r>
      <w:r>
        <w:rPr>
          <w:sz w:val="24"/>
        </w:rPr>
        <w:t>–</w:t>
      </w:r>
      <w:r w:rsidRPr="00503884">
        <w:rPr>
          <w:sz w:val="24"/>
        </w:rPr>
        <w:t>15 signal points per 10 cells, with no or very few signal point aggregation; 4+, &gt;15 signal points per 10 cells with aggregation of signal points.</w:t>
      </w:r>
    </w:p>
    <w:p w14:paraId="27B03274" w14:textId="77777777" w:rsidR="0033457B" w:rsidRPr="00503884" w:rsidRDefault="0033457B" w:rsidP="0033457B">
      <w:pPr>
        <w:spacing w:line="480" w:lineRule="auto"/>
        <w:ind w:firstLineChars="100" w:firstLine="240"/>
        <w:rPr>
          <w:bCs/>
          <w:kern w:val="0"/>
          <w:sz w:val="24"/>
        </w:rPr>
      </w:pPr>
    </w:p>
    <w:p w14:paraId="2D8C5B31"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Immuno</w:t>
      </w:r>
      <w:r>
        <w:rPr>
          <w:b/>
          <w:bCs/>
          <w:i/>
          <w:iCs/>
          <w:kern w:val="0"/>
          <w:sz w:val="24"/>
        </w:rPr>
        <w:t>histo</w:t>
      </w:r>
      <w:r w:rsidRPr="005C158F">
        <w:rPr>
          <w:b/>
          <w:bCs/>
          <w:i/>
          <w:iCs/>
          <w:kern w:val="0"/>
          <w:sz w:val="24"/>
        </w:rPr>
        <w:t>chemistry</w:t>
      </w:r>
    </w:p>
    <w:p w14:paraId="7C93327A" w14:textId="77777777" w:rsidR="0033457B" w:rsidRPr="00503884" w:rsidRDefault="0033457B" w:rsidP="0033457B">
      <w:pPr>
        <w:spacing w:line="480" w:lineRule="auto"/>
        <w:rPr>
          <w:kern w:val="0"/>
          <w:sz w:val="24"/>
        </w:rPr>
      </w:pPr>
      <w:r w:rsidRPr="00503884">
        <w:rPr>
          <w:sz w:val="24"/>
        </w:rPr>
        <w:t>Paraffin-embedded GBM tissues were sliced into 3</w:t>
      </w:r>
      <w:r>
        <w:rPr>
          <w:sz w:val="24"/>
        </w:rPr>
        <w:t>-</w:t>
      </w:r>
      <w:r w:rsidRPr="00503884">
        <w:rPr>
          <w:sz w:val="24"/>
        </w:rPr>
        <w:t xml:space="preserve">μm-thick sections. </w:t>
      </w:r>
      <w:r w:rsidRPr="00503884">
        <w:rPr>
          <w:bCs/>
          <w:sz w:val="24"/>
        </w:rPr>
        <w:t>I</w:t>
      </w:r>
      <w:r>
        <w:rPr>
          <w:bCs/>
          <w:sz w:val="24"/>
        </w:rPr>
        <w:t>mmunohistochemistry experiements were</w:t>
      </w:r>
      <w:r w:rsidRPr="00503884">
        <w:rPr>
          <w:bCs/>
          <w:sz w:val="24"/>
        </w:rPr>
        <w:t xml:space="preserve"> performed by using an autostainer</w:t>
      </w:r>
      <w:r w:rsidRPr="00503884">
        <w:rPr>
          <w:sz w:val="24"/>
        </w:rPr>
        <w:t xml:space="preserve"> (Bench Maker XT, Swi</w:t>
      </w:r>
      <w:r w:rsidRPr="00235DEB">
        <w:rPr>
          <w:sz w:val="24"/>
        </w:rPr>
        <w:t xml:space="preserve">tzerland). After dewaxing and antigen retrival, the sections were incubated with </w:t>
      </w:r>
      <w:r>
        <w:rPr>
          <w:sz w:val="24"/>
        </w:rPr>
        <w:t xml:space="preserve">the following </w:t>
      </w:r>
      <w:r w:rsidRPr="00235DEB">
        <w:rPr>
          <w:sz w:val="24"/>
        </w:rPr>
        <w:t>primary antibodies: TNR (</w:t>
      </w:r>
      <w:r w:rsidRPr="00F150D1">
        <w:rPr>
          <w:sz w:val="24"/>
        </w:rPr>
        <w:t>Sigma, USA</w:t>
      </w:r>
      <w:r w:rsidRPr="00235DEB">
        <w:rPr>
          <w:sz w:val="24"/>
        </w:rPr>
        <w:t xml:space="preserve">), p-AKT (Ser473, D9E, CST, USA), AKT </w:t>
      </w:r>
      <w:r w:rsidRPr="00E623DD">
        <w:rPr>
          <w:sz w:val="24"/>
        </w:rPr>
        <w:t>(</w:t>
      </w:r>
      <w:r w:rsidRPr="00E623DD">
        <w:rPr>
          <w:rFonts w:hint="eastAsia"/>
          <w:sz w:val="24"/>
        </w:rPr>
        <w:t>11E7</w:t>
      </w:r>
      <w:r>
        <w:rPr>
          <w:sz w:val="24"/>
        </w:rPr>
        <w:t>,</w:t>
      </w:r>
      <w:r>
        <w:rPr>
          <w:rFonts w:hint="eastAsia"/>
          <w:sz w:val="24"/>
        </w:rPr>
        <w:t xml:space="preserve"> </w:t>
      </w:r>
      <w:r w:rsidRPr="00E623DD">
        <w:rPr>
          <w:rFonts w:hint="eastAsia"/>
          <w:sz w:val="24"/>
        </w:rPr>
        <w:t>CST</w:t>
      </w:r>
      <w:r w:rsidRPr="00E623DD">
        <w:rPr>
          <w:sz w:val="24"/>
        </w:rPr>
        <w:t>), p-</w:t>
      </w:r>
      <w:r>
        <w:t>p</w:t>
      </w:r>
      <w:r w:rsidRPr="002D7A58">
        <w:rPr>
          <w:sz w:val="24"/>
        </w:rPr>
        <w:t>hosphatase and tensin homolog (PTEN)</w:t>
      </w:r>
      <w:r w:rsidRPr="00E623DD">
        <w:rPr>
          <w:sz w:val="24"/>
        </w:rPr>
        <w:t xml:space="preserve"> (Thr366, ab109454, </w:t>
      </w:r>
      <w:r>
        <w:rPr>
          <w:sz w:val="24"/>
        </w:rPr>
        <w:t>A</w:t>
      </w:r>
      <w:r w:rsidRPr="00E623DD">
        <w:rPr>
          <w:sz w:val="24"/>
        </w:rPr>
        <w:t xml:space="preserve">bcam, USA), PTEN (D4.3, CST, USA), p-FAK (Tyr397, Sigma, USA), FAK (CST), p-PI3K (Tyr607, ab182651, </w:t>
      </w:r>
      <w:r>
        <w:rPr>
          <w:sz w:val="24"/>
        </w:rPr>
        <w:t>A</w:t>
      </w:r>
      <w:r w:rsidRPr="00E623DD">
        <w:rPr>
          <w:sz w:val="24"/>
        </w:rPr>
        <w:t>bcam), PI3K (</w:t>
      </w:r>
      <w:r w:rsidRPr="00E623DD">
        <w:rPr>
          <w:rFonts w:hint="eastAsia"/>
          <w:sz w:val="24"/>
        </w:rPr>
        <w:t>19H8</w:t>
      </w:r>
      <w:r w:rsidRPr="00E623DD">
        <w:rPr>
          <w:sz w:val="24"/>
        </w:rPr>
        <w:t xml:space="preserve">, Sigma), </w:t>
      </w:r>
      <w:r>
        <w:rPr>
          <w:sz w:val="24"/>
        </w:rPr>
        <w:t xml:space="preserve">and </w:t>
      </w:r>
      <w:r w:rsidRPr="00E623DD">
        <w:rPr>
          <w:sz w:val="24"/>
        </w:rPr>
        <w:t>Ki67 (</w:t>
      </w:r>
      <w:r w:rsidRPr="00E623DD">
        <w:rPr>
          <w:rFonts w:hint="eastAsia"/>
          <w:sz w:val="24"/>
        </w:rPr>
        <w:t>Z</w:t>
      </w:r>
      <w:r w:rsidRPr="00E623DD">
        <w:rPr>
          <w:sz w:val="24"/>
        </w:rPr>
        <w:t xml:space="preserve">sbio, China) </w:t>
      </w:r>
      <w:r w:rsidRPr="00F150D1">
        <w:rPr>
          <w:sz w:val="24"/>
        </w:rPr>
        <w:t>at 4</w:t>
      </w:r>
      <w:r w:rsidRPr="00503884">
        <w:rPr>
          <w:sz w:val="24"/>
        </w:rPr>
        <w:t>°C overnight and secondary antibodies at 37°C for 30 min. Then, the slices were visualized according to</w:t>
      </w:r>
      <w:r>
        <w:rPr>
          <w:sz w:val="24"/>
        </w:rPr>
        <w:t xml:space="preserve"> the</w:t>
      </w:r>
      <w:r w:rsidRPr="00503884">
        <w:rPr>
          <w:sz w:val="24"/>
        </w:rPr>
        <w:t xml:space="preserve"> diaminobenzidine method. After that, the slices were counterstained with hematoxylin-eosin, dehydrated</w:t>
      </w:r>
      <w:r>
        <w:rPr>
          <w:sz w:val="24"/>
        </w:rPr>
        <w:t>,</w:t>
      </w:r>
      <w:r w:rsidRPr="00503884">
        <w:rPr>
          <w:sz w:val="24"/>
        </w:rPr>
        <w:t xml:space="preserve"> and covered with a coverslip.</w:t>
      </w:r>
      <w:r w:rsidRPr="00503884">
        <w:rPr>
          <w:bCs/>
          <w:sz w:val="24"/>
        </w:rPr>
        <w:t xml:space="preserve"> The results were judged by two pathologists sep</w:t>
      </w:r>
      <w:r>
        <w:rPr>
          <w:rFonts w:hint="eastAsia"/>
          <w:bCs/>
          <w:sz w:val="24"/>
        </w:rPr>
        <w:t>a</w:t>
      </w:r>
      <w:r w:rsidRPr="00503884">
        <w:rPr>
          <w:bCs/>
          <w:sz w:val="24"/>
        </w:rPr>
        <w:t xml:space="preserve">rately, and </w:t>
      </w:r>
      <w:r>
        <w:rPr>
          <w:bCs/>
          <w:sz w:val="24"/>
        </w:rPr>
        <w:t>any</w:t>
      </w:r>
      <w:r w:rsidRPr="00503884">
        <w:rPr>
          <w:bCs/>
          <w:sz w:val="24"/>
        </w:rPr>
        <w:t xml:space="preserve"> inconsistent results were examined and verified jointly under multiple microscopes. The </w:t>
      </w:r>
      <w:r>
        <w:rPr>
          <w:bCs/>
          <w:sz w:val="24"/>
        </w:rPr>
        <w:t xml:space="preserve">slices were </w:t>
      </w:r>
      <w:r w:rsidRPr="00503884">
        <w:rPr>
          <w:bCs/>
          <w:sz w:val="24"/>
        </w:rPr>
        <w:t>scor</w:t>
      </w:r>
      <w:r>
        <w:rPr>
          <w:bCs/>
          <w:sz w:val="24"/>
        </w:rPr>
        <w:t>ed</w:t>
      </w:r>
      <w:r w:rsidRPr="00503884">
        <w:rPr>
          <w:bCs/>
          <w:sz w:val="24"/>
        </w:rPr>
        <w:t xml:space="preserve"> </w:t>
      </w:r>
      <w:r>
        <w:rPr>
          <w:bCs/>
          <w:sz w:val="24"/>
        </w:rPr>
        <w:t>a</w:t>
      </w:r>
      <w:r w:rsidRPr="00503884">
        <w:rPr>
          <w:bCs/>
          <w:sz w:val="24"/>
        </w:rPr>
        <w:t>ccording to</w:t>
      </w:r>
      <w:r>
        <w:rPr>
          <w:bCs/>
          <w:sz w:val="24"/>
        </w:rPr>
        <w:t xml:space="preserve"> the</w:t>
      </w:r>
      <w:r w:rsidRPr="00503884">
        <w:rPr>
          <w:bCs/>
          <w:sz w:val="24"/>
        </w:rPr>
        <w:t xml:space="preserve"> color intensity</w:t>
      </w:r>
      <w:r>
        <w:rPr>
          <w:bCs/>
          <w:sz w:val="24"/>
        </w:rPr>
        <w:t xml:space="preserve"> as follows</w:t>
      </w:r>
      <w:r w:rsidRPr="00503884">
        <w:rPr>
          <w:bCs/>
          <w:sz w:val="24"/>
        </w:rPr>
        <w:t xml:space="preserve">: 0, no staining; 1, light yellow; 2, claybank; 3, brown. </w:t>
      </w:r>
      <w:r>
        <w:rPr>
          <w:bCs/>
          <w:sz w:val="24"/>
        </w:rPr>
        <w:t>In addition, the slices were scored a</w:t>
      </w:r>
      <w:r w:rsidRPr="00503884">
        <w:rPr>
          <w:bCs/>
          <w:sz w:val="24"/>
        </w:rPr>
        <w:t>ccording to the proportion of positive cells in all tumor cells in a high magnification field</w:t>
      </w:r>
      <w:r>
        <w:rPr>
          <w:bCs/>
          <w:sz w:val="24"/>
        </w:rPr>
        <w:t xml:space="preserve"> as follows</w:t>
      </w:r>
      <w:r w:rsidRPr="00503884">
        <w:rPr>
          <w:bCs/>
          <w:sz w:val="24"/>
        </w:rPr>
        <w:t>: 1, ≤10%; 2, 11</w:t>
      </w:r>
      <w:r>
        <w:rPr>
          <w:bCs/>
          <w:sz w:val="24"/>
        </w:rPr>
        <w:t>–</w:t>
      </w:r>
      <w:r w:rsidRPr="00503884">
        <w:rPr>
          <w:bCs/>
          <w:sz w:val="24"/>
        </w:rPr>
        <w:t>50%; 3, 51</w:t>
      </w:r>
      <w:r>
        <w:rPr>
          <w:bCs/>
          <w:sz w:val="24"/>
        </w:rPr>
        <w:t>–</w:t>
      </w:r>
      <w:r w:rsidRPr="00503884">
        <w:rPr>
          <w:bCs/>
          <w:sz w:val="24"/>
        </w:rPr>
        <w:t xml:space="preserve">75%; 4, &gt;75%. The final score was calculated by adding the scores of the two items. </w:t>
      </w:r>
      <w:r>
        <w:rPr>
          <w:bCs/>
          <w:sz w:val="24"/>
        </w:rPr>
        <w:t xml:space="preserve">A final score of </w:t>
      </w:r>
      <w:r w:rsidRPr="00503884">
        <w:rPr>
          <w:bCs/>
          <w:sz w:val="24"/>
        </w:rPr>
        <w:t>0</w:t>
      </w:r>
      <w:r>
        <w:rPr>
          <w:bCs/>
          <w:sz w:val="24"/>
        </w:rPr>
        <w:t>–</w:t>
      </w:r>
      <w:r w:rsidRPr="00503884">
        <w:rPr>
          <w:bCs/>
          <w:sz w:val="24"/>
        </w:rPr>
        <w:t>3 w</w:t>
      </w:r>
      <w:r>
        <w:rPr>
          <w:bCs/>
          <w:sz w:val="24"/>
        </w:rPr>
        <w:t>as</w:t>
      </w:r>
      <w:r w:rsidRPr="00503884">
        <w:rPr>
          <w:bCs/>
          <w:sz w:val="24"/>
        </w:rPr>
        <w:t xml:space="preserve"> classified as low expression, and </w:t>
      </w:r>
      <w:r>
        <w:rPr>
          <w:bCs/>
          <w:sz w:val="24"/>
        </w:rPr>
        <w:t xml:space="preserve">a final score of </w:t>
      </w:r>
      <w:r w:rsidRPr="00503884">
        <w:rPr>
          <w:bCs/>
          <w:sz w:val="24"/>
        </w:rPr>
        <w:t>4</w:t>
      </w:r>
      <w:r>
        <w:rPr>
          <w:bCs/>
          <w:sz w:val="24"/>
        </w:rPr>
        <w:t>–</w:t>
      </w:r>
      <w:r w:rsidRPr="00503884">
        <w:rPr>
          <w:bCs/>
          <w:sz w:val="24"/>
        </w:rPr>
        <w:t>7 w</w:t>
      </w:r>
      <w:r>
        <w:rPr>
          <w:bCs/>
          <w:sz w:val="24"/>
        </w:rPr>
        <w:t>as</w:t>
      </w:r>
      <w:r w:rsidRPr="00503884">
        <w:rPr>
          <w:bCs/>
          <w:sz w:val="24"/>
        </w:rPr>
        <w:t xml:space="preserve"> classified as high expression.</w:t>
      </w:r>
    </w:p>
    <w:p w14:paraId="36045DB2" w14:textId="77777777" w:rsidR="0033457B" w:rsidRPr="00503884" w:rsidRDefault="0033457B" w:rsidP="0033457B">
      <w:pPr>
        <w:autoSpaceDE w:val="0"/>
        <w:autoSpaceDN w:val="0"/>
        <w:adjustRightInd w:val="0"/>
        <w:spacing w:line="480" w:lineRule="auto"/>
        <w:ind w:left="360"/>
        <w:rPr>
          <w:bCs/>
          <w:kern w:val="0"/>
          <w:sz w:val="24"/>
        </w:rPr>
      </w:pPr>
    </w:p>
    <w:p w14:paraId="608B3461"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Cell cycle and apoptosis</w:t>
      </w:r>
    </w:p>
    <w:p w14:paraId="5765485A" w14:textId="77777777" w:rsidR="0033457B" w:rsidRPr="00503884" w:rsidRDefault="0033457B" w:rsidP="0033457B">
      <w:pPr>
        <w:spacing w:line="480" w:lineRule="auto"/>
        <w:rPr>
          <w:kern w:val="0"/>
          <w:sz w:val="24"/>
        </w:rPr>
      </w:pPr>
      <w:r>
        <w:rPr>
          <w:sz w:val="24"/>
        </w:rPr>
        <w:t>The c</w:t>
      </w:r>
      <w:r w:rsidRPr="00503884">
        <w:rPr>
          <w:sz w:val="24"/>
        </w:rPr>
        <w:t xml:space="preserve">ells were harvested and fixed with 75% precooled ethanol at 4℃ overnight. The next day, </w:t>
      </w:r>
      <w:r>
        <w:rPr>
          <w:sz w:val="24"/>
        </w:rPr>
        <w:t xml:space="preserve">the </w:t>
      </w:r>
      <w:r w:rsidRPr="00503884">
        <w:rPr>
          <w:sz w:val="24"/>
        </w:rPr>
        <w:t xml:space="preserve">cells were rinsed and suspended </w:t>
      </w:r>
      <w:r>
        <w:rPr>
          <w:sz w:val="24"/>
        </w:rPr>
        <w:t>in</w:t>
      </w:r>
      <w:r w:rsidRPr="00503884">
        <w:rPr>
          <w:sz w:val="24"/>
        </w:rPr>
        <w:t xml:space="preserve"> 500 μ</w:t>
      </w:r>
      <w:r>
        <w:rPr>
          <w:sz w:val="24"/>
        </w:rPr>
        <w:t>L of</w:t>
      </w:r>
      <w:r w:rsidRPr="00503884">
        <w:rPr>
          <w:sz w:val="24"/>
        </w:rPr>
        <w:t xml:space="preserve"> PBS,</w:t>
      </w:r>
      <w:r>
        <w:rPr>
          <w:sz w:val="24"/>
        </w:rPr>
        <w:t xml:space="preserve"> </w:t>
      </w:r>
      <w:r w:rsidRPr="00503884">
        <w:rPr>
          <w:sz w:val="24"/>
        </w:rPr>
        <w:t>then 10 μ</w:t>
      </w:r>
      <w:r>
        <w:rPr>
          <w:sz w:val="24"/>
        </w:rPr>
        <w:t xml:space="preserve">L of </w:t>
      </w:r>
      <w:r w:rsidRPr="00503884">
        <w:rPr>
          <w:sz w:val="24"/>
        </w:rPr>
        <w:t>RNase A (10 g/L)</w:t>
      </w:r>
      <w:r>
        <w:rPr>
          <w:sz w:val="24"/>
        </w:rPr>
        <w:t xml:space="preserve"> was added, and the cells were incubated</w:t>
      </w:r>
      <w:r w:rsidRPr="00503884">
        <w:rPr>
          <w:sz w:val="24"/>
        </w:rPr>
        <w:t xml:space="preserve"> at 37℃ for 30 min. Afterwards, the mixture was stained </w:t>
      </w:r>
      <w:r>
        <w:rPr>
          <w:sz w:val="24"/>
        </w:rPr>
        <w:t>with</w:t>
      </w:r>
      <w:r w:rsidRPr="00503884">
        <w:rPr>
          <w:sz w:val="24"/>
        </w:rPr>
        <w:t xml:space="preserve"> 5</w:t>
      </w:r>
      <w:r>
        <w:rPr>
          <w:sz w:val="24"/>
        </w:rPr>
        <w:t xml:space="preserve"> </w:t>
      </w:r>
      <w:r w:rsidRPr="00503884">
        <w:rPr>
          <w:sz w:val="24"/>
        </w:rPr>
        <w:t>μ</w:t>
      </w:r>
      <w:r>
        <w:rPr>
          <w:sz w:val="24"/>
        </w:rPr>
        <w:t>L of</w:t>
      </w:r>
      <w:r w:rsidRPr="00503884">
        <w:rPr>
          <w:sz w:val="24"/>
        </w:rPr>
        <w:t xml:space="preserve"> propidium iodide (100</w:t>
      </w:r>
      <w:r>
        <w:rPr>
          <w:sz w:val="24"/>
        </w:rPr>
        <w:t xml:space="preserve"> </w:t>
      </w:r>
      <w:r w:rsidRPr="00503884">
        <w:rPr>
          <w:sz w:val="24"/>
        </w:rPr>
        <w:t>mg/L) and incubated for 15 min. Finally, the samples were analyzed using a flow cytometer (BD Biosciences) to determine the cell cycle</w:t>
      </w:r>
      <w:r>
        <w:rPr>
          <w:sz w:val="24"/>
        </w:rPr>
        <w:t xml:space="preserve"> </w:t>
      </w:r>
      <w:r w:rsidRPr="00503884">
        <w:rPr>
          <w:sz w:val="24"/>
        </w:rPr>
        <w:t>distribution.</w:t>
      </w:r>
    </w:p>
    <w:p w14:paraId="639579BD" w14:textId="77777777" w:rsidR="0033457B" w:rsidRPr="00503884" w:rsidRDefault="0033457B" w:rsidP="0033457B">
      <w:pPr>
        <w:spacing w:line="480" w:lineRule="auto"/>
        <w:ind w:firstLineChars="300" w:firstLine="720"/>
        <w:rPr>
          <w:kern w:val="0"/>
          <w:sz w:val="24"/>
        </w:rPr>
      </w:pPr>
      <w:r>
        <w:rPr>
          <w:sz w:val="24"/>
        </w:rPr>
        <w:t>The c</w:t>
      </w:r>
      <w:r w:rsidRPr="00503884">
        <w:rPr>
          <w:sz w:val="24"/>
        </w:rPr>
        <w:t>ells were digested by using typsin without EDTA</w:t>
      </w:r>
      <w:r>
        <w:rPr>
          <w:sz w:val="24"/>
        </w:rPr>
        <w:t>,</w:t>
      </w:r>
      <w:r w:rsidRPr="00503884">
        <w:rPr>
          <w:sz w:val="24"/>
        </w:rPr>
        <w:t xml:space="preserve"> and aproximately 5×10</w:t>
      </w:r>
      <w:r w:rsidRPr="00503884">
        <w:rPr>
          <w:sz w:val="24"/>
          <w:vertAlign w:val="superscript"/>
        </w:rPr>
        <w:t xml:space="preserve">5 </w:t>
      </w:r>
      <w:r w:rsidRPr="00503884">
        <w:rPr>
          <w:sz w:val="24"/>
        </w:rPr>
        <w:t xml:space="preserve">cells were resuspended </w:t>
      </w:r>
      <w:r>
        <w:rPr>
          <w:sz w:val="24"/>
        </w:rPr>
        <w:t>in</w:t>
      </w:r>
      <w:r w:rsidRPr="00503884">
        <w:rPr>
          <w:sz w:val="24"/>
        </w:rPr>
        <w:t xml:space="preserve"> 100 μ</w:t>
      </w:r>
      <w:r>
        <w:rPr>
          <w:sz w:val="24"/>
        </w:rPr>
        <w:t>L of</w:t>
      </w:r>
      <w:r w:rsidRPr="00503884">
        <w:rPr>
          <w:sz w:val="24"/>
        </w:rPr>
        <w:t xml:space="preserve"> binding buffer to obtain single-cell suspensions. Detached cells were stained with 5 μ</w:t>
      </w:r>
      <w:r>
        <w:rPr>
          <w:sz w:val="24"/>
        </w:rPr>
        <w:t>L of</w:t>
      </w:r>
      <w:r w:rsidRPr="00503884">
        <w:rPr>
          <w:sz w:val="24"/>
        </w:rPr>
        <w:t xml:space="preserve"> propidium iodide and 5 μ</w:t>
      </w:r>
      <w:r>
        <w:rPr>
          <w:sz w:val="24"/>
        </w:rPr>
        <w:t>L of</w:t>
      </w:r>
      <w:r w:rsidRPr="00503884">
        <w:rPr>
          <w:sz w:val="24"/>
        </w:rPr>
        <w:t xml:space="preserve"> FITC and then incubated for 10 min. </w:t>
      </w:r>
      <w:r>
        <w:rPr>
          <w:sz w:val="24"/>
        </w:rPr>
        <w:t>Finally</w:t>
      </w:r>
      <w:r w:rsidRPr="00503884">
        <w:rPr>
          <w:sz w:val="24"/>
        </w:rPr>
        <w:t>, the samples were analy</w:t>
      </w:r>
      <w:r>
        <w:rPr>
          <w:sz w:val="24"/>
        </w:rPr>
        <w:t>z</w:t>
      </w:r>
      <w:r w:rsidRPr="00503884">
        <w:rPr>
          <w:sz w:val="24"/>
        </w:rPr>
        <w:t>ed with a flow cytometer (BD Biosciences). Data were analy</w:t>
      </w:r>
      <w:r>
        <w:rPr>
          <w:sz w:val="24"/>
        </w:rPr>
        <w:t>z</w:t>
      </w:r>
      <w:r w:rsidRPr="00503884">
        <w:rPr>
          <w:sz w:val="24"/>
        </w:rPr>
        <w:t>ed with FlowJo software.</w:t>
      </w:r>
    </w:p>
    <w:p w14:paraId="786C27B7" w14:textId="77777777" w:rsidR="0033457B" w:rsidRPr="00503884" w:rsidRDefault="0033457B" w:rsidP="0033457B">
      <w:pPr>
        <w:autoSpaceDE w:val="0"/>
        <w:autoSpaceDN w:val="0"/>
        <w:adjustRightInd w:val="0"/>
        <w:spacing w:line="480" w:lineRule="auto"/>
        <w:ind w:left="360"/>
        <w:rPr>
          <w:bCs/>
          <w:kern w:val="0"/>
          <w:sz w:val="24"/>
        </w:rPr>
      </w:pPr>
    </w:p>
    <w:p w14:paraId="683C9270"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Transwell assay</w:t>
      </w:r>
    </w:p>
    <w:p w14:paraId="76CAAF5F" w14:textId="77777777" w:rsidR="0033457B" w:rsidRPr="00503884" w:rsidRDefault="0033457B" w:rsidP="0033457B">
      <w:pPr>
        <w:spacing w:line="480" w:lineRule="auto"/>
        <w:rPr>
          <w:color w:val="1F3763"/>
          <w:kern w:val="0"/>
          <w:sz w:val="24"/>
        </w:rPr>
      </w:pPr>
      <w:r w:rsidRPr="00503884">
        <w:rPr>
          <w:sz w:val="24"/>
        </w:rPr>
        <w:t>First, matrigel was diluted with DMEM</w:t>
      </w:r>
      <w:r>
        <w:rPr>
          <w:sz w:val="24"/>
        </w:rPr>
        <w:t xml:space="preserve"> at </w:t>
      </w:r>
      <w:r w:rsidRPr="00503884">
        <w:rPr>
          <w:sz w:val="24"/>
        </w:rPr>
        <w:t>1:6</w:t>
      </w:r>
      <w:r>
        <w:rPr>
          <w:sz w:val="24"/>
        </w:rPr>
        <w:t>,</w:t>
      </w:r>
      <w:r w:rsidRPr="00503884">
        <w:rPr>
          <w:sz w:val="24"/>
        </w:rPr>
        <w:t xml:space="preserve"> and</w:t>
      </w:r>
      <w:r>
        <w:rPr>
          <w:sz w:val="24"/>
        </w:rPr>
        <w:t xml:space="preserve"> </w:t>
      </w:r>
      <w:r w:rsidRPr="00503884">
        <w:rPr>
          <w:sz w:val="24"/>
        </w:rPr>
        <w:t>100 μ</w:t>
      </w:r>
      <w:r>
        <w:rPr>
          <w:sz w:val="24"/>
        </w:rPr>
        <w:t>L</w:t>
      </w:r>
      <w:r w:rsidRPr="00503884">
        <w:rPr>
          <w:sz w:val="24"/>
        </w:rPr>
        <w:t xml:space="preserve"> per well was added into the upper chamber of </w:t>
      </w:r>
      <w:r>
        <w:rPr>
          <w:sz w:val="24"/>
        </w:rPr>
        <w:t>a</w:t>
      </w:r>
      <w:r w:rsidRPr="00503884">
        <w:rPr>
          <w:sz w:val="24"/>
        </w:rPr>
        <w:t xml:space="preserve"> 24-well transwell chamber</w:t>
      </w:r>
      <w:r>
        <w:rPr>
          <w:sz w:val="24"/>
        </w:rPr>
        <w:t xml:space="preserve"> plate</w:t>
      </w:r>
      <w:r w:rsidRPr="00503884">
        <w:rPr>
          <w:sz w:val="24"/>
        </w:rPr>
        <w:t xml:space="preserve"> (Corning, USA) overnight. After transfection, </w:t>
      </w:r>
      <w:r>
        <w:rPr>
          <w:sz w:val="24"/>
        </w:rPr>
        <w:t xml:space="preserve">the </w:t>
      </w:r>
      <w:r w:rsidRPr="00503884">
        <w:rPr>
          <w:sz w:val="24"/>
        </w:rPr>
        <w:t>cells were starved with culture medium without FBS for 12</w:t>
      </w:r>
      <w:r>
        <w:rPr>
          <w:sz w:val="24"/>
        </w:rPr>
        <w:t>–</w:t>
      </w:r>
      <w:r w:rsidRPr="00503884">
        <w:rPr>
          <w:sz w:val="24"/>
        </w:rPr>
        <w:t>24 h. The next day, complete culture medium was added into the lower cham</w:t>
      </w:r>
      <w:r>
        <w:rPr>
          <w:sz w:val="24"/>
        </w:rPr>
        <w:t>b</w:t>
      </w:r>
      <w:r w:rsidRPr="00503884">
        <w:rPr>
          <w:sz w:val="24"/>
        </w:rPr>
        <w:t>er</w:t>
      </w:r>
      <w:r>
        <w:rPr>
          <w:sz w:val="24"/>
        </w:rPr>
        <w:t>s</w:t>
      </w:r>
      <w:r w:rsidRPr="00503884">
        <w:rPr>
          <w:sz w:val="24"/>
        </w:rPr>
        <w:t xml:space="preserve"> of the 24-well transwell chamber</w:t>
      </w:r>
      <w:r>
        <w:rPr>
          <w:sz w:val="24"/>
        </w:rPr>
        <w:t xml:space="preserve"> plate</w:t>
      </w:r>
      <w:r w:rsidRPr="00503884">
        <w:rPr>
          <w:sz w:val="24"/>
        </w:rPr>
        <w:t>. At the same time, starved cells were collected and added into the upper chamber</w:t>
      </w:r>
      <w:r>
        <w:rPr>
          <w:sz w:val="24"/>
        </w:rPr>
        <w:t>s</w:t>
      </w:r>
      <w:r w:rsidRPr="00503884">
        <w:rPr>
          <w:sz w:val="24"/>
        </w:rPr>
        <w:t xml:space="preserve"> at 100 μ</w:t>
      </w:r>
      <w:r>
        <w:rPr>
          <w:sz w:val="24"/>
        </w:rPr>
        <w:t>L</w:t>
      </w:r>
      <w:r w:rsidRPr="00503884">
        <w:rPr>
          <w:sz w:val="24"/>
        </w:rPr>
        <w:t xml:space="preserve"> per well (1×10</w:t>
      </w:r>
      <w:r w:rsidRPr="00503884">
        <w:rPr>
          <w:sz w:val="24"/>
          <w:vertAlign w:val="superscript"/>
        </w:rPr>
        <w:t>5</w:t>
      </w:r>
      <w:r w:rsidRPr="00503884">
        <w:rPr>
          <w:sz w:val="24"/>
        </w:rPr>
        <w:t xml:space="preserve"> cells/well). </w:t>
      </w:r>
      <w:r>
        <w:rPr>
          <w:sz w:val="24"/>
        </w:rPr>
        <w:t>The</w:t>
      </w:r>
      <w:r w:rsidRPr="00503884">
        <w:rPr>
          <w:sz w:val="24"/>
        </w:rPr>
        <w:t xml:space="preserve"> cells </w:t>
      </w:r>
      <w:r>
        <w:rPr>
          <w:sz w:val="24"/>
        </w:rPr>
        <w:t>were observed under</w:t>
      </w:r>
      <w:r w:rsidRPr="00503884">
        <w:rPr>
          <w:sz w:val="24"/>
        </w:rPr>
        <w:t xml:space="preserve"> a microscope every 3</w:t>
      </w:r>
      <w:r>
        <w:rPr>
          <w:sz w:val="24"/>
        </w:rPr>
        <w:t>–</w:t>
      </w:r>
      <w:r w:rsidRPr="00503884">
        <w:rPr>
          <w:sz w:val="24"/>
        </w:rPr>
        <w:t xml:space="preserve">4 h. When living cells </w:t>
      </w:r>
      <w:r>
        <w:rPr>
          <w:sz w:val="24"/>
        </w:rPr>
        <w:t>wer</w:t>
      </w:r>
      <w:r w:rsidRPr="00503884">
        <w:rPr>
          <w:sz w:val="24"/>
        </w:rPr>
        <w:t>e found in the lower chamber, the chambers were taken out</w:t>
      </w:r>
      <w:r>
        <w:rPr>
          <w:sz w:val="24"/>
        </w:rPr>
        <w:t>, and the cells were</w:t>
      </w:r>
      <w:r w:rsidRPr="00503884">
        <w:rPr>
          <w:sz w:val="24"/>
        </w:rPr>
        <w:t xml:space="preserve"> fixed with 4% paraformaldehyde</w:t>
      </w:r>
      <w:r>
        <w:rPr>
          <w:sz w:val="24"/>
        </w:rPr>
        <w:t xml:space="preserve"> and</w:t>
      </w:r>
      <w:r w:rsidRPr="00503884">
        <w:rPr>
          <w:sz w:val="24"/>
        </w:rPr>
        <w:t xml:space="preserve"> then stained with </w:t>
      </w:r>
      <w:r w:rsidRPr="00503884">
        <w:rPr>
          <w:sz w:val="24"/>
        </w:rPr>
        <w:lastRenderedPageBreak/>
        <w:t>0.1% crystal violet for 20</w:t>
      </w:r>
      <w:r>
        <w:rPr>
          <w:sz w:val="24"/>
        </w:rPr>
        <w:t>–</w:t>
      </w:r>
      <w:r w:rsidRPr="00503884">
        <w:rPr>
          <w:sz w:val="24"/>
        </w:rPr>
        <w:t xml:space="preserve">30 min. </w:t>
      </w:r>
      <w:r>
        <w:rPr>
          <w:sz w:val="24"/>
        </w:rPr>
        <w:t>Finally</w:t>
      </w:r>
      <w:r w:rsidRPr="00503884">
        <w:rPr>
          <w:sz w:val="24"/>
        </w:rPr>
        <w:t xml:space="preserve">, ImageJ was used to analyze the results and calculate </w:t>
      </w:r>
      <w:r>
        <w:rPr>
          <w:sz w:val="24"/>
        </w:rPr>
        <w:t xml:space="preserve">the </w:t>
      </w:r>
      <w:r w:rsidRPr="00503884">
        <w:rPr>
          <w:sz w:val="24"/>
        </w:rPr>
        <w:t>relative invasi</w:t>
      </w:r>
      <w:r>
        <w:rPr>
          <w:sz w:val="24"/>
        </w:rPr>
        <w:t>on</w:t>
      </w:r>
      <w:r w:rsidRPr="00503884">
        <w:rPr>
          <w:sz w:val="24"/>
        </w:rPr>
        <w:t xml:space="preserve"> rate.</w:t>
      </w:r>
    </w:p>
    <w:p w14:paraId="58B6C3CD" w14:textId="77777777" w:rsidR="0033457B" w:rsidRPr="00503884" w:rsidRDefault="0033457B" w:rsidP="0033457B">
      <w:pPr>
        <w:autoSpaceDE w:val="0"/>
        <w:autoSpaceDN w:val="0"/>
        <w:adjustRightInd w:val="0"/>
        <w:spacing w:line="480" w:lineRule="auto"/>
        <w:ind w:left="360"/>
        <w:rPr>
          <w:bCs/>
          <w:kern w:val="0"/>
          <w:sz w:val="24"/>
        </w:rPr>
      </w:pPr>
    </w:p>
    <w:p w14:paraId="768265B6"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Western blot</w:t>
      </w:r>
    </w:p>
    <w:p w14:paraId="0384F9F2" w14:textId="77777777" w:rsidR="0033457B" w:rsidRPr="00503884" w:rsidRDefault="0033457B" w:rsidP="0033457B">
      <w:pPr>
        <w:spacing w:line="480" w:lineRule="auto"/>
        <w:rPr>
          <w:kern w:val="0"/>
          <w:sz w:val="24"/>
        </w:rPr>
      </w:pPr>
      <w:r w:rsidRPr="00503884">
        <w:rPr>
          <w:sz w:val="24"/>
        </w:rPr>
        <w:t xml:space="preserve">Cells were harvested and lysed with </w:t>
      </w:r>
      <w:r>
        <w:rPr>
          <w:sz w:val="24"/>
        </w:rPr>
        <w:t>radioimmunoprecipitation assay</w:t>
      </w:r>
      <w:r w:rsidRPr="00503884">
        <w:rPr>
          <w:sz w:val="24"/>
        </w:rPr>
        <w:t xml:space="preserve"> buffer containing protease</w:t>
      </w:r>
      <w:r>
        <w:rPr>
          <w:sz w:val="24"/>
        </w:rPr>
        <w:t xml:space="preserve"> and</w:t>
      </w:r>
      <w:r w:rsidRPr="00503884">
        <w:rPr>
          <w:sz w:val="24"/>
        </w:rPr>
        <w:t xml:space="preserve"> phosphatase inhibitors</w:t>
      </w:r>
      <w:r>
        <w:rPr>
          <w:sz w:val="24"/>
        </w:rPr>
        <w:t xml:space="preserve"> as well as</w:t>
      </w:r>
      <w:r w:rsidRPr="00503884">
        <w:rPr>
          <w:sz w:val="24"/>
        </w:rPr>
        <w:t xml:space="preserve"> phenylmethanesulfonyl fluoride (PMSF). Total proteins were boiled until degeneration and then loaded on 12.5% </w:t>
      </w:r>
      <w:r>
        <w:rPr>
          <w:sz w:val="24"/>
        </w:rPr>
        <w:t>sodium dodecyl sulfate–polyacrylamide</w:t>
      </w:r>
      <w:r w:rsidRPr="00503884">
        <w:rPr>
          <w:sz w:val="24"/>
        </w:rPr>
        <w:t xml:space="preserve"> gels and transferred to </w:t>
      </w:r>
      <w:r w:rsidRPr="008832C0">
        <w:rPr>
          <w:sz w:val="24"/>
        </w:rPr>
        <w:t>polyvinylidene difluoride</w:t>
      </w:r>
      <w:r w:rsidRPr="00503884">
        <w:rPr>
          <w:sz w:val="24"/>
        </w:rPr>
        <w:t xml:space="preserve"> membranes. After blocking in 5% skim milk with </w:t>
      </w:r>
      <w:r>
        <w:rPr>
          <w:sz w:val="24"/>
        </w:rPr>
        <w:t>tris-buffered saline containing Tween 20</w:t>
      </w:r>
      <w:r w:rsidRPr="00503884">
        <w:rPr>
          <w:sz w:val="24"/>
        </w:rPr>
        <w:t xml:space="preserve">, the membranes were incubated with </w:t>
      </w:r>
      <w:r>
        <w:rPr>
          <w:sz w:val="24"/>
        </w:rPr>
        <w:t xml:space="preserve">the </w:t>
      </w:r>
      <w:r w:rsidRPr="00503884">
        <w:rPr>
          <w:sz w:val="24"/>
        </w:rPr>
        <w:t>primary apoptosis</w:t>
      </w:r>
      <w:r>
        <w:rPr>
          <w:sz w:val="24"/>
        </w:rPr>
        <w:t>-</w:t>
      </w:r>
      <w:r w:rsidRPr="00503884">
        <w:rPr>
          <w:sz w:val="24"/>
        </w:rPr>
        <w:t xml:space="preserve">related antibodies Bax, </w:t>
      </w:r>
      <w:r>
        <w:rPr>
          <w:sz w:val="24"/>
        </w:rPr>
        <w:t>c</w:t>
      </w:r>
      <w:r w:rsidRPr="00503884">
        <w:rPr>
          <w:sz w:val="24"/>
        </w:rPr>
        <w:t xml:space="preserve">aspase-3, </w:t>
      </w:r>
      <w:r>
        <w:rPr>
          <w:sz w:val="24"/>
        </w:rPr>
        <w:t>and c</w:t>
      </w:r>
      <w:r w:rsidRPr="00503884">
        <w:rPr>
          <w:sz w:val="24"/>
        </w:rPr>
        <w:t>aspase-8 a</w:t>
      </w:r>
      <w:r>
        <w:rPr>
          <w:sz w:val="24"/>
        </w:rPr>
        <w:t>s well as the</w:t>
      </w:r>
      <w:r w:rsidRPr="00503884">
        <w:rPr>
          <w:sz w:val="24"/>
        </w:rPr>
        <w:t xml:space="preserve"> signal</w:t>
      </w:r>
      <w:r>
        <w:rPr>
          <w:sz w:val="24"/>
        </w:rPr>
        <w:t>ing</w:t>
      </w:r>
      <w:r w:rsidRPr="00503884">
        <w:rPr>
          <w:sz w:val="24"/>
        </w:rPr>
        <w:t xml:space="preserve"> pathway</w:t>
      </w:r>
      <w:r>
        <w:rPr>
          <w:sz w:val="24"/>
        </w:rPr>
        <w:t>-</w:t>
      </w:r>
      <w:r w:rsidRPr="00503884">
        <w:rPr>
          <w:sz w:val="24"/>
        </w:rPr>
        <w:t xml:space="preserve">related antibodies TNR, FAK, p-FAK (Tyr397), PI3K p85α, AKT (pan), p-AKT (Ser473), PTEN, </w:t>
      </w:r>
      <w:r>
        <w:rPr>
          <w:sz w:val="24"/>
        </w:rPr>
        <w:t xml:space="preserve">and </w:t>
      </w:r>
      <w:r w:rsidRPr="00503884">
        <w:rPr>
          <w:sz w:val="24"/>
        </w:rPr>
        <w:t xml:space="preserve">p-PTEN (Ser385) overnight at 4°C. The membranes were incubated with secondary antibodies </w:t>
      </w:r>
      <w:r>
        <w:rPr>
          <w:sz w:val="24"/>
        </w:rPr>
        <w:t>(</w:t>
      </w:r>
      <w:r w:rsidRPr="00503884">
        <w:rPr>
          <w:sz w:val="24"/>
        </w:rPr>
        <w:t xml:space="preserve">anti-rabbit IgG, </w:t>
      </w:r>
      <w:r>
        <w:rPr>
          <w:sz w:val="24"/>
        </w:rPr>
        <w:t>horseradish peroxidase (</w:t>
      </w:r>
      <w:r w:rsidRPr="00503884">
        <w:rPr>
          <w:sz w:val="24"/>
        </w:rPr>
        <w:t>HRP</w:t>
      </w:r>
      <w:r>
        <w:rPr>
          <w:sz w:val="24"/>
        </w:rPr>
        <w:t>)</w:t>
      </w:r>
      <w:r w:rsidRPr="00503884">
        <w:rPr>
          <w:sz w:val="24"/>
        </w:rPr>
        <w:t>-linked antibody</w:t>
      </w:r>
      <w:r>
        <w:rPr>
          <w:sz w:val="24"/>
        </w:rPr>
        <w:t xml:space="preserve"> or</w:t>
      </w:r>
      <w:r w:rsidRPr="00503884">
        <w:rPr>
          <w:sz w:val="24"/>
        </w:rPr>
        <w:t xml:space="preserve"> anti-mouse IgG, HRP-linked antibody</w:t>
      </w:r>
      <w:r>
        <w:rPr>
          <w:sz w:val="24"/>
        </w:rPr>
        <w:t>)</w:t>
      </w:r>
      <w:r w:rsidRPr="00503884">
        <w:rPr>
          <w:sz w:val="24"/>
        </w:rPr>
        <w:t xml:space="preserve"> at room temperature for 1 h. β-actin was set as </w:t>
      </w:r>
      <w:r>
        <w:rPr>
          <w:sz w:val="24"/>
        </w:rPr>
        <w:t xml:space="preserve">an </w:t>
      </w:r>
      <w:r w:rsidRPr="00503884">
        <w:rPr>
          <w:sz w:val="24"/>
        </w:rPr>
        <w:t xml:space="preserve">endogenous control. Finally, the protein was tested by </w:t>
      </w:r>
      <w:r>
        <w:rPr>
          <w:sz w:val="24"/>
        </w:rPr>
        <w:t>an enhanced chemiluminescence</w:t>
      </w:r>
      <w:r w:rsidRPr="00503884">
        <w:rPr>
          <w:sz w:val="24"/>
        </w:rPr>
        <w:t xml:space="preserve"> kit and visuali</w:t>
      </w:r>
      <w:r>
        <w:rPr>
          <w:sz w:val="24"/>
        </w:rPr>
        <w:t>z</w:t>
      </w:r>
      <w:r w:rsidRPr="00503884">
        <w:rPr>
          <w:sz w:val="24"/>
        </w:rPr>
        <w:t xml:space="preserve">ed by </w:t>
      </w:r>
      <w:r>
        <w:rPr>
          <w:sz w:val="24"/>
        </w:rPr>
        <w:t xml:space="preserve">an </w:t>
      </w:r>
      <w:r w:rsidRPr="00503884">
        <w:rPr>
          <w:sz w:val="24"/>
        </w:rPr>
        <w:t>auto</w:t>
      </w:r>
      <w:r>
        <w:rPr>
          <w:sz w:val="24"/>
        </w:rPr>
        <w:t>-</w:t>
      </w:r>
      <w:r w:rsidRPr="00503884">
        <w:rPr>
          <w:sz w:val="24"/>
        </w:rPr>
        <w:t>exposure instrument. Protein bands were analyzed with ImageJ software.</w:t>
      </w:r>
    </w:p>
    <w:p w14:paraId="1F757216" w14:textId="77777777" w:rsidR="0033457B" w:rsidRPr="00503884" w:rsidRDefault="0033457B" w:rsidP="0033457B">
      <w:pPr>
        <w:autoSpaceDE w:val="0"/>
        <w:autoSpaceDN w:val="0"/>
        <w:adjustRightInd w:val="0"/>
        <w:spacing w:line="480" w:lineRule="auto"/>
        <w:ind w:left="360"/>
        <w:rPr>
          <w:bCs/>
          <w:kern w:val="0"/>
          <w:sz w:val="24"/>
        </w:rPr>
      </w:pPr>
    </w:p>
    <w:p w14:paraId="77A6802B" w14:textId="77777777" w:rsidR="0033457B" w:rsidRPr="005C158F" w:rsidRDefault="0033457B" w:rsidP="0033457B">
      <w:pPr>
        <w:spacing w:line="480" w:lineRule="auto"/>
        <w:rPr>
          <w:b/>
          <w:bCs/>
          <w:i/>
          <w:iCs/>
          <w:kern w:val="0"/>
          <w:sz w:val="24"/>
        </w:rPr>
      </w:pPr>
      <w:r w:rsidRPr="005C158F">
        <w:rPr>
          <w:b/>
          <w:bCs/>
          <w:i/>
          <w:iCs/>
          <w:sz w:val="24"/>
        </w:rPr>
        <w:t>R</w:t>
      </w:r>
      <w:r w:rsidRPr="005C158F">
        <w:rPr>
          <w:b/>
          <w:bCs/>
          <w:i/>
          <w:iCs/>
          <w:kern w:val="0"/>
          <w:sz w:val="24"/>
        </w:rPr>
        <w:t xml:space="preserve">everse transcription–quanitative polymerase chain reaction (RT-qPCR) </w:t>
      </w:r>
    </w:p>
    <w:p w14:paraId="498FEB14" w14:textId="77777777" w:rsidR="0033457B" w:rsidRPr="00503884" w:rsidRDefault="0033457B" w:rsidP="0033457B">
      <w:pPr>
        <w:spacing w:line="480" w:lineRule="auto"/>
        <w:rPr>
          <w:sz w:val="24"/>
        </w:rPr>
      </w:pPr>
      <w:r w:rsidRPr="00503884">
        <w:rPr>
          <w:sz w:val="24"/>
        </w:rPr>
        <w:t xml:space="preserve">Total RNA was extracted from </w:t>
      </w:r>
      <w:r>
        <w:rPr>
          <w:sz w:val="24"/>
        </w:rPr>
        <w:t xml:space="preserve">the </w:t>
      </w:r>
      <w:r w:rsidRPr="00503884">
        <w:rPr>
          <w:sz w:val="24"/>
        </w:rPr>
        <w:t xml:space="preserve">GBM cell lines using TRIzol reagent (Vanzyme, China). </w:t>
      </w:r>
      <w:r>
        <w:rPr>
          <w:sz w:val="24"/>
        </w:rPr>
        <w:t>Next,</w:t>
      </w:r>
      <w:r w:rsidRPr="00503884">
        <w:rPr>
          <w:sz w:val="24"/>
        </w:rPr>
        <w:t xml:space="preserve"> the concentration of RNA was measured by </w:t>
      </w:r>
      <w:r>
        <w:rPr>
          <w:sz w:val="24"/>
        </w:rPr>
        <w:t xml:space="preserve">a </w:t>
      </w:r>
      <w:r w:rsidRPr="00503884">
        <w:rPr>
          <w:sz w:val="24"/>
        </w:rPr>
        <w:t xml:space="preserve">precise </w:t>
      </w:r>
      <w:r w:rsidRPr="00503884">
        <w:rPr>
          <w:rStyle w:val="a6"/>
          <w:i w:val="0"/>
          <w:color w:val="000000"/>
          <w:sz w:val="24"/>
          <w:shd w:val="clear" w:color="auto" w:fill="FFFFFF"/>
        </w:rPr>
        <w:t>spectrophotometer</w:t>
      </w:r>
      <w:r w:rsidRPr="00503884">
        <w:rPr>
          <w:i/>
          <w:sz w:val="24"/>
        </w:rPr>
        <w:t xml:space="preserve"> </w:t>
      </w:r>
      <w:r w:rsidRPr="00503884">
        <w:rPr>
          <w:sz w:val="24"/>
        </w:rPr>
        <w:t xml:space="preserve">(Thermo Fisher, USA). Reverse transcription was performed using a First Strand cDNA Synthesis Kit (Vanzyme, China). </w:t>
      </w:r>
      <w:r>
        <w:rPr>
          <w:sz w:val="24"/>
        </w:rPr>
        <w:t>Then</w:t>
      </w:r>
      <w:r w:rsidRPr="00503884">
        <w:rPr>
          <w:sz w:val="24"/>
        </w:rPr>
        <w:t>, RT-</w:t>
      </w:r>
      <w:r>
        <w:rPr>
          <w:sz w:val="24"/>
        </w:rPr>
        <w:t>q</w:t>
      </w:r>
      <w:r w:rsidRPr="00503884">
        <w:rPr>
          <w:sz w:val="24"/>
        </w:rPr>
        <w:t xml:space="preserve">PCR analyses were performed using the Universal </w:t>
      </w:r>
      <w:r w:rsidRPr="00503884">
        <w:rPr>
          <w:sz w:val="24"/>
        </w:rPr>
        <w:lastRenderedPageBreak/>
        <w:t xml:space="preserve">SYBR Green Master Mix (Vanzyme, China). GAPDH was used as an endogenous control for HULC, while U6 was used as </w:t>
      </w:r>
      <w:r>
        <w:rPr>
          <w:sz w:val="24"/>
        </w:rPr>
        <w:t xml:space="preserve">an </w:t>
      </w:r>
      <w:r w:rsidRPr="00503884">
        <w:rPr>
          <w:sz w:val="24"/>
        </w:rPr>
        <w:t xml:space="preserve">endogenous control for miR-128. The samples were detected by </w:t>
      </w:r>
      <w:r>
        <w:rPr>
          <w:sz w:val="24"/>
        </w:rPr>
        <w:t xml:space="preserve">a </w:t>
      </w:r>
      <w:r w:rsidRPr="00503884">
        <w:rPr>
          <w:sz w:val="24"/>
        </w:rPr>
        <w:t xml:space="preserve">PCR instrument (LightCycler 96 Roche, </w:t>
      </w:r>
      <w:r w:rsidRPr="00503884">
        <w:rPr>
          <w:color w:val="333333"/>
          <w:sz w:val="24"/>
          <w:shd w:val="clear" w:color="auto" w:fill="FFFFFF"/>
        </w:rPr>
        <w:t>Switzerland</w:t>
      </w:r>
      <w:r w:rsidRPr="00503884">
        <w:rPr>
          <w:sz w:val="24"/>
        </w:rPr>
        <w:t>).</w:t>
      </w:r>
      <w:r>
        <w:rPr>
          <w:sz w:val="24"/>
        </w:rPr>
        <w:t xml:space="preserve"> </w:t>
      </w:r>
      <w:r w:rsidRPr="00503884">
        <w:rPr>
          <w:sz w:val="24"/>
        </w:rPr>
        <w:t>The 2</w:t>
      </w:r>
      <w:r w:rsidRPr="00A609E9">
        <w:rPr>
          <w:sz w:val="24"/>
          <w:vertAlign w:val="superscript"/>
        </w:rPr>
        <w:t>−</w:t>
      </w:r>
      <w:r w:rsidRPr="00894828">
        <w:rPr>
          <w:rFonts w:eastAsia="MS Gothic"/>
          <w:color w:val="FF0000"/>
          <w:sz w:val="24"/>
          <w:vertAlign w:val="superscript"/>
        </w:rPr>
        <w:t>ΔΔ</w:t>
      </w:r>
      <w:r w:rsidRPr="00503884">
        <w:rPr>
          <w:sz w:val="24"/>
          <w:vertAlign w:val="superscript"/>
        </w:rPr>
        <w:t>Ct</w:t>
      </w:r>
      <w:r w:rsidRPr="00503884">
        <w:rPr>
          <w:sz w:val="24"/>
        </w:rPr>
        <w:t xml:space="preserve"> value was used to analy</w:t>
      </w:r>
      <w:r>
        <w:rPr>
          <w:sz w:val="24"/>
        </w:rPr>
        <w:t>z</w:t>
      </w:r>
      <w:r w:rsidRPr="00503884">
        <w:rPr>
          <w:sz w:val="24"/>
        </w:rPr>
        <w:t>e the results. GAPDH-F: GAACGGGAAGCTCACTGG, GAPDH-R: GCCTGCTTCACCACCTTCT; HULC-F: CTCAAACTCTACAGCCTCAATGG, HULC-R: CATGGCTTTATTCTGGAATGGT.</w:t>
      </w:r>
    </w:p>
    <w:p w14:paraId="313A490A" w14:textId="77777777" w:rsidR="0033457B" w:rsidRPr="0033457B" w:rsidRDefault="0033457B" w:rsidP="0033457B">
      <w:pPr>
        <w:spacing w:line="480" w:lineRule="auto"/>
        <w:ind w:left="420"/>
        <w:rPr>
          <w:bCs/>
          <w:kern w:val="0"/>
          <w:sz w:val="24"/>
        </w:rPr>
      </w:pPr>
    </w:p>
    <w:p w14:paraId="2410D841" w14:textId="77777777" w:rsidR="0033457B" w:rsidRPr="005C158F" w:rsidRDefault="0033457B" w:rsidP="0033457B">
      <w:pPr>
        <w:autoSpaceDE w:val="0"/>
        <w:autoSpaceDN w:val="0"/>
        <w:adjustRightInd w:val="0"/>
        <w:spacing w:line="480" w:lineRule="auto"/>
        <w:rPr>
          <w:b/>
          <w:bCs/>
          <w:i/>
          <w:iCs/>
          <w:kern w:val="0"/>
          <w:sz w:val="24"/>
        </w:rPr>
      </w:pPr>
      <w:r>
        <w:rPr>
          <w:b/>
          <w:bCs/>
          <w:i/>
          <w:iCs/>
          <w:kern w:val="0"/>
          <w:sz w:val="24"/>
        </w:rPr>
        <w:t>C</w:t>
      </w:r>
      <w:r w:rsidRPr="005C158F">
        <w:rPr>
          <w:b/>
          <w:bCs/>
          <w:i/>
          <w:iCs/>
          <w:kern w:val="0"/>
          <w:sz w:val="24"/>
        </w:rPr>
        <w:t xml:space="preserve">hromatin isolation by RNA purification (ChIRP) </w:t>
      </w:r>
    </w:p>
    <w:p w14:paraId="3545045D" w14:textId="77777777" w:rsidR="0033457B" w:rsidRPr="00503884" w:rsidRDefault="0033457B" w:rsidP="0033457B">
      <w:pPr>
        <w:spacing w:line="480" w:lineRule="auto"/>
        <w:rPr>
          <w:color w:val="000000"/>
          <w:kern w:val="0"/>
          <w:sz w:val="24"/>
        </w:rPr>
      </w:pPr>
      <w:r w:rsidRPr="00503884">
        <w:rPr>
          <w:sz w:val="24"/>
        </w:rPr>
        <w:t>Cells were first collected into 50</w:t>
      </w:r>
      <w:r>
        <w:rPr>
          <w:sz w:val="24"/>
        </w:rPr>
        <w:t>-</w:t>
      </w:r>
      <w:r w:rsidRPr="00503884">
        <w:rPr>
          <w:sz w:val="24"/>
        </w:rPr>
        <w:t>m</w:t>
      </w:r>
      <w:r>
        <w:rPr>
          <w:sz w:val="24"/>
        </w:rPr>
        <w:t>L</w:t>
      </w:r>
      <w:r w:rsidRPr="00503884">
        <w:rPr>
          <w:sz w:val="24"/>
        </w:rPr>
        <w:t xml:space="preserve"> Falcon tubes at </w:t>
      </w:r>
      <w:r>
        <w:rPr>
          <w:sz w:val="24"/>
        </w:rPr>
        <w:t>an</w:t>
      </w:r>
      <w:r w:rsidRPr="00503884">
        <w:rPr>
          <w:sz w:val="24"/>
        </w:rPr>
        <w:t xml:space="preserve"> amount of 20</w:t>
      </w:r>
      <w:r>
        <w:rPr>
          <w:sz w:val="24"/>
        </w:rPr>
        <w:t>–</w:t>
      </w:r>
      <w:r w:rsidRPr="00503884">
        <w:rPr>
          <w:sz w:val="24"/>
        </w:rPr>
        <w:t>40 million cells per tube.</w:t>
      </w:r>
      <w:r>
        <w:rPr>
          <w:sz w:val="24"/>
        </w:rPr>
        <w:t xml:space="preserve"> A</w:t>
      </w:r>
      <w:r w:rsidRPr="00503884">
        <w:rPr>
          <w:sz w:val="24"/>
        </w:rPr>
        <w:t xml:space="preserve"> </w:t>
      </w:r>
      <w:r>
        <w:rPr>
          <w:sz w:val="24"/>
        </w:rPr>
        <w:t xml:space="preserve">solution of </w:t>
      </w:r>
      <w:r w:rsidRPr="00503884">
        <w:rPr>
          <w:sz w:val="24"/>
        </w:rPr>
        <w:t>1%</w:t>
      </w:r>
      <w:r w:rsidRPr="00503884">
        <w:rPr>
          <w:color w:val="000000"/>
          <w:sz w:val="24"/>
        </w:rPr>
        <w:t xml:space="preserve"> glutaraldehyde was used to crosslink </w:t>
      </w:r>
      <w:r>
        <w:rPr>
          <w:color w:val="000000"/>
          <w:sz w:val="24"/>
        </w:rPr>
        <w:t>the</w:t>
      </w:r>
      <w:r w:rsidRPr="00503884">
        <w:rPr>
          <w:color w:val="000000"/>
          <w:sz w:val="24"/>
        </w:rPr>
        <w:t xml:space="preserve"> cells for 10 min. </w:t>
      </w:r>
      <w:r>
        <w:rPr>
          <w:color w:val="000000"/>
          <w:sz w:val="24"/>
        </w:rPr>
        <w:t xml:space="preserve">To quench the crosslinking reaction, a </w:t>
      </w:r>
      <w:r w:rsidRPr="00503884">
        <w:rPr>
          <w:color w:val="000000"/>
          <w:sz w:val="24"/>
        </w:rPr>
        <w:t>1/10 volum</w:t>
      </w:r>
      <w:r>
        <w:rPr>
          <w:color w:val="000000"/>
          <w:sz w:val="24"/>
        </w:rPr>
        <w:t>e</w:t>
      </w:r>
      <w:r w:rsidRPr="00503884">
        <w:rPr>
          <w:color w:val="000000"/>
          <w:sz w:val="24"/>
        </w:rPr>
        <w:t xml:space="preserve"> of 1.25 mol/L glycine was added</w:t>
      </w:r>
      <w:r>
        <w:rPr>
          <w:color w:val="000000"/>
          <w:sz w:val="24"/>
        </w:rPr>
        <w:t xml:space="preserve">, and the solution was incubated </w:t>
      </w:r>
      <w:r w:rsidRPr="00503884">
        <w:rPr>
          <w:color w:val="000000"/>
          <w:sz w:val="24"/>
        </w:rPr>
        <w:t>for 5 min. PBS was used to rinse</w:t>
      </w:r>
      <w:r>
        <w:rPr>
          <w:color w:val="000000"/>
          <w:sz w:val="24"/>
        </w:rPr>
        <w:t xml:space="preserve"> the</w:t>
      </w:r>
      <w:r w:rsidRPr="00503884">
        <w:rPr>
          <w:color w:val="000000"/>
          <w:sz w:val="24"/>
        </w:rPr>
        <w:t xml:space="preserve"> cells</w:t>
      </w:r>
      <w:r>
        <w:rPr>
          <w:color w:val="000000"/>
          <w:sz w:val="24"/>
        </w:rPr>
        <w:t>,</w:t>
      </w:r>
      <w:r w:rsidRPr="00503884">
        <w:rPr>
          <w:color w:val="000000"/>
          <w:sz w:val="24"/>
        </w:rPr>
        <w:t xml:space="preserve"> and then the sediment was mixed fully. </w:t>
      </w:r>
      <w:r>
        <w:rPr>
          <w:color w:val="000000"/>
          <w:sz w:val="24"/>
        </w:rPr>
        <w:t>Next</w:t>
      </w:r>
      <w:r w:rsidRPr="00503884">
        <w:rPr>
          <w:color w:val="000000"/>
          <w:sz w:val="24"/>
        </w:rPr>
        <w:t>, lysis buffer containing PMSF and RNAse</w:t>
      </w:r>
      <w:r w:rsidRPr="008F4037">
        <w:rPr>
          <w:color w:val="000000"/>
          <w:sz w:val="24"/>
        </w:rPr>
        <w:t xml:space="preserve"> </w:t>
      </w:r>
      <w:r w:rsidRPr="00503884">
        <w:rPr>
          <w:color w:val="000000"/>
          <w:sz w:val="24"/>
        </w:rPr>
        <w:t>inhibitor w</w:t>
      </w:r>
      <w:r>
        <w:rPr>
          <w:color w:val="000000"/>
          <w:sz w:val="24"/>
        </w:rPr>
        <w:t>as</w:t>
      </w:r>
      <w:r w:rsidRPr="00503884">
        <w:rPr>
          <w:color w:val="000000"/>
          <w:sz w:val="24"/>
        </w:rPr>
        <w:t xml:space="preserve"> added</w:t>
      </w:r>
      <w:r>
        <w:rPr>
          <w:color w:val="000000"/>
          <w:sz w:val="24"/>
        </w:rPr>
        <w:t>, and the solution was</w:t>
      </w:r>
      <w:r w:rsidRPr="00503884">
        <w:rPr>
          <w:color w:val="000000"/>
          <w:sz w:val="24"/>
        </w:rPr>
        <w:t xml:space="preserve"> put on ice for ultraso</w:t>
      </w:r>
      <w:r>
        <w:rPr>
          <w:color w:val="000000"/>
          <w:sz w:val="24"/>
        </w:rPr>
        <w:t>nication.</w:t>
      </w:r>
      <w:r w:rsidRPr="00503884">
        <w:rPr>
          <w:color w:val="000000"/>
          <w:sz w:val="24"/>
        </w:rPr>
        <w:t xml:space="preserve"> </w:t>
      </w:r>
      <w:r>
        <w:rPr>
          <w:color w:val="000000"/>
          <w:sz w:val="24"/>
        </w:rPr>
        <w:t>T</w:t>
      </w:r>
      <w:r w:rsidRPr="00503884">
        <w:rPr>
          <w:color w:val="000000"/>
          <w:sz w:val="24"/>
        </w:rPr>
        <w:t xml:space="preserve">he </w:t>
      </w:r>
      <w:r>
        <w:rPr>
          <w:color w:val="000000"/>
          <w:sz w:val="24"/>
        </w:rPr>
        <w:t>supernatant contained</w:t>
      </w:r>
      <w:r w:rsidRPr="00503884">
        <w:rPr>
          <w:color w:val="000000"/>
          <w:sz w:val="24"/>
        </w:rPr>
        <w:t xml:space="preserve"> the chromatin sample.</w:t>
      </w:r>
      <w:r w:rsidRPr="00503884">
        <w:rPr>
          <w:color w:val="222222"/>
          <w:sz w:val="24"/>
          <w:shd w:val="clear" w:color="auto" w:fill="FFFFFF"/>
        </w:rPr>
        <w:t xml:space="preserve"> Hybridization buffer was added into chromatin samples with protease inhibitor, PMSF</w:t>
      </w:r>
      <w:r>
        <w:rPr>
          <w:color w:val="222222"/>
          <w:sz w:val="24"/>
          <w:shd w:val="clear" w:color="auto" w:fill="FFFFFF"/>
        </w:rPr>
        <w:t>,</w:t>
      </w:r>
      <w:r w:rsidRPr="00503884">
        <w:rPr>
          <w:color w:val="222222"/>
          <w:sz w:val="24"/>
          <w:shd w:val="clear" w:color="auto" w:fill="FFFFFF"/>
        </w:rPr>
        <w:t xml:space="preserve"> and RNAse inhibitor. Probes (</w:t>
      </w:r>
      <w:r w:rsidRPr="00503884">
        <w:rPr>
          <w:sz w:val="24"/>
        </w:rPr>
        <w:t xml:space="preserve">Ribo </w:t>
      </w:r>
      <w:r>
        <w:rPr>
          <w:sz w:val="24"/>
        </w:rPr>
        <w:t>B</w:t>
      </w:r>
      <w:r w:rsidRPr="00503884">
        <w:rPr>
          <w:sz w:val="24"/>
        </w:rPr>
        <w:t xml:space="preserve">iology, China) </w:t>
      </w:r>
      <w:r w:rsidRPr="00503884">
        <w:rPr>
          <w:color w:val="222222"/>
          <w:sz w:val="24"/>
          <w:shd w:val="clear" w:color="auto" w:fill="FFFFFF"/>
        </w:rPr>
        <w:t xml:space="preserve">were added at </w:t>
      </w:r>
      <w:r w:rsidRPr="00503884">
        <w:rPr>
          <w:color w:val="000000"/>
          <w:sz w:val="24"/>
        </w:rPr>
        <w:t>100 nmol/L</w:t>
      </w:r>
      <w:r w:rsidRPr="00503884">
        <w:rPr>
          <w:color w:val="222222"/>
          <w:sz w:val="24"/>
          <w:shd w:val="clear" w:color="auto" w:fill="FFFFFF"/>
        </w:rPr>
        <w:t xml:space="preserve"> and then incubated with shaking for 4 h.</w:t>
      </w:r>
      <w:r w:rsidRPr="00503884">
        <w:rPr>
          <w:color w:val="000000"/>
          <w:sz w:val="24"/>
        </w:rPr>
        <w:t xml:space="preserve"> In the last 30 min of incubation, </w:t>
      </w:r>
      <w:r w:rsidRPr="00503884">
        <w:rPr>
          <w:color w:val="333333"/>
          <w:sz w:val="24"/>
          <w:shd w:val="clear" w:color="auto" w:fill="FFFFFF"/>
        </w:rPr>
        <w:t xml:space="preserve">C-1 </w:t>
      </w:r>
      <w:r w:rsidRPr="00503884">
        <w:rPr>
          <w:sz w:val="24"/>
        </w:rPr>
        <w:t xml:space="preserve">magnetic </w:t>
      </w:r>
      <w:r w:rsidRPr="00503884">
        <w:rPr>
          <w:color w:val="333333"/>
          <w:sz w:val="24"/>
          <w:shd w:val="clear" w:color="auto" w:fill="FFFFFF"/>
        </w:rPr>
        <w:t>beads (</w:t>
      </w:r>
      <w:r w:rsidRPr="00503884">
        <w:rPr>
          <w:sz w:val="24"/>
        </w:rPr>
        <w:t>Thermo Fisher Scientific, USA</w:t>
      </w:r>
      <w:r w:rsidRPr="00503884">
        <w:rPr>
          <w:color w:val="333333"/>
          <w:sz w:val="24"/>
          <w:shd w:val="clear" w:color="auto" w:fill="FFFFFF"/>
        </w:rPr>
        <w:t xml:space="preserve">) were added at </w:t>
      </w:r>
      <w:r w:rsidRPr="00503884">
        <w:rPr>
          <w:color w:val="000000"/>
          <w:sz w:val="24"/>
        </w:rPr>
        <w:t xml:space="preserve">100 </w:t>
      </w:r>
      <w:r>
        <w:rPr>
          <w:color w:val="000000"/>
          <w:sz w:val="24"/>
        </w:rPr>
        <w:t>µL</w:t>
      </w:r>
      <w:r w:rsidRPr="00503884">
        <w:rPr>
          <w:color w:val="333333"/>
          <w:sz w:val="24"/>
          <w:shd w:val="clear" w:color="auto" w:fill="FFFFFF"/>
        </w:rPr>
        <w:t xml:space="preserve"> </w:t>
      </w:r>
      <w:r w:rsidRPr="00503884">
        <w:rPr>
          <w:color w:val="000000"/>
          <w:sz w:val="24"/>
        </w:rPr>
        <w:t xml:space="preserve">per 100 pmol </w:t>
      </w:r>
      <w:r>
        <w:rPr>
          <w:color w:val="000000"/>
          <w:sz w:val="24"/>
        </w:rPr>
        <w:t xml:space="preserve">of </w:t>
      </w:r>
      <w:r w:rsidRPr="00503884">
        <w:rPr>
          <w:color w:val="000000"/>
          <w:sz w:val="24"/>
        </w:rPr>
        <w:t>probe, and then washed</w:t>
      </w:r>
      <w:r>
        <w:rPr>
          <w:color w:val="000000"/>
          <w:sz w:val="24"/>
        </w:rPr>
        <w:t xml:space="preserve"> three times</w:t>
      </w:r>
      <w:r w:rsidRPr="00503884">
        <w:rPr>
          <w:color w:val="000000"/>
          <w:sz w:val="24"/>
        </w:rPr>
        <w:t xml:space="preserve"> with 1</w:t>
      </w:r>
      <w:r>
        <w:rPr>
          <w:color w:val="000000"/>
          <w:sz w:val="24"/>
        </w:rPr>
        <w:t xml:space="preserve"> </w:t>
      </w:r>
      <w:r w:rsidRPr="00503884">
        <w:rPr>
          <w:color w:val="000000"/>
          <w:sz w:val="24"/>
        </w:rPr>
        <w:t>m</w:t>
      </w:r>
      <w:r>
        <w:rPr>
          <w:color w:val="000000"/>
          <w:sz w:val="24"/>
        </w:rPr>
        <w:t>L of</w:t>
      </w:r>
      <w:r w:rsidRPr="00503884">
        <w:rPr>
          <w:color w:val="000000"/>
          <w:sz w:val="24"/>
        </w:rPr>
        <w:t xml:space="preserve"> lysis buffer. After </w:t>
      </w:r>
      <w:r>
        <w:rPr>
          <w:color w:val="000000"/>
          <w:sz w:val="24"/>
        </w:rPr>
        <w:t xml:space="preserve">the </w:t>
      </w:r>
      <w:r w:rsidRPr="00503884">
        <w:rPr>
          <w:color w:val="222222"/>
          <w:sz w:val="24"/>
          <w:shd w:val="clear" w:color="auto" w:fill="FFFFFF"/>
        </w:rPr>
        <w:t>hybridization reaction,</w:t>
      </w:r>
      <w:r w:rsidRPr="00503884">
        <w:rPr>
          <w:color w:val="333333"/>
          <w:sz w:val="24"/>
          <w:shd w:val="clear" w:color="auto" w:fill="FFFFFF"/>
        </w:rPr>
        <w:t xml:space="preserve"> C-1 </w:t>
      </w:r>
      <w:r w:rsidRPr="00503884">
        <w:rPr>
          <w:sz w:val="24"/>
        </w:rPr>
        <w:t xml:space="preserve">magnetic </w:t>
      </w:r>
      <w:r w:rsidRPr="00503884">
        <w:rPr>
          <w:color w:val="333333"/>
          <w:sz w:val="24"/>
          <w:shd w:val="clear" w:color="auto" w:fill="FFFFFF"/>
        </w:rPr>
        <w:t>beads were added proportionally,</w:t>
      </w:r>
      <w:r>
        <w:rPr>
          <w:color w:val="333333"/>
          <w:sz w:val="24"/>
          <w:shd w:val="clear" w:color="auto" w:fill="FFFFFF"/>
        </w:rPr>
        <w:t xml:space="preserve"> the mixture was</w:t>
      </w:r>
      <w:r w:rsidRPr="00503884">
        <w:rPr>
          <w:color w:val="222222"/>
          <w:sz w:val="24"/>
          <w:shd w:val="clear" w:color="auto" w:fill="FFFFFF"/>
        </w:rPr>
        <w:t xml:space="preserve"> incubated with shaking for </w:t>
      </w:r>
      <w:r w:rsidRPr="00503884">
        <w:rPr>
          <w:color w:val="000000"/>
          <w:sz w:val="24"/>
        </w:rPr>
        <w:t xml:space="preserve">30 min at room temperature, </w:t>
      </w:r>
      <w:r>
        <w:rPr>
          <w:color w:val="000000"/>
          <w:sz w:val="24"/>
        </w:rPr>
        <w:t>and then the beads were</w:t>
      </w:r>
      <w:r w:rsidRPr="00503884">
        <w:rPr>
          <w:color w:val="000000"/>
          <w:sz w:val="24"/>
        </w:rPr>
        <w:t xml:space="preserve"> washed several times. Finally, RNA was separated from </w:t>
      </w:r>
      <w:r>
        <w:rPr>
          <w:color w:val="000000"/>
          <w:sz w:val="24"/>
        </w:rPr>
        <w:t xml:space="preserve">the </w:t>
      </w:r>
      <w:r w:rsidRPr="00503884">
        <w:rPr>
          <w:color w:val="000000"/>
          <w:sz w:val="24"/>
        </w:rPr>
        <w:t xml:space="preserve">samples and tested </w:t>
      </w:r>
      <w:r>
        <w:rPr>
          <w:color w:val="000000"/>
          <w:sz w:val="24"/>
        </w:rPr>
        <w:t>by</w:t>
      </w:r>
      <w:r w:rsidRPr="00503884">
        <w:rPr>
          <w:color w:val="000000"/>
          <w:sz w:val="24"/>
        </w:rPr>
        <w:t xml:space="preserve"> qPCR to analyze the enrichment function of </w:t>
      </w:r>
      <w:r w:rsidRPr="00503884">
        <w:rPr>
          <w:sz w:val="24"/>
        </w:rPr>
        <w:t xml:space="preserve">miR-128 towards </w:t>
      </w:r>
      <w:r w:rsidRPr="00503884">
        <w:rPr>
          <w:rFonts w:eastAsia="微软雅黑"/>
          <w:sz w:val="24"/>
        </w:rPr>
        <w:t>lncRNA</w:t>
      </w:r>
      <w:r w:rsidRPr="00503884">
        <w:rPr>
          <w:sz w:val="24"/>
        </w:rPr>
        <w:t xml:space="preserve"> HULC.</w:t>
      </w:r>
      <w:r w:rsidRPr="00503884">
        <w:rPr>
          <w:color w:val="000000"/>
          <w:sz w:val="24"/>
        </w:rPr>
        <w:t xml:space="preserve"> </w:t>
      </w:r>
    </w:p>
    <w:p w14:paraId="33C539F4" w14:textId="77777777" w:rsidR="0033457B" w:rsidRPr="00503884" w:rsidRDefault="0033457B" w:rsidP="0033457B">
      <w:pPr>
        <w:autoSpaceDE w:val="0"/>
        <w:autoSpaceDN w:val="0"/>
        <w:adjustRightInd w:val="0"/>
        <w:spacing w:line="480" w:lineRule="auto"/>
        <w:ind w:left="360"/>
        <w:rPr>
          <w:bCs/>
          <w:kern w:val="0"/>
          <w:sz w:val="24"/>
        </w:rPr>
      </w:pPr>
    </w:p>
    <w:p w14:paraId="304D1B23" w14:textId="77777777" w:rsidR="0033457B" w:rsidRPr="005C158F" w:rsidRDefault="0033457B" w:rsidP="0033457B">
      <w:pPr>
        <w:autoSpaceDE w:val="0"/>
        <w:autoSpaceDN w:val="0"/>
        <w:adjustRightInd w:val="0"/>
        <w:spacing w:line="480" w:lineRule="auto"/>
        <w:rPr>
          <w:b/>
          <w:bCs/>
          <w:i/>
          <w:iCs/>
          <w:kern w:val="0"/>
          <w:sz w:val="24"/>
        </w:rPr>
      </w:pPr>
      <w:r w:rsidRPr="005C158F">
        <w:rPr>
          <w:b/>
          <w:bCs/>
          <w:i/>
          <w:iCs/>
          <w:kern w:val="0"/>
          <w:sz w:val="24"/>
        </w:rPr>
        <w:t>Database prediction</w:t>
      </w:r>
    </w:p>
    <w:p w14:paraId="1916CADC" w14:textId="77777777" w:rsidR="0033457B" w:rsidRPr="00503884" w:rsidRDefault="0033457B" w:rsidP="0033457B">
      <w:pPr>
        <w:spacing w:line="480" w:lineRule="auto"/>
        <w:rPr>
          <w:kern w:val="0"/>
          <w:sz w:val="24"/>
        </w:rPr>
      </w:pPr>
      <w:r w:rsidRPr="00503884">
        <w:rPr>
          <w:sz w:val="24"/>
        </w:rPr>
        <w:t xml:space="preserve">Protein samples were </w:t>
      </w:r>
      <w:r>
        <w:rPr>
          <w:sz w:val="24"/>
        </w:rPr>
        <w:t>mix</w:t>
      </w:r>
      <w:r w:rsidRPr="00503884">
        <w:rPr>
          <w:sz w:val="24"/>
        </w:rPr>
        <w:t>ed with lysis buffer, and the supernatant was used for protein concentration detection by</w:t>
      </w:r>
      <w:r>
        <w:rPr>
          <w:sz w:val="24"/>
        </w:rPr>
        <w:t xml:space="preserve"> a</w:t>
      </w:r>
      <w:r w:rsidRPr="00503884">
        <w:rPr>
          <w:sz w:val="24"/>
        </w:rPr>
        <w:t xml:space="preserve"> </w:t>
      </w:r>
      <w:r w:rsidRPr="00A91A0D">
        <w:rPr>
          <w:sz w:val="24"/>
        </w:rPr>
        <w:t>bicinchoninic acid assay</w:t>
      </w:r>
      <w:r w:rsidRPr="00503884">
        <w:rPr>
          <w:sz w:val="24"/>
        </w:rPr>
        <w:t xml:space="preserve"> kit. Then, the samples were </w:t>
      </w:r>
      <w:r>
        <w:rPr>
          <w:sz w:val="24"/>
        </w:rPr>
        <w:t>mix</w:t>
      </w:r>
      <w:r w:rsidRPr="00503884">
        <w:rPr>
          <w:sz w:val="24"/>
        </w:rPr>
        <w:t>ed with</w:t>
      </w:r>
      <w:r w:rsidRPr="00503884">
        <w:rPr>
          <w:i/>
          <w:sz w:val="24"/>
        </w:rPr>
        <w:t xml:space="preserve"> </w:t>
      </w:r>
      <w:r w:rsidRPr="00503884">
        <w:rPr>
          <w:rStyle w:val="a6"/>
          <w:i w:val="0"/>
          <w:color w:val="000000"/>
          <w:sz w:val="24"/>
          <w:shd w:val="clear" w:color="auto" w:fill="FFFFFF"/>
        </w:rPr>
        <w:t>dithiothreitol and</w:t>
      </w:r>
      <w:r w:rsidRPr="00503884">
        <w:rPr>
          <w:rStyle w:val="a6"/>
          <w:i w:val="0"/>
          <w:color w:val="CC0000"/>
          <w:sz w:val="24"/>
          <w:shd w:val="clear" w:color="auto" w:fill="FFFFFF"/>
        </w:rPr>
        <w:t xml:space="preserve"> </w:t>
      </w:r>
      <w:r w:rsidRPr="00503884">
        <w:rPr>
          <w:color w:val="333333"/>
          <w:sz w:val="24"/>
          <w:shd w:val="clear" w:color="auto" w:fill="FFFFFF"/>
        </w:rPr>
        <w:t>2-iodoacetamide</w:t>
      </w:r>
      <w:r>
        <w:rPr>
          <w:color w:val="333333"/>
          <w:sz w:val="24"/>
          <w:shd w:val="clear" w:color="auto" w:fill="FFFFFF"/>
        </w:rPr>
        <w:t>, and the solution was</w:t>
      </w:r>
      <w:r w:rsidRPr="00503884">
        <w:rPr>
          <w:sz w:val="24"/>
        </w:rPr>
        <w:t xml:space="preserve"> incubat</w:t>
      </w:r>
      <w:r>
        <w:rPr>
          <w:sz w:val="24"/>
        </w:rPr>
        <w:t>ed</w:t>
      </w:r>
      <w:r w:rsidRPr="00503884">
        <w:rPr>
          <w:sz w:val="24"/>
        </w:rPr>
        <w:t xml:space="preserve"> for 15 min</w:t>
      </w:r>
      <w:r w:rsidRPr="00503884">
        <w:rPr>
          <w:i/>
          <w:sz w:val="24"/>
        </w:rPr>
        <w:t>.</w:t>
      </w:r>
      <w:r w:rsidRPr="00503884">
        <w:rPr>
          <w:sz w:val="24"/>
        </w:rPr>
        <w:t xml:space="preserve"> Next, trysin solution</w:t>
      </w:r>
      <w:r>
        <w:rPr>
          <w:sz w:val="24"/>
        </w:rPr>
        <w:t xml:space="preserve"> </w:t>
      </w:r>
      <w:r w:rsidRPr="00503884">
        <w:rPr>
          <w:sz w:val="24"/>
        </w:rPr>
        <w:t>w</w:t>
      </w:r>
      <w:r>
        <w:rPr>
          <w:sz w:val="24"/>
        </w:rPr>
        <w:t>as</w:t>
      </w:r>
      <w:r w:rsidRPr="00503884">
        <w:rPr>
          <w:sz w:val="24"/>
        </w:rPr>
        <w:t xml:space="preserve"> added to the samples</w:t>
      </w:r>
      <w:r>
        <w:rPr>
          <w:sz w:val="24"/>
        </w:rPr>
        <w:t>, and the mixture was incubated</w:t>
      </w:r>
      <w:r w:rsidRPr="00503884">
        <w:rPr>
          <w:sz w:val="24"/>
        </w:rPr>
        <w:t xml:space="preserve"> overnight at 37℃. Labeled reagent and peptide were mixed and incubated for 2 h, demineralized</w:t>
      </w:r>
      <w:r>
        <w:rPr>
          <w:sz w:val="24"/>
        </w:rPr>
        <w:t>,</w:t>
      </w:r>
      <w:r w:rsidRPr="00503884">
        <w:rPr>
          <w:sz w:val="24"/>
        </w:rPr>
        <w:t xml:space="preserve"> and vacuum</w:t>
      </w:r>
      <w:r>
        <w:rPr>
          <w:sz w:val="24"/>
        </w:rPr>
        <w:t>-</w:t>
      </w:r>
      <w:r w:rsidRPr="00503884">
        <w:rPr>
          <w:sz w:val="24"/>
        </w:rPr>
        <w:t>freeze dr</w:t>
      </w:r>
      <w:r>
        <w:rPr>
          <w:sz w:val="24"/>
        </w:rPr>
        <w:t>ied,</w:t>
      </w:r>
      <w:r w:rsidRPr="00503884">
        <w:rPr>
          <w:sz w:val="24"/>
        </w:rPr>
        <w:t xml:space="preserve"> according to the</w:t>
      </w:r>
      <w:r>
        <w:rPr>
          <w:sz w:val="24"/>
        </w:rPr>
        <w:t xml:space="preserve"> instructions provided in the</w:t>
      </w:r>
      <w:r w:rsidRPr="00503884">
        <w:rPr>
          <w:sz w:val="24"/>
        </w:rPr>
        <w:t xml:space="preserve"> TMT kit (T</w:t>
      </w:r>
      <w:r>
        <w:rPr>
          <w:sz w:val="24"/>
        </w:rPr>
        <w:t>h</w:t>
      </w:r>
      <w:r w:rsidRPr="00503884">
        <w:rPr>
          <w:sz w:val="24"/>
        </w:rPr>
        <w:t>ermo Fisher Scientifc, USA).</w:t>
      </w:r>
    </w:p>
    <w:p w14:paraId="1A7115CB" w14:textId="77777777" w:rsidR="0033457B" w:rsidRPr="00503884" w:rsidRDefault="0033457B" w:rsidP="0033457B">
      <w:pPr>
        <w:spacing w:line="480" w:lineRule="auto"/>
        <w:ind w:firstLineChars="300" w:firstLine="720"/>
        <w:rPr>
          <w:rFonts w:eastAsia="等线"/>
          <w:sz w:val="24"/>
        </w:rPr>
      </w:pPr>
      <w:r>
        <w:rPr>
          <w:sz w:val="24"/>
        </w:rPr>
        <w:t>Next</w:t>
      </w:r>
      <w:r w:rsidRPr="00503884">
        <w:rPr>
          <w:sz w:val="24"/>
        </w:rPr>
        <w:t xml:space="preserve">, </w:t>
      </w:r>
      <w:r>
        <w:rPr>
          <w:sz w:val="24"/>
        </w:rPr>
        <w:t>an</w:t>
      </w:r>
      <w:r w:rsidRPr="00503884">
        <w:rPr>
          <w:sz w:val="24"/>
        </w:rPr>
        <w:t xml:space="preserve"> Agilent 300 Extend C18 reversed-phase column (5</w:t>
      </w:r>
      <w:r>
        <w:rPr>
          <w:sz w:val="24"/>
        </w:rPr>
        <w:t>-</w:t>
      </w:r>
      <w:r w:rsidRPr="00503884">
        <w:rPr>
          <w:sz w:val="24"/>
        </w:rPr>
        <w:t>μm granule</w:t>
      </w:r>
      <w:r>
        <w:rPr>
          <w:sz w:val="24"/>
        </w:rPr>
        <w:t>s</w:t>
      </w:r>
      <w:r w:rsidRPr="00503884">
        <w:rPr>
          <w:sz w:val="24"/>
        </w:rPr>
        <w:t>, 4.6 mm in</w:t>
      </w:r>
      <w:r>
        <w:rPr>
          <w:sz w:val="24"/>
        </w:rPr>
        <w:t>ner diameter</w:t>
      </w:r>
      <w:r w:rsidRPr="00503884">
        <w:rPr>
          <w:sz w:val="24"/>
        </w:rPr>
        <w:t xml:space="preserve">, 250 mm in length) </w:t>
      </w:r>
      <w:r>
        <w:rPr>
          <w:sz w:val="24"/>
        </w:rPr>
        <w:t xml:space="preserve">was used </w:t>
      </w:r>
      <w:r w:rsidRPr="00503884">
        <w:rPr>
          <w:sz w:val="24"/>
        </w:rPr>
        <w:t xml:space="preserve">to </w:t>
      </w:r>
      <w:r>
        <w:rPr>
          <w:sz w:val="24"/>
        </w:rPr>
        <w:t>separate</w:t>
      </w:r>
      <w:r w:rsidRPr="00503884">
        <w:rPr>
          <w:sz w:val="24"/>
        </w:rPr>
        <w:t xml:space="preserve"> peptides </w:t>
      </w:r>
      <w:r>
        <w:rPr>
          <w:sz w:val="24"/>
        </w:rPr>
        <w:t>by</w:t>
      </w:r>
      <w:r w:rsidRPr="00503884">
        <w:rPr>
          <w:sz w:val="24"/>
        </w:rPr>
        <w:t xml:space="preserve"> high</w:t>
      </w:r>
      <w:r>
        <w:rPr>
          <w:sz w:val="24"/>
        </w:rPr>
        <w:t>-</w:t>
      </w:r>
      <w:r w:rsidRPr="00503884">
        <w:rPr>
          <w:sz w:val="24"/>
        </w:rPr>
        <w:t xml:space="preserve">performance liquid chromatography. </w:t>
      </w:r>
      <w:r>
        <w:rPr>
          <w:sz w:val="24"/>
        </w:rPr>
        <w:t>The p</w:t>
      </w:r>
      <w:r w:rsidRPr="00503884">
        <w:rPr>
          <w:sz w:val="24"/>
        </w:rPr>
        <w:t xml:space="preserve">eptides were divided into 60 fractions with </w:t>
      </w:r>
      <w:r>
        <w:rPr>
          <w:sz w:val="24"/>
        </w:rPr>
        <w:t xml:space="preserve">a </w:t>
      </w:r>
      <w:r w:rsidRPr="00503884">
        <w:rPr>
          <w:sz w:val="24"/>
        </w:rPr>
        <w:t xml:space="preserve">concentration gradient </w:t>
      </w:r>
      <w:r>
        <w:rPr>
          <w:sz w:val="24"/>
        </w:rPr>
        <w:t>(</w:t>
      </w:r>
      <w:r w:rsidRPr="00503884">
        <w:rPr>
          <w:sz w:val="24"/>
        </w:rPr>
        <w:t>8</w:t>
      </w:r>
      <w:r>
        <w:rPr>
          <w:sz w:val="24"/>
        </w:rPr>
        <w:t>–</w:t>
      </w:r>
      <w:r w:rsidRPr="00503884">
        <w:rPr>
          <w:sz w:val="24"/>
        </w:rPr>
        <w:t>32%</w:t>
      </w:r>
      <w:r>
        <w:rPr>
          <w:sz w:val="24"/>
        </w:rPr>
        <w:t xml:space="preserve">) </w:t>
      </w:r>
      <w:r w:rsidRPr="00503884">
        <w:rPr>
          <w:sz w:val="24"/>
        </w:rPr>
        <w:t xml:space="preserve">of acetonitrile (pH 9.0) </w:t>
      </w:r>
      <w:r>
        <w:rPr>
          <w:sz w:val="24"/>
        </w:rPr>
        <w:t>in</w:t>
      </w:r>
      <w:r w:rsidRPr="00503884">
        <w:rPr>
          <w:sz w:val="24"/>
        </w:rPr>
        <w:t xml:space="preserve"> </w:t>
      </w:r>
      <w:r>
        <w:rPr>
          <w:sz w:val="24"/>
        </w:rPr>
        <w:t>1</w:t>
      </w:r>
      <w:r w:rsidRPr="00503884">
        <w:rPr>
          <w:sz w:val="24"/>
        </w:rPr>
        <w:t xml:space="preserve"> h, then combined into </w:t>
      </w:r>
      <w:r>
        <w:rPr>
          <w:sz w:val="24"/>
        </w:rPr>
        <w:t>nine</w:t>
      </w:r>
      <w:r w:rsidRPr="00503884">
        <w:rPr>
          <w:sz w:val="24"/>
        </w:rPr>
        <w:t xml:space="preserve"> gr</w:t>
      </w:r>
      <w:r>
        <w:rPr>
          <w:sz w:val="24"/>
        </w:rPr>
        <w:t>oup</w:t>
      </w:r>
      <w:r w:rsidRPr="00503884">
        <w:rPr>
          <w:sz w:val="24"/>
        </w:rPr>
        <w:t xml:space="preserve">s for </w:t>
      </w:r>
      <w:r>
        <w:rPr>
          <w:sz w:val="24"/>
        </w:rPr>
        <w:t>rotary evaporation</w:t>
      </w:r>
      <w:r w:rsidRPr="00503884">
        <w:rPr>
          <w:sz w:val="24"/>
        </w:rPr>
        <w:t>.</w:t>
      </w:r>
    </w:p>
    <w:p w14:paraId="7F5DC53D" w14:textId="77777777" w:rsidR="0033457B" w:rsidRPr="00503884" w:rsidRDefault="0033457B" w:rsidP="0033457B">
      <w:pPr>
        <w:spacing w:line="480" w:lineRule="auto"/>
        <w:ind w:firstLineChars="300" w:firstLine="720"/>
        <w:rPr>
          <w:sz w:val="24"/>
        </w:rPr>
      </w:pPr>
      <w:r w:rsidRPr="00503884">
        <w:rPr>
          <w:sz w:val="24"/>
        </w:rPr>
        <w:t>The peptides were mixed with 0.1% formic acid and 2% acetonitrile,</w:t>
      </w:r>
      <w:r>
        <w:rPr>
          <w:sz w:val="24"/>
        </w:rPr>
        <w:t xml:space="preserve"> and</w:t>
      </w:r>
      <w:r w:rsidRPr="00503884">
        <w:rPr>
          <w:sz w:val="24"/>
        </w:rPr>
        <w:t xml:space="preserve"> then separated by </w:t>
      </w:r>
      <w:r>
        <w:rPr>
          <w:sz w:val="24"/>
        </w:rPr>
        <w:t xml:space="preserve">an </w:t>
      </w:r>
      <w:r w:rsidRPr="00503884">
        <w:rPr>
          <w:sz w:val="24"/>
        </w:rPr>
        <w:t xml:space="preserve">EASY-nLC 1000 system (Thermo Fisher Scientific, USA). </w:t>
      </w:r>
      <w:r>
        <w:rPr>
          <w:sz w:val="24"/>
        </w:rPr>
        <w:t>T</w:t>
      </w:r>
      <w:r w:rsidRPr="00503884">
        <w:rPr>
          <w:sz w:val="24"/>
        </w:rPr>
        <w:t xml:space="preserve">he mixture </w:t>
      </w:r>
      <w:r>
        <w:rPr>
          <w:sz w:val="24"/>
        </w:rPr>
        <w:t>containing</w:t>
      </w:r>
      <w:r w:rsidRPr="00503884">
        <w:rPr>
          <w:sz w:val="24"/>
        </w:rPr>
        <w:t xml:space="preserve"> 0.1% formic acid and 2% acetonitrile</w:t>
      </w:r>
      <w:r>
        <w:rPr>
          <w:sz w:val="24"/>
        </w:rPr>
        <w:t xml:space="preserve"> was named </w:t>
      </w:r>
      <w:r w:rsidRPr="00503884">
        <w:rPr>
          <w:sz w:val="24"/>
        </w:rPr>
        <w:t xml:space="preserve">Solution S, </w:t>
      </w:r>
      <w:r>
        <w:rPr>
          <w:sz w:val="24"/>
        </w:rPr>
        <w:t>and the</w:t>
      </w:r>
      <w:r w:rsidRPr="00503884">
        <w:rPr>
          <w:sz w:val="24"/>
        </w:rPr>
        <w:t xml:space="preserve"> liquid phase gradient was set as</w:t>
      </w:r>
      <w:r>
        <w:rPr>
          <w:sz w:val="24"/>
        </w:rPr>
        <w:t xml:space="preserve"> follows</w:t>
      </w:r>
      <w:r w:rsidRPr="00503884">
        <w:rPr>
          <w:sz w:val="24"/>
        </w:rPr>
        <w:t>: 8</w:t>
      </w:r>
      <w:r>
        <w:rPr>
          <w:sz w:val="24"/>
        </w:rPr>
        <w:t>–</w:t>
      </w:r>
      <w:r w:rsidRPr="00503884">
        <w:rPr>
          <w:sz w:val="24"/>
        </w:rPr>
        <w:t>16% S (0</w:t>
      </w:r>
      <w:r>
        <w:rPr>
          <w:sz w:val="24"/>
        </w:rPr>
        <w:t>–</w:t>
      </w:r>
      <w:r w:rsidRPr="00503884">
        <w:rPr>
          <w:sz w:val="24"/>
        </w:rPr>
        <w:t>30 min), 16</w:t>
      </w:r>
      <w:r>
        <w:rPr>
          <w:sz w:val="24"/>
        </w:rPr>
        <w:t>–</w:t>
      </w:r>
      <w:r w:rsidRPr="00503884">
        <w:rPr>
          <w:sz w:val="24"/>
        </w:rPr>
        <w:t>30% S (55</w:t>
      </w:r>
      <w:r>
        <w:rPr>
          <w:sz w:val="24"/>
        </w:rPr>
        <w:t>–</w:t>
      </w:r>
      <w:r w:rsidRPr="00503884">
        <w:rPr>
          <w:sz w:val="24"/>
        </w:rPr>
        <w:t xml:space="preserve">57 min), </w:t>
      </w:r>
      <w:r>
        <w:rPr>
          <w:sz w:val="24"/>
        </w:rPr>
        <w:t xml:space="preserve">and </w:t>
      </w:r>
      <w:r w:rsidRPr="00503884">
        <w:rPr>
          <w:sz w:val="24"/>
        </w:rPr>
        <w:t>30</w:t>
      </w:r>
      <w:r>
        <w:rPr>
          <w:sz w:val="24"/>
        </w:rPr>
        <w:t>–</w:t>
      </w:r>
      <w:r w:rsidRPr="00503884">
        <w:rPr>
          <w:sz w:val="24"/>
        </w:rPr>
        <w:t>80% S (57</w:t>
      </w:r>
      <w:r>
        <w:rPr>
          <w:sz w:val="24"/>
        </w:rPr>
        <w:t>–</w:t>
      </w:r>
      <w:r w:rsidRPr="00503884">
        <w:rPr>
          <w:sz w:val="24"/>
        </w:rPr>
        <w:t>60 min)</w:t>
      </w:r>
      <w:r>
        <w:rPr>
          <w:sz w:val="24"/>
        </w:rPr>
        <w:t>,</w:t>
      </w:r>
      <w:r w:rsidRPr="00503884">
        <w:rPr>
          <w:sz w:val="24"/>
        </w:rPr>
        <w:t xml:space="preserve"> with </w:t>
      </w:r>
      <w:r>
        <w:rPr>
          <w:sz w:val="24"/>
        </w:rPr>
        <w:t xml:space="preserve">a </w:t>
      </w:r>
      <w:r w:rsidRPr="00503884">
        <w:rPr>
          <w:sz w:val="24"/>
        </w:rPr>
        <w:t xml:space="preserve">constant flow </w:t>
      </w:r>
      <w:r>
        <w:rPr>
          <w:sz w:val="24"/>
        </w:rPr>
        <w:t>rate of</w:t>
      </w:r>
      <w:r w:rsidRPr="00503884">
        <w:rPr>
          <w:sz w:val="24"/>
        </w:rPr>
        <w:t xml:space="preserve"> 400 n</w:t>
      </w:r>
      <w:r>
        <w:rPr>
          <w:sz w:val="24"/>
        </w:rPr>
        <w:t>L</w:t>
      </w:r>
      <w:r w:rsidRPr="00503884">
        <w:rPr>
          <w:sz w:val="24"/>
        </w:rPr>
        <w:t>/min. Next</w:t>
      </w:r>
      <w:r>
        <w:rPr>
          <w:sz w:val="24"/>
        </w:rPr>
        <w:t>,</w:t>
      </w:r>
      <w:r w:rsidRPr="00503884">
        <w:rPr>
          <w:sz w:val="24"/>
        </w:rPr>
        <w:t xml:space="preserve"> the peptides were injected into</w:t>
      </w:r>
      <w:r>
        <w:rPr>
          <w:sz w:val="24"/>
        </w:rPr>
        <w:t xml:space="preserve"> an </w:t>
      </w:r>
      <w:r w:rsidRPr="00503884">
        <w:rPr>
          <w:sz w:val="24"/>
        </w:rPr>
        <w:t>Orbitrap Fusion Lumos high-resolution mass spectrometer (T</w:t>
      </w:r>
      <w:r>
        <w:rPr>
          <w:sz w:val="24"/>
        </w:rPr>
        <w:t>h</w:t>
      </w:r>
      <w:r w:rsidRPr="00503884">
        <w:rPr>
          <w:sz w:val="24"/>
        </w:rPr>
        <w:t>ermo Fisher Scientif</w:t>
      </w:r>
      <w:r>
        <w:rPr>
          <w:sz w:val="24"/>
        </w:rPr>
        <w:t>i</w:t>
      </w:r>
      <w:r w:rsidRPr="00503884">
        <w:rPr>
          <w:sz w:val="24"/>
        </w:rPr>
        <w:t>c, USA)</w:t>
      </w:r>
      <w:r>
        <w:rPr>
          <w:sz w:val="24"/>
        </w:rPr>
        <w:t xml:space="preserve"> for</w:t>
      </w:r>
      <w:r w:rsidRPr="00503884">
        <w:rPr>
          <w:sz w:val="24"/>
        </w:rPr>
        <w:t xml:space="preserve"> nanospray ionization,</w:t>
      </w:r>
      <w:r>
        <w:rPr>
          <w:sz w:val="24"/>
        </w:rPr>
        <w:t xml:space="preserve"> and</w:t>
      </w:r>
      <w:r w:rsidRPr="00503884">
        <w:rPr>
          <w:sz w:val="24"/>
        </w:rPr>
        <w:t xml:space="preserve"> the precursor ions and the secondary fragments of the peptides were detected and analyzed. The voltage of </w:t>
      </w:r>
      <w:r>
        <w:rPr>
          <w:sz w:val="24"/>
        </w:rPr>
        <w:t xml:space="preserve">the </w:t>
      </w:r>
      <w:r w:rsidRPr="00503884">
        <w:rPr>
          <w:sz w:val="24"/>
        </w:rPr>
        <w:t xml:space="preserve">electrospray was 2.0 kV. The scan scale was 350 </w:t>
      </w:r>
      <w:r w:rsidRPr="005C158F">
        <w:rPr>
          <w:i/>
          <w:iCs/>
          <w:sz w:val="24"/>
        </w:rPr>
        <w:t>m/z</w:t>
      </w:r>
      <w:r w:rsidRPr="00503884">
        <w:rPr>
          <w:sz w:val="24"/>
        </w:rPr>
        <w:t xml:space="preserve"> to 1550 </w:t>
      </w:r>
      <w:r w:rsidRPr="005C158F">
        <w:rPr>
          <w:i/>
          <w:iCs/>
          <w:sz w:val="24"/>
        </w:rPr>
        <w:t>m/z</w:t>
      </w:r>
      <w:r w:rsidRPr="00503884">
        <w:rPr>
          <w:sz w:val="24"/>
        </w:rPr>
        <w:t xml:space="preserve"> for </w:t>
      </w:r>
      <w:r>
        <w:rPr>
          <w:sz w:val="24"/>
        </w:rPr>
        <w:t xml:space="preserve">the </w:t>
      </w:r>
      <w:r w:rsidRPr="00503884">
        <w:rPr>
          <w:sz w:val="24"/>
        </w:rPr>
        <w:t>MS scan with</w:t>
      </w:r>
      <w:r>
        <w:rPr>
          <w:sz w:val="24"/>
        </w:rPr>
        <w:t xml:space="preserve"> a</w:t>
      </w:r>
      <w:r w:rsidRPr="00503884">
        <w:rPr>
          <w:sz w:val="24"/>
        </w:rPr>
        <w:t xml:space="preserve"> resolution </w:t>
      </w:r>
      <w:r>
        <w:rPr>
          <w:sz w:val="24"/>
        </w:rPr>
        <w:t>of</w:t>
      </w:r>
      <w:r w:rsidRPr="00503884">
        <w:rPr>
          <w:sz w:val="24"/>
        </w:rPr>
        <w:t xml:space="preserve"> 6000, </w:t>
      </w:r>
      <w:r w:rsidRPr="00503884">
        <w:rPr>
          <w:sz w:val="24"/>
        </w:rPr>
        <w:lastRenderedPageBreak/>
        <w:t>while</w:t>
      </w:r>
      <w:r>
        <w:rPr>
          <w:sz w:val="24"/>
        </w:rPr>
        <w:t xml:space="preserve"> the</w:t>
      </w:r>
      <w:r w:rsidRPr="00503884">
        <w:rPr>
          <w:sz w:val="24"/>
        </w:rPr>
        <w:t xml:space="preserve"> fixed starting point was 100 </w:t>
      </w:r>
      <w:r w:rsidRPr="005C158F">
        <w:rPr>
          <w:i/>
          <w:iCs/>
          <w:sz w:val="24"/>
        </w:rPr>
        <w:t>m/z</w:t>
      </w:r>
      <w:r w:rsidRPr="00503884">
        <w:rPr>
          <w:sz w:val="24"/>
        </w:rPr>
        <w:t xml:space="preserve"> for </w:t>
      </w:r>
      <w:r>
        <w:rPr>
          <w:sz w:val="24"/>
        </w:rPr>
        <w:t xml:space="preserve">the </w:t>
      </w:r>
      <w:r w:rsidRPr="00503884">
        <w:rPr>
          <w:sz w:val="24"/>
        </w:rPr>
        <w:t xml:space="preserve">MS/MS scan with </w:t>
      </w:r>
      <w:r>
        <w:rPr>
          <w:sz w:val="24"/>
        </w:rPr>
        <w:t xml:space="preserve">a </w:t>
      </w:r>
      <w:r w:rsidRPr="00503884">
        <w:rPr>
          <w:sz w:val="24"/>
        </w:rPr>
        <w:t xml:space="preserve">resolution </w:t>
      </w:r>
      <w:r>
        <w:rPr>
          <w:sz w:val="24"/>
        </w:rPr>
        <w:t>of</w:t>
      </w:r>
      <w:r w:rsidRPr="00503884">
        <w:rPr>
          <w:sz w:val="24"/>
        </w:rPr>
        <w:t xml:space="preserve"> 15</w:t>
      </w:r>
      <w:r>
        <w:rPr>
          <w:sz w:val="24"/>
        </w:rPr>
        <w:t>,</w:t>
      </w:r>
      <w:r w:rsidRPr="00503884">
        <w:rPr>
          <w:sz w:val="24"/>
        </w:rPr>
        <w:t>000. Acqui</w:t>
      </w:r>
      <w:r>
        <w:rPr>
          <w:sz w:val="24"/>
        </w:rPr>
        <w:t>sition</w:t>
      </w:r>
      <w:r w:rsidRPr="00503884">
        <w:rPr>
          <w:sz w:val="24"/>
        </w:rPr>
        <w:t xml:space="preserve"> of data was dependent on the data</w:t>
      </w:r>
      <w:r>
        <w:rPr>
          <w:sz w:val="24"/>
        </w:rPr>
        <w:t>-</w:t>
      </w:r>
      <w:r w:rsidRPr="00503884">
        <w:rPr>
          <w:sz w:val="24"/>
        </w:rPr>
        <w:t>dependent acquisition mode</w:t>
      </w:r>
      <w:r>
        <w:rPr>
          <w:sz w:val="24"/>
        </w:rPr>
        <w:t>,</w:t>
      </w:r>
      <w:r w:rsidRPr="00503884">
        <w:rPr>
          <w:sz w:val="24"/>
        </w:rPr>
        <w:t xml:space="preserve"> and MS/MS data w</w:t>
      </w:r>
      <w:r>
        <w:rPr>
          <w:sz w:val="24"/>
        </w:rPr>
        <w:t>ere</w:t>
      </w:r>
      <w:r w:rsidRPr="00503884">
        <w:rPr>
          <w:sz w:val="24"/>
        </w:rPr>
        <w:t xml:space="preserve"> handled by Maxquant (v.1.5.2.8). </w:t>
      </w:r>
      <w:r>
        <w:rPr>
          <w:sz w:val="24"/>
        </w:rPr>
        <w:t xml:space="preserve">The </w:t>
      </w:r>
      <w:r w:rsidRPr="00503884">
        <w:rPr>
          <w:sz w:val="24"/>
        </w:rPr>
        <w:t xml:space="preserve">MS/MS </w:t>
      </w:r>
      <w:r>
        <w:rPr>
          <w:sz w:val="24"/>
        </w:rPr>
        <w:t xml:space="preserve">peaks were searched in the </w:t>
      </w:r>
      <w:r w:rsidRPr="00503884">
        <w:rPr>
          <w:sz w:val="24"/>
        </w:rPr>
        <w:t>SwissProt Human database (containing 20317 sequences). Trypsin/P was defined as</w:t>
      </w:r>
      <w:r>
        <w:rPr>
          <w:sz w:val="24"/>
        </w:rPr>
        <w:t xml:space="preserve"> the</w:t>
      </w:r>
      <w:r w:rsidRPr="00503884">
        <w:rPr>
          <w:sz w:val="24"/>
        </w:rPr>
        <w:t xml:space="preserve"> restriction enzyme</w:t>
      </w:r>
      <w:r>
        <w:rPr>
          <w:sz w:val="24"/>
        </w:rPr>
        <w:t>,</w:t>
      </w:r>
      <w:r w:rsidRPr="00503884">
        <w:rPr>
          <w:sz w:val="24"/>
        </w:rPr>
        <w:t xml:space="preserve"> with allowance </w:t>
      </w:r>
      <w:r>
        <w:rPr>
          <w:sz w:val="24"/>
        </w:rPr>
        <w:t>of two</w:t>
      </w:r>
      <w:r w:rsidRPr="00503884">
        <w:rPr>
          <w:sz w:val="24"/>
        </w:rPr>
        <w:t xml:space="preserve"> missing cutting sites. </w:t>
      </w:r>
      <w:r>
        <w:rPr>
          <w:sz w:val="24"/>
        </w:rPr>
        <w:t>F</w:t>
      </w:r>
      <w:r w:rsidRPr="00503884">
        <w:rPr>
          <w:sz w:val="24"/>
        </w:rPr>
        <w:t>irst</w:t>
      </w:r>
      <w:r>
        <w:rPr>
          <w:sz w:val="24"/>
        </w:rPr>
        <w:t>,</w:t>
      </w:r>
      <w:r w:rsidRPr="00503884">
        <w:rPr>
          <w:sz w:val="24"/>
        </w:rPr>
        <w:t xml:space="preserve"> the maximum quality of precursor ions was 20 ppm. </w:t>
      </w:r>
      <w:r>
        <w:rPr>
          <w:sz w:val="24"/>
        </w:rPr>
        <w:t>The q</w:t>
      </w:r>
      <w:r w:rsidRPr="00503884">
        <w:rPr>
          <w:sz w:val="24"/>
        </w:rPr>
        <w:t xml:space="preserve">uantitative method was set as TMT-6plex to identify proteins and </w:t>
      </w:r>
      <w:r>
        <w:rPr>
          <w:sz w:val="24"/>
        </w:rPr>
        <w:t xml:space="preserve">to </w:t>
      </w:r>
      <w:r w:rsidRPr="00503884">
        <w:rPr>
          <w:sz w:val="24"/>
        </w:rPr>
        <w:t>make sure</w:t>
      </w:r>
      <w:r>
        <w:rPr>
          <w:sz w:val="24"/>
        </w:rPr>
        <w:t xml:space="preserve"> that</w:t>
      </w:r>
      <w:r w:rsidRPr="00503884">
        <w:rPr>
          <w:sz w:val="24"/>
        </w:rPr>
        <w:t xml:space="preserve"> the fal</w:t>
      </w:r>
      <w:r>
        <w:rPr>
          <w:sz w:val="24"/>
        </w:rPr>
        <w:t>se</w:t>
      </w:r>
      <w:r w:rsidRPr="00503884">
        <w:rPr>
          <w:sz w:val="24"/>
        </w:rPr>
        <w:t xml:space="preserve"> detection rate threshold of</w:t>
      </w:r>
      <w:r w:rsidRPr="00503884">
        <w:rPr>
          <w:color w:val="333333"/>
          <w:sz w:val="24"/>
          <w:shd w:val="clear" w:color="auto" w:fill="FFFFFF"/>
        </w:rPr>
        <w:t xml:space="preserve"> the peptide-spectrum matches </w:t>
      </w:r>
      <w:r>
        <w:rPr>
          <w:sz w:val="24"/>
        </w:rPr>
        <w:t>was</w:t>
      </w:r>
      <w:r w:rsidRPr="00503884">
        <w:rPr>
          <w:sz w:val="24"/>
        </w:rPr>
        <w:t xml:space="preserve"> </w:t>
      </w:r>
      <w:r>
        <w:rPr>
          <w:sz w:val="24"/>
        </w:rPr>
        <w:t>&lt;</w:t>
      </w:r>
      <w:r w:rsidRPr="00503884">
        <w:rPr>
          <w:sz w:val="24"/>
        </w:rPr>
        <w:t xml:space="preserve">1%. </w:t>
      </w:r>
    </w:p>
    <w:p w14:paraId="4B64B3B7" w14:textId="77777777" w:rsidR="0033457B" w:rsidRDefault="0033457B" w:rsidP="0033457B">
      <w:pPr>
        <w:spacing w:line="480" w:lineRule="auto"/>
        <w:ind w:firstLineChars="300" w:firstLine="720"/>
        <w:rPr>
          <w:rFonts w:eastAsia="微软雅黑"/>
          <w:sz w:val="24"/>
        </w:rPr>
      </w:pPr>
      <w:r>
        <w:rPr>
          <w:sz w:val="24"/>
        </w:rPr>
        <w:t xml:space="preserve">The </w:t>
      </w:r>
      <w:r w:rsidRPr="00503884">
        <w:rPr>
          <w:sz w:val="24"/>
        </w:rPr>
        <w:t>UniProt-GOA database (</w:t>
      </w:r>
      <w:hyperlink r:id="rId6" w:history="1">
        <w:r w:rsidRPr="00503884">
          <w:rPr>
            <w:rStyle w:val="a5"/>
            <w:sz w:val="24"/>
          </w:rPr>
          <w:t>www.http://www.ebi.ac.uk/GOA) was used to</w:t>
        </w:r>
      </w:hyperlink>
      <w:r w:rsidRPr="00503884">
        <w:rPr>
          <w:sz w:val="24"/>
        </w:rPr>
        <w:t xml:space="preserve"> classify </w:t>
      </w:r>
      <w:r>
        <w:rPr>
          <w:sz w:val="24"/>
        </w:rPr>
        <w:t xml:space="preserve">the </w:t>
      </w:r>
      <w:r w:rsidRPr="00503884">
        <w:rPr>
          <w:sz w:val="24"/>
        </w:rPr>
        <w:t xml:space="preserve">proteins into </w:t>
      </w:r>
      <w:r>
        <w:rPr>
          <w:sz w:val="24"/>
        </w:rPr>
        <w:t>three</w:t>
      </w:r>
      <w:r w:rsidRPr="00503884">
        <w:rPr>
          <w:sz w:val="24"/>
        </w:rPr>
        <w:t xml:space="preserve"> categories by Gene Ontology (GO) annotation: biological processes, cellular components, </w:t>
      </w:r>
      <w:r>
        <w:rPr>
          <w:sz w:val="24"/>
        </w:rPr>
        <w:t xml:space="preserve">and </w:t>
      </w:r>
      <w:r w:rsidRPr="00503884">
        <w:rPr>
          <w:sz w:val="24"/>
        </w:rPr>
        <w:t xml:space="preserve">molecular functions. </w:t>
      </w:r>
      <w:r>
        <w:rPr>
          <w:sz w:val="24"/>
        </w:rPr>
        <w:t xml:space="preserve">The </w:t>
      </w:r>
      <w:r w:rsidRPr="00503884">
        <w:rPr>
          <w:sz w:val="24"/>
        </w:rPr>
        <w:t>K</w:t>
      </w:r>
      <w:r>
        <w:rPr>
          <w:sz w:val="24"/>
        </w:rPr>
        <w:t>yoto Encyclopedia of Genes and Genomes</w:t>
      </w:r>
      <w:r w:rsidRPr="00503884">
        <w:rPr>
          <w:sz w:val="24"/>
        </w:rPr>
        <w:t xml:space="preserve"> database was used to annotate </w:t>
      </w:r>
      <w:r>
        <w:rPr>
          <w:sz w:val="24"/>
        </w:rPr>
        <w:t xml:space="preserve">the </w:t>
      </w:r>
      <w:r w:rsidRPr="00503884">
        <w:rPr>
          <w:sz w:val="24"/>
        </w:rPr>
        <w:t>protein pathways. WoLF PSORT software was used to predict</w:t>
      </w:r>
      <w:r w:rsidRPr="00503884">
        <w:rPr>
          <w:color w:val="000000"/>
          <w:sz w:val="24"/>
        </w:rPr>
        <w:t xml:space="preserve"> </w:t>
      </w:r>
      <w:r w:rsidRPr="00503884">
        <w:rPr>
          <w:rStyle w:val="a6"/>
          <w:i w:val="0"/>
          <w:color w:val="000000"/>
          <w:sz w:val="24"/>
          <w:shd w:val="clear" w:color="auto" w:fill="FFFFFF"/>
        </w:rPr>
        <w:t>subcellular</w:t>
      </w:r>
      <w:r w:rsidRPr="00503884">
        <w:rPr>
          <w:i/>
          <w:color w:val="000000"/>
          <w:sz w:val="24"/>
          <w:shd w:val="clear" w:color="auto" w:fill="FFFFFF"/>
        </w:rPr>
        <w:t> </w:t>
      </w:r>
      <w:r w:rsidRPr="00503884">
        <w:rPr>
          <w:rStyle w:val="a6"/>
          <w:i w:val="0"/>
          <w:color w:val="000000"/>
          <w:sz w:val="24"/>
          <w:shd w:val="clear" w:color="auto" w:fill="FFFFFF"/>
        </w:rPr>
        <w:t>localization</w:t>
      </w:r>
      <w:r w:rsidRPr="00503884">
        <w:rPr>
          <w:sz w:val="24"/>
        </w:rPr>
        <w:t xml:space="preserve"> of proteins.</w:t>
      </w:r>
      <w:r w:rsidRPr="00503884">
        <w:rPr>
          <w:rFonts w:eastAsia="微软雅黑"/>
          <w:sz w:val="24"/>
        </w:rPr>
        <w:t xml:space="preserve"> </w:t>
      </w:r>
    </w:p>
    <w:p w14:paraId="714F4560" w14:textId="77777777" w:rsidR="00636BC9" w:rsidRDefault="00636BC9" w:rsidP="0033457B">
      <w:pPr>
        <w:spacing w:line="480" w:lineRule="auto"/>
        <w:ind w:firstLineChars="300" w:firstLine="720"/>
        <w:rPr>
          <w:rFonts w:eastAsia="微软雅黑"/>
          <w:sz w:val="24"/>
        </w:rPr>
      </w:pPr>
    </w:p>
    <w:p w14:paraId="0925622C" w14:textId="77777777" w:rsidR="00636BC9" w:rsidRPr="008D3987" w:rsidRDefault="00636BC9" w:rsidP="00636BC9">
      <w:pPr>
        <w:autoSpaceDE w:val="0"/>
        <w:autoSpaceDN w:val="0"/>
        <w:adjustRightInd w:val="0"/>
        <w:snapToGrid w:val="0"/>
        <w:spacing w:line="480" w:lineRule="auto"/>
        <w:contextualSpacing/>
        <w:rPr>
          <w:b/>
          <w:bCs/>
          <w:i/>
          <w:iCs/>
          <w:color w:val="000000"/>
          <w:kern w:val="0"/>
          <w:sz w:val="24"/>
        </w:rPr>
      </w:pPr>
      <w:r w:rsidRPr="008D3987">
        <w:rPr>
          <w:b/>
          <w:bCs/>
          <w:i/>
          <w:iCs/>
          <w:color w:val="000000"/>
          <w:kern w:val="0"/>
          <w:sz w:val="24"/>
        </w:rPr>
        <w:t>Cell culture and transfection</w:t>
      </w:r>
    </w:p>
    <w:p w14:paraId="7A33F3D8"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r w:rsidRPr="008D3987">
        <w:rPr>
          <w:bCs/>
          <w:color w:val="000000"/>
          <w:kern w:val="0"/>
          <w:sz w:val="24"/>
        </w:rPr>
        <w:t>The human GBM cell lines U87 and SHG44 were purchased from the China Center for Type Culture Collection (Wuhan, China) and were cultured in complete cell culture medium, which consisted of Dulbecco’s modifed Eagle’s medium (DMEM) (Biological Industries, USA) with 10% fetal bovine serum (FBS) (Biological Industries, Israel) and 1% penicillin/streptomycin solution (Beyotime biotechnology, China) under 5% CO</w:t>
      </w:r>
      <w:r w:rsidRPr="008D3987">
        <w:rPr>
          <w:bCs/>
          <w:color w:val="000000"/>
          <w:kern w:val="0"/>
          <w:sz w:val="24"/>
          <w:vertAlign w:val="subscript"/>
        </w:rPr>
        <w:t>2</w:t>
      </w:r>
      <w:r w:rsidRPr="008D3987">
        <w:rPr>
          <w:bCs/>
          <w:color w:val="000000"/>
          <w:kern w:val="0"/>
          <w:sz w:val="24"/>
        </w:rPr>
        <w:t xml:space="preserve"> and 37℃.</w:t>
      </w:r>
      <w:r w:rsidRPr="008D3987">
        <w:rPr>
          <w:sz w:val="24"/>
        </w:rPr>
        <w:t xml:space="preserve"> </w:t>
      </w:r>
      <w:r w:rsidRPr="008D3987">
        <w:rPr>
          <w:bCs/>
          <w:color w:val="000000"/>
          <w:kern w:val="0"/>
          <w:sz w:val="24"/>
        </w:rPr>
        <w:t>All experiments were performed with mycoplasma-free cells.</w:t>
      </w:r>
    </w:p>
    <w:p w14:paraId="361E98B6"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r w:rsidRPr="008D3987">
        <w:rPr>
          <w:bCs/>
          <w:color w:val="000000"/>
          <w:kern w:val="0"/>
          <w:sz w:val="24"/>
        </w:rPr>
        <w:t xml:space="preserve">Stable HULC-overexpression and HULC-silenced cells were constructed by lentiviral packaging, transfection with Lipofectamine 2000 (GeneParma, Shanghai, China), and </w:t>
      </w:r>
      <w:r w:rsidRPr="008D3987">
        <w:rPr>
          <w:bCs/>
          <w:color w:val="000000"/>
          <w:kern w:val="0"/>
          <w:sz w:val="24"/>
        </w:rPr>
        <w:lastRenderedPageBreak/>
        <w:t>purinomycin screening. The HULC-related sequences were synthesized by GeneParma. Transient transfection of miR-128 mimic and inhibitor was also performed with Lipofectamine 2000 (GeneParma), and fluorescence microscopy was used to observe the transfection efficiency.</w:t>
      </w:r>
    </w:p>
    <w:p w14:paraId="4ED53FAE"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p>
    <w:p w14:paraId="65F8CD93" w14:textId="77777777" w:rsidR="00636BC9" w:rsidRPr="008D3987" w:rsidRDefault="00636BC9" w:rsidP="00636BC9">
      <w:pPr>
        <w:autoSpaceDE w:val="0"/>
        <w:autoSpaceDN w:val="0"/>
        <w:adjustRightInd w:val="0"/>
        <w:snapToGrid w:val="0"/>
        <w:spacing w:line="480" w:lineRule="auto"/>
        <w:contextualSpacing/>
        <w:rPr>
          <w:b/>
          <w:bCs/>
          <w:i/>
          <w:iCs/>
          <w:color w:val="000000"/>
          <w:kern w:val="0"/>
          <w:sz w:val="24"/>
        </w:rPr>
      </w:pPr>
      <w:r w:rsidRPr="008D3987">
        <w:rPr>
          <w:b/>
          <w:bCs/>
          <w:i/>
          <w:iCs/>
          <w:color w:val="000000"/>
          <w:kern w:val="0"/>
          <w:sz w:val="24"/>
        </w:rPr>
        <w:t>Cell counting kit-8 (CCK8) assay</w:t>
      </w:r>
    </w:p>
    <w:p w14:paraId="14F378AA"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r w:rsidRPr="008D3987">
        <w:rPr>
          <w:bCs/>
          <w:color w:val="000000"/>
          <w:kern w:val="0"/>
          <w:sz w:val="24"/>
        </w:rPr>
        <w:t>Approximately 1500 cells were cultured in each well of a 96-well plate overnight (</w:t>
      </w:r>
      <w:r w:rsidRPr="008D3987">
        <w:rPr>
          <w:bCs/>
          <w:i/>
          <w:color w:val="000000"/>
          <w:kern w:val="0"/>
          <w:sz w:val="24"/>
        </w:rPr>
        <w:t>n</w:t>
      </w:r>
      <w:r w:rsidRPr="008D3987">
        <w:rPr>
          <w:bCs/>
          <w:color w:val="000000"/>
          <w:kern w:val="0"/>
          <w:sz w:val="24"/>
        </w:rPr>
        <w:t>=3). After incubation for 24 h, 48 h, 72 h, and 96 h, CCK8 solution was added. Then the plates were incubated for 2 h at 37℃ and 5% CO</w:t>
      </w:r>
      <w:r w:rsidRPr="008D3987">
        <w:rPr>
          <w:bCs/>
          <w:color w:val="000000"/>
          <w:kern w:val="0"/>
          <w:sz w:val="24"/>
          <w:vertAlign w:val="subscript"/>
        </w:rPr>
        <w:t>2</w:t>
      </w:r>
      <w:r w:rsidRPr="008D3987">
        <w:rPr>
          <w:bCs/>
          <w:color w:val="000000"/>
          <w:kern w:val="0"/>
          <w:sz w:val="24"/>
        </w:rPr>
        <w:t>, and the optical density at 450 nm was measured by a microplate reader.</w:t>
      </w:r>
    </w:p>
    <w:p w14:paraId="5B68D9B0"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p>
    <w:p w14:paraId="60741D29" w14:textId="77777777" w:rsidR="00636BC9" w:rsidRPr="008D3987" w:rsidRDefault="00636BC9" w:rsidP="00636BC9">
      <w:pPr>
        <w:autoSpaceDE w:val="0"/>
        <w:autoSpaceDN w:val="0"/>
        <w:adjustRightInd w:val="0"/>
        <w:snapToGrid w:val="0"/>
        <w:spacing w:line="480" w:lineRule="auto"/>
        <w:contextualSpacing/>
        <w:rPr>
          <w:b/>
          <w:bCs/>
          <w:i/>
          <w:iCs/>
          <w:color w:val="000000"/>
          <w:kern w:val="0"/>
          <w:sz w:val="24"/>
        </w:rPr>
      </w:pPr>
      <w:r w:rsidRPr="008D3987">
        <w:rPr>
          <w:b/>
          <w:bCs/>
          <w:i/>
          <w:iCs/>
          <w:color w:val="000000"/>
          <w:kern w:val="0"/>
          <w:sz w:val="24"/>
        </w:rPr>
        <w:t>Colony formation</w:t>
      </w:r>
    </w:p>
    <w:p w14:paraId="618FA122"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r w:rsidRPr="008D3987">
        <w:rPr>
          <w:bCs/>
          <w:color w:val="000000"/>
          <w:kern w:val="0"/>
          <w:sz w:val="24"/>
        </w:rPr>
        <w:t>The cells were divided into a 6-well plate at 300 cells per well (</w:t>
      </w:r>
      <w:r w:rsidRPr="008D3987">
        <w:rPr>
          <w:bCs/>
          <w:i/>
          <w:color w:val="000000"/>
          <w:kern w:val="0"/>
          <w:sz w:val="24"/>
        </w:rPr>
        <w:t>n</w:t>
      </w:r>
      <w:r w:rsidRPr="008D3987">
        <w:rPr>
          <w:bCs/>
          <w:color w:val="000000"/>
          <w:kern w:val="0"/>
          <w:sz w:val="24"/>
        </w:rPr>
        <w:t>=3) and cultured for another 2 weeks until an obvious cell mass appeared. The culture medium was replaced every 3 days. Afterwards, the cells were fixed with 4% paraformaldehyde for 30 min, and then they were dyed with 0.1% crystal violet for 10 min. The colony formation rate was calculated with the following formula: colony formation rate (%)=colony number/cultivated cell number×100%.</w:t>
      </w:r>
    </w:p>
    <w:p w14:paraId="5E257D20"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p>
    <w:p w14:paraId="5F3E246B" w14:textId="77777777" w:rsidR="00636BC9" w:rsidRPr="008D3987" w:rsidRDefault="00636BC9" w:rsidP="00636BC9">
      <w:pPr>
        <w:autoSpaceDE w:val="0"/>
        <w:autoSpaceDN w:val="0"/>
        <w:adjustRightInd w:val="0"/>
        <w:snapToGrid w:val="0"/>
        <w:spacing w:line="480" w:lineRule="auto"/>
        <w:contextualSpacing/>
        <w:rPr>
          <w:b/>
          <w:bCs/>
          <w:i/>
          <w:iCs/>
          <w:color w:val="000000"/>
          <w:kern w:val="0"/>
          <w:sz w:val="24"/>
        </w:rPr>
      </w:pPr>
      <w:r w:rsidRPr="008D3987">
        <w:rPr>
          <w:b/>
          <w:bCs/>
          <w:i/>
          <w:iCs/>
          <w:color w:val="000000"/>
          <w:kern w:val="0"/>
          <w:sz w:val="24"/>
        </w:rPr>
        <w:t>Wound healing assay</w:t>
      </w:r>
    </w:p>
    <w:p w14:paraId="6E07F702" w14:textId="77777777" w:rsidR="00636BC9" w:rsidRPr="008D3987" w:rsidRDefault="00636BC9" w:rsidP="00636BC9">
      <w:pPr>
        <w:autoSpaceDE w:val="0"/>
        <w:autoSpaceDN w:val="0"/>
        <w:adjustRightInd w:val="0"/>
        <w:snapToGrid w:val="0"/>
        <w:spacing w:line="480" w:lineRule="auto"/>
        <w:contextualSpacing/>
        <w:rPr>
          <w:bCs/>
          <w:color w:val="000000"/>
          <w:kern w:val="0"/>
          <w:sz w:val="24"/>
        </w:rPr>
      </w:pPr>
      <w:r w:rsidRPr="008D3987">
        <w:rPr>
          <w:bCs/>
          <w:color w:val="000000"/>
          <w:kern w:val="0"/>
          <w:sz w:val="24"/>
        </w:rPr>
        <w:t>Cells were seeded into 6-well plates at 5×10</w:t>
      </w:r>
      <w:r w:rsidRPr="008D3987">
        <w:rPr>
          <w:bCs/>
          <w:color w:val="000000"/>
          <w:kern w:val="0"/>
          <w:sz w:val="24"/>
          <w:vertAlign w:val="superscript"/>
        </w:rPr>
        <w:t>5</w:t>
      </w:r>
      <w:r w:rsidRPr="008D3987">
        <w:rPr>
          <w:bCs/>
          <w:color w:val="000000"/>
          <w:kern w:val="0"/>
          <w:sz w:val="24"/>
        </w:rPr>
        <w:t xml:space="preserve"> cells per well (</w:t>
      </w:r>
      <w:r w:rsidRPr="008D3987">
        <w:rPr>
          <w:bCs/>
          <w:i/>
          <w:color w:val="000000"/>
          <w:kern w:val="0"/>
          <w:sz w:val="24"/>
        </w:rPr>
        <w:t>n</w:t>
      </w:r>
      <w:r w:rsidRPr="008D3987">
        <w:rPr>
          <w:bCs/>
          <w:color w:val="000000"/>
          <w:kern w:val="0"/>
          <w:sz w:val="24"/>
        </w:rPr>
        <w:t xml:space="preserve">=3). When the cells reached about 80% confluency, straight scratches were made by a 10-μL pipette tip. Cell migration was observed by microscopy and photographed at 0 h, 24 h, and 48 h after scratching. The </w:t>
      </w:r>
      <w:r w:rsidRPr="008D3987">
        <w:rPr>
          <w:bCs/>
          <w:color w:val="000000"/>
          <w:kern w:val="0"/>
          <w:sz w:val="24"/>
        </w:rPr>
        <w:lastRenderedPageBreak/>
        <w:t>migration rate was calculated according to the following formula: migration rate (%)=(original width−closure width)/original width×100%.</w:t>
      </w:r>
    </w:p>
    <w:p w14:paraId="429BF546" w14:textId="77777777" w:rsidR="00636BC9" w:rsidRPr="008D3987" w:rsidRDefault="00636BC9" w:rsidP="00636BC9">
      <w:pPr>
        <w:snapToGrid w:val="0"/>
        <w:spacing w:line="480" w:lineRule="auto"/>
        <w:contextualSpacing/>
        <w:rPr>
          <w:bCs/>
          <w:color w:val="000000"/>
          <w:kern w:val="0"/>
          <w:sz w:val="24"/>
        </w:rPr>
      </w:pPr>
    </w:p>
    <w:p w14:paraId="741D477B" w14:textId="77777777" w:rsidR="00636BC9" w:rsidRPr="008D3987" w:rsidRDefault="00636BC9" w:rsidP="00636BC9">
      <w:pPr>
        <w:snapToGrid w:val="0"/>
        <w:spacing w:line="480" w:lineRule="auto"/>
        <w:contextualSpacing/>
        <w:rPr>
          <w:b/>
          <w:bCs/>
          <w:i/>
          <w:iCs/>
          <w:color w:val="000000"/>
          <w:kern w:val="0"/>
          <w:sz w:val="24"/>
        </w:rPr>
      </w:pPr>
      <w:r w:rsidRPr="008D3987">
        <w:rPr>
          <w:b/>
          <w:bCs/>
          <w:i/>
          <w:iCs/>
          <w:color w:val="000000"/>
          <w:kern w:val="0"/>
          <w:sz w:val="24"/>
        </w:rPr>
        <w:t>Dual luciferase reporting assay</w:t>
      </w:r>
    </w:p>
    <w:p w14:paraId="224C3DB6" w14:textId="77777777" w:rsidR="00636BC9" w:rsidRPr="008D3987" w:rsidRDefault="00636BC9" w:rsidP="00636BC9">
      <w:pPr>
        <w:snapToGrid w:val="0"/>
        <w:spacing w:line="480" w:lineRule="auto"/>
        <w:contextualSpacing/>
        <w:rPr>
          <w:color w:val="000000"/>
          <w:kern w:val="0"/>
          <w:sz w:val="24"/>
        </w:rPr>
      </w:pPr>
      <w:r w:rsidRPr="008D3987">
        <w:rPr>
          <w:color w:val="000000"/>
          <w:sz w:val="24"/>
        </w:rPr>
        <w:t>Fragments of the 3′-untranslated region of TNR were amplified and cloned into the dual-luciferase reporter vector to construct reporter plasmids containing h-TNR-WT and h-TNR-MUT. Next, 293T cells were seeded in 96-well plates. Then, the reporter plasmids h-TNR-WT and h-TNR-MUT were respectively cotransfected with miR-128 mimic or miR-NC by the transfection reagent Lipo 6000</w:t>
      </w:r>
      <w:r w:rsidRPr="008D3987">
        <w:rPr>
          <w:color w:val="000000"/>
          <w:sz w:val="24"/>
          <w:vertAlign w:val="superscript"/>
        </w:rPr>
        <w:t>TM</w:t>
      </w:r>
      <w:r w:rsidRPr="008D3987">
        <w:rPr>
          <w:color w:val="000000"/>
          <w:sz w:val="24"/>
        </w:rPr>
        <w:t xml:space="preserve">. After 48 h, the cells were harvested and measured with a Dual-Luciferase Reporter Assay System. Firefly luciferase (experimental group) activity was normalized to </w:t>
      </w:r>
      <w:r w:rsidRPr="008D3987">
        <w:rPr>
          <w:i/>
          <w:iCs/>
          <w:color w:val="000000"/>
          <w:sz w:val="24"/>
        </w:rPr>
        <w:t>Renilla</w:t>
      </w:r>
      <w:r w:rsidRPr="008D3987">
        <w:rPr>
          <w:color w:val="000000"/>
          <w:sz w:val="24"/>
        </w:rPr>
        <w:t xml:space="preserve"> luciferase (control group) activity for each sample. </w:t>
      </w:r>
    </w:p>
    <w:p w14:paraId="61E824B0" w14:textId="77777777" w:rsidR="00636BC9" w:rsidRPr="008D3987" w:rsidRDefault="00636BC9" w:rsidP="00636BC9">
      <w:pPr>
        <w:snapToGrid w:val="0"/>
        <w:spacing w:line="480" w:lineRule="auto"/>
        <w:contextualSpacing/>
        <w:rPr>
          <w:bCs/>
          <w:i/>
          <w:iCs/>
          <w:color w:val="000000"/>
          <w:kern w:val="0"/>
          <w:sz w:val="24"/>
        </w:rPr>
      </w:pPr>
    </w:p>
    <w:p w14:paraId="012AED1C" w14:textId="77777777" w:rsidR="0033457B" w:rsidRPr="0033457B" w:rsidRDefault="0033457B" w:rsidP="0033457B">
      <w:pPr>
        <w:spacing w:line="480" w:lineRule="auto"/>
        <w:rPr>
          <w:b/>
          <w:bCs/>
          <w:color w:val="FF0000"/>
          <w:kern w:val="0"/>
          <w:sz w:val="40"/>
        </w:rPr>
      </w:pPr>
      <w:r w:rsidRPr="0033457B">
        <w:rPr>
          <w:rFonts w:hint="eastAsia"/>
          <w:b/>
          <w:sz w:val="28"/>
        </w:rPr>
        <w:t>S</w:t>
      </w:r>
      <w:r w:rsidRPr="0033457B">
        <w:rPr>
          <w:b/>
          <w:sz w:val="28"/>
        </w:rPr>
        <w:t>upplementary Figure legend</w:t>
      </w:r>
    </w:p>
    <w:p w14:paraId="66D6ED69" w14:textId="77777777" w:rsidR="0033457B" w:rsidRPr="00F150D1" w:rsidRDefault="0033457B" w:rsidP="0033457B">
      <w:pPr>
        <w:spacing w:line="480" w:lineRule="auto"/>
        <w:rPr>
          <w:sz w:val="24"/>
        </w:rPr>
      </w:pPr>
      <w:r>
        <w:rPr>
          <w:sz w:val="24"/>
        </w:rPr>
        <w:t xml:space="preserve">Supplementary </w:t>
      </w:r>
      <w:r w:rsidRPr="00F150D1">
        <w:rPr>
          <w:sz w:val="24"/>
        </w:rPr>
        <w:t xml:space="preserve">Figure </w:t>
      </w:r>
      <w:r>
        <w:rPr>
          <w:sz w:val="24"/>
        </w:rPr>
        <w:t>1</w:t>
      </w:r>
      <w:r w:rsidRPr="00F150D1">
        <w:rPr>
          <w:sz w:val="24"/>
        </w:rPr>
        <w:t xml:space="preserve"> </w:t>
      </w:r>
      <w:r>
        <w:rPr>
          <w:sz w:val="24"/>
        </w:rPr>
        <w:t>m</w:t>
      </w:r>
      <w:r w:rsidRPr="00F150D1">
        <w:rPr>
          <w:sz w:val="24"/>
        </w:rPr>
        <w:t>iR-128 inhibited the proliferation, migration</w:t>
      </w:r>
      <w:r>
        <w:rPr>
          <w:sz w:val="24"/>
        </w:rPr>
        <w:t>,</w:t>
      </w:r>
      <w:r w:rsidRPr="00F150D1">
        <w:rPr>
          <w:sz w:val="24"/>
        </w:rPr>
        <w:t xml:space="preserve"> and invasion</w:t>
      </w:r>
      <w:r>
        <w:rPr>
          <w:sz w:val="24"/>
        </w:rPr>
        <w:t xml:space="preserve"> as well as</w:t>
      </w:r>
      <w:r w:rsidRPr="00F150D1">
        <w:rPr>
          <w:sz w:val="24"/>
        </w:rPr>
        <w:t xml:space="preserve"> promoted apoptosis in cultured </w:t>
      </w:r>
      <w:r>
        <w:rPr>
          <w:sz w:val="24"/>
        </w:rPr>
        <w:t>GBM</w:t>
      </w:r>
      <w:r w:rsidRPr="00F150D1">
        <w:rPr>
          <w:sz w:val="24"/>
        </w:rPr>
        <w:t xml:space="preserve"> cells</w:t>
      </w:r>
      <w:r>
        <w:rPr>
          <w:sz w:val="24"/>
        </w:rPr>
        <w:t>.</w:t>
      </w:r>
    </w:p>
    <w:p w14:paraId="5E5ED5B9" w14:textId="3E45DAD7" w:rsidR="0033457B" w:rsidRPr="00F150D1" w:rsidRDefault="0033457B" w:rsidP="0033457B">
      <w:pPr>
        <w:spacing w:line="480" w:lineRule="auto"/>
        <w:rPr>
          <w:sz w:val="24"/>
        </w:rPr>
      </w:pPr>
      <w:r>
        <w:rPr>
          <w:sz w:val="24"/>
        </w:rPr>
        <w:t>The h</w:t>
      </w:r>
      <w:r w:rsidRPr="00F150D1">
        <w:rPr>
          <w:sz w:val="24"/>
        </w:rPr>
        <w:t xml:space="preserve">uman </w:t>
      </w:r>
      <w:r>
        <w:rPr>
          <w:sz w:val="24"/>
        </w:rPr>
        <w:t>GBM</w:t>
      </w:r>
      <w:r w:rsidRPr="00F150D1">
        <w:rPr>
          <w:sz w:val="24"/>
        </w:rPr>
        <w:t xml:space="preserve"> cell</w:t>
      </w:r>
      <w:r>
        <w:rPr>
          <w:sz w:val="24"/>
        </w:rPr>
        <w:t xml:space="preserve"> line</w:t>
      </w:r>
      <w:r w:rsidRPr="00F150D1">
        <w:rPr>
          <w:sz w:val="24"/>
        </w:rPr>
        <w:t xml:space="preserve">s SHG44 and U87 were transfected with miR-128 mimic, miR-128 inhibitor, and their controls, respectively. </w:t>
      </w:r>
      <w:r>
        <w:rPr>
          <w:sz w:val="24"/>
        </w:rPr>
        <w:t xml:space="preserve">The </w:t>
      </w:r>
      <w:r w:rsidRPr="00F150D1">
        <w:rPr>
          <w:sz w:val="24"/>
        </w:rPr>
        <w:t>CCK8 assay (A), colony formation assay (B), wound-healing assay (C), transwell assay (D), cell apoptosis analysis (</w:t>
      </w:r>
      <w:r w:rsidR="00E76C2F">
        <w:rPr>
          <w:sz w:val="24"/>
        </w:rPr>
        <w:t>E</w:t>
      </w:r>
      <w:r w:rsidRPr="00F150D1">
        <w:rPr>
          <w:sz w:val="24"/>
        </w:rPr>
        <w:t xml:space="preserve">) by flow cytometry, </w:t>
      </w:r>
      <w:r>
        <w:rPr>
          <w:sz w:val="24"/>
        </w:rPr>
        <w:t>w</w:t>
      </w:r>
      <w:r w:rsidRPr="00F150D1">
        <w:rPr>
          <w:sz w:val="24"/>
        </w:rPr>
        <w:t xml:space="preserve">estern blot with Bax, </w:t>
      </w:r>
      <w:r>
        <w:rPr>
          <w:sz w:val="24"/>
        </w:rPr>
        <w:t>c</w:t>
      </w:r>
      <w:r w:rsidRPr="00F150D1">
        <w:rPr>
          <w:sz w:val="24"/>
        </w:rPr>
        <w:t>aspase-3</w:t>
      </w:r>
      <w:r>
        <w:rPr>
          <w:sz w:val="24"/>
        </w:rPr>
        <w:t>,</w:t>
      </w:r>
      <w:r w:rsidRPr="00F150D1">
        <w:rPr>
          <w:sz w:val="24"/>
        </w:rPr>
        <w:t xml:space="preserve"> and </w:t>
      </w:r>
      <w:r>
        <w:rPr>
          <w:sz w:val="24"/>
        </w:rPr>
        <w:t>c</w:t>
      </w:r>
      <w:r w:rsidRPr="00F150D1">
        <w:rPr>
          <w:sz w:val="24"/>
        </w:rPr>
        <w:t>aspase-8 antibodies</w:t>
      </w:r>
      <w:r>
        <w:rPr>
          <w:sz w:val="24"/>
        </w:rPr>
        <w:t>,</w:t>
      </w:r>
      <w:r w:rsidRPr="00F150D1">
        <w:rPr>
          <w:sz w:val="24"/>
        </w:rPr>
        <w:t xml:space="preserve"> respectively (</w:t>
      </w:r>
      <w:r w:rsidR="00E76C2F">
        <w:rPr>
          <w:sz w:val="24"/>
        </w:rPr>
        <w:t>F</w:t>
      </w:r>
      <w:r w:rsidRPr="00F150D1">
        <w:rPr>
          <w:sz w:val="24"/>
        </w:rPr>
        <w:t>),</w:t>
      </w:r>
      <w:r>
        <w:rPr>
          <w:sz w:val="24"/>
        </w:rPr>
        <w:t xml:space="preserve"> and</w:t>
      </w:r>
      <w:r w:rsidRPr="00F150D1">
        <w:rPr>
          <w:sz w:val="24"/>
        </w:rPr>
        <w:t xml:space="preserve"> </w:t>
      </w:r>
      <w:r>
        <w:rPr>
          <w:sz w:val="24"/>
        </w:rPr>
        <w:t>w</w:t>
      </w:r>
      <w:r w:rsidRPr="00F150D1">
        <w:rPr>
          <w:sz w:val="24"/>
        </w:rPr>
        <w:t xml:space="preserve">estern blot with </w:t>
      </w:r>
      <w:r w:rsidRPr="00F150D1">
        <w:rPr>
          <w:color w:val="000000"/>
          <w:sz w:val="24"/>
        </w:rPr>
        <w:t>p-AKT/AKT, FAK, PI3K, and PETN</w:t>
      </w:r>
      <w:r>
        <w:rPr>
          <w:color w:val="000000"/>
          <w:sz w:val="24"/>
        </w:rPr>
        <w:t xml:space="preserve"> antibodies,</w:t>
      </w:r>
      <w:r w:rsidRPr="00F150D1">
        <w:rPr>
          <w:sz w:val="24"/>
        </w:rPr>
        <w:t xml:space="preserve"> respectively (</w:t>
      </w:r>
      <w:r w:rsidR="00E76C2F">
        <w:rPr>
          <w:sz w:val="24"/>
        </w:rPr>
        <w:t>G</w:t>
      </w:r>
      <w:r w:rsidRPr="00F150D1">
        <w:rPr>
          <w:sz w:val="24"/>
        </w:rPr>
        <w:t>)</w:t>
      </w:r>
      <w:r>
        <w:rPr>
          <w:sz w:val="24"/>
        </w:rPr>
        <w:t>,</w:t>
      </w:r>
      <w:r w:rsidRPr="00F150D1">
        <w:rPr>
          <w:sz w:val="24"/>
        </w:rPr>
        <w:t xml:space="preserve"> were performed</w:t>
      </w:r>
      <w:r w:rsidRPr="001A2109">
        <w:rPr>
          <w:color w:val="000000"/>
          <w:sz w:val="24"/>
        </w:rPr>
        <w:t xml:space="preserve"> </w:t>
      </w:r>
      <w:r>
        <w:rPr>
          <w:color w:val="000000"/>
          <w:sz w:val="24"/>
        </w:rPr>
        <w:t xml:space="preserve">at </w:t>
      </w:r>
      <w:r w:rsidRPr="001A2109">
        <w:rPr>
          <w:color w:val="000000"/>
          <w:sz w:val="24"/>
        </w:rPr>
        <w:t xml:space="preserve">48 h </w:t>
      </w:r>
      <w:r w:rsidRPr="00A35E2F">
        <w:rPr>
          <w:sz w:val="24"/>
        </w:rPr>
        <w:t xml:space="preserve">after transfection. </w:t>
      </w:r>
      <w:r w:rsidRPr="00F72564">
        <w:rPr>
          <w:color w:val="333333"/>
          <w:sz w:val="24"/>
          <w:shd w:val="clear" w:color="auto" w:fill="FFFFFF"/>
        </w:rPr>
        <w:t>*</w:t>
      </w:r>
      <w:r w:rsidRPr="00F72564">
        <w:rPr>
          <w:i/>
          <w:color w:val="333333"/>
          <w:sz w:val="24"/>
          <w:shd w:val="clear" w:color="auto" w:fill="FFFFFF"/>
        </w:rPr>
        <w:t>P</w:t>
      </w:r>
      <w:r w:rsidRPr="00F72564">
        <w:rPr>
          <w:color w:val="333333"/>
          <w:sz w:val="24"/>
          <w:shd w:val="clear" w:color="auto" w:fill="FFFFFF"/>
        </w:rPr>
        <w:t>&lt;0.05, **</w:t>
      </w:r>
      <w:r w:rsidRPr="00F150D1">
        <w:rPr>
          <w:i/>
          <w:color w:val="333333"/>
          <w:sz w:val="24"/>
          <w:shd w:val="clear" w:color="auto" w:fill="FFFFFF"/>
        </w:rPr>
        <w:t>P</w:t>
      </w:r>
      <w:r w:rsidRPr="00F150D1">
        <w:rPr>
          <w:color w:val="333333"/>
          <w:sz w:val="24"/>
          <w:shd w:val="clear" w:color="auto" w:fill="FFFFFF"/>
        </w:rPr>
        <w:t>&lt;0.01, ***</w:t>
      </w:r>
      <w:r w:rsidRPr="00F150D1">
        <w:rPr>
          <w:i/>
          <w:color w:val="333333"/>
          <w:sz w:val="24"/>
          <w:shd w:val="clear" w:color="auto" w:fill="FFFFFF"/>
        </w:rPr>
        <w:t>P</w:t>
      </w:r>
      <w:r w:rsidRPr="00F150D1">
        <w:rPr>
          <w:color w:val="333333"/>
          <w:sz w:val="24"/>
          <w:shd w:val="clear" w:color="auto" w:fill="FFFFFF"/>
        </w:rPr>
        <w:t>&lt;0.001.</w:t>
      </w:r>
    </w:p>
    <w:p w14:paraId="7739F3D1" w14:textId="77777777" w:rsidR="0033457B" w:rsidRDefault="0033457B" w:rsidP="0033457B">
      <w:pPr>
        <w:spacing w:line="480" w:lineRule="auto"/>
        <w:rPr>
          <w:sz w:val="24"/>
        </w:rPr>
      </w:pPr>
    </w:p>
    <w:p w14:paraId="054BA26C" w14:textId="77777777" w:rsidR="0033457B" w:rsidRPr="0033457B" w:rsidRDefault="0033457B" w:rsidP="0033457B">
      <w:pPr>
        <w:spacing w:line="480" w:lineRule="auto"/>
        <w:rPr>
          <w:b/>
          <w:sz w:val="28"/>
        </w:rPr>
      </w:pPr>
      <w:r w:rsidRPr="0033457B">
        <w:rPr>
          <w:b/>
          <w:sz w:val="28"/>
        </w:rPr>
        <w:lastRenderedPageBreak/>
        <w:t>Supplementary</w:t>
      </w:r>
      <w:r w:rsidRPr="0033457B">
        <w:rPr>
          <w:b/>
          <w:color w:val="000000"/>
          <w:sz w:val="28"/>
        </w:rPr>
        <w:t xml:space="preserve"> Table</w:t>
      </w:r>
      <w:r>
        <w:rPr>
          <w:rFonts w:hint="eastAsia"/>
          <w:b/>
          <w:color w:val="000000"/>
          <w:sz w:val="28"/>
        </w:rPr>
        <w:t>s</w:t>
      </w:r>
    </w:p>
    <w:p w14:paraId="41A2C8B3" w14:textId="77777777" w:rsidR="0033457B" w:rsidRPr="005C158F" w:rsidRDefault="0033457B" w:rsidP="0033457B">
      <w:pPr>
        <w:spacing w:line="480" w:lineRule="auto"/>
        <w:rPr>
          <w:color w:val="000000"/>
          <w:sz w:val="24"/>
        </w:rPr>
      </w:pPr>
      <w:r>
        <w:rPr>
          <w:sz w:val="24"/>
        </w:rPr>
        <w:t>Supplementary</w:t>
      </w:r>
      <w:r w:rsidRPr="005C158F">
        <w:rPr>
          <w:color w:val="000000"/>
          <w:sz w:val="24"/>
        </w:rPr>
        <w:t xml:space="preserve"> Table 1 Cases of high expression of p-FAK</w:t>
      </w:r>
      <w:r w:rsidRPr="005C158F">
        <w:rPr>
          <w:rFonts w:hint="eastAsia"/>
          <w:color w:val="000000"/>
          <w:sz w:val="24"/>
        </w:rPr>
        <w:t>,</w:t>
      </w:r>
      <w:r w:rsidRPr="005C158F">
        <w:rPr>
          <w:color w:val="000000"/>
          <w:sz w:val="24"/>
        </w:rPr>
        <w:t xml:space="preserve"> PI3K</w:t>
      </w:r>
      <w:r w:rsidRPr="005C158F">
        <w:rPr>
          <w:rFonts w:hint="eastAsia"/>
          <w:color w:val="000000"/>
          <w:sz w:val="24"/>
        </w:rPr>
        <w:t>,</w:t>
      </w:r>
      <w:r w:rsidRPr="005C158F">
        <w:rPr>
          <w:color w:val="000000"/>
          <w:sz w:val="24"/>
        </w:rPr>
        <w:t xml:space="preserve"> p-AKT</w:t>
      </w:r>
      <w:r w:rsidRPr="005C158F">
        <w:rPr>
          <w:rFonts w:hint="eastAsia"/>
          <w:color w:val="000000"/>
          <w:sz w:val="24"/>
        </w:rPr>
        <w:t>,</w:t>
      </w:r>
      <w:r w:rsidRPr="005C158F">
        <w:rPr>
          <w:color w:val="000000"/>
          <w:sz w:val="24"/>
        </w:rPr>
        <w:t xml:space="preserve"> PTEN</w:t>
      </w:r>
      <w:r>
        <w:rPr>
          <w:color w:val="000000"/>
          <w:sz w:val="24"/>
        </w:rPr>
        <w:t>,</w:t>
      </w:r>
      <w:r w:rsidRPr="005C158F">
        <w:rPr>
          <w:color w:val="000000"/>
          <w:sz w:val="24"/>
        </w:rPr>
        <w:t xml:space="preserve"> and TNR in GBM tissue compared with normal tissue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560"/>
        <w:gridCol w:w="1701"/>
        <w:gridCol w:w="1701"/>
        <w:gridCol w:w="1701"/>
        <w:gridCol w:w="1643"/>
        <w:gridCol w:w="1643"/>
      </w:tblGrid>
      <w:tr w:rsidR="0033457B" w:rsidRPr="005C158F" w14:paraId="5F51E608" w14:textId="77777777" w:rsidTr="009F76EB">
        <w:trPr>
          <w:trHeight w:val="359"/>
          <w:jc w:val="center"/>
        </w:trPr>
        <w:tc>
          <w:tcPr>
            <w:tcW w:w="1560" w:type="dxa"/>
            <w:tcBorders>
              <w:left w:val="nil"/>
              <w:bottom w:val="single" w:sz="4" w:space="0" w:color="auto"/>
            </w:tcBorders>
          </w:tcPr>
          <w:p w14:paraId="1CFA4F19" w14:textId="77777777" w:rsidR="0033457B" w:rsidRPr="005C158F" w:rsidRDefault="0033457B" w:rsidP="009F76EB">
            <w:pPr>
              <w:spacing w:line="480" w:lineRule="auto"/>
              <w:jc w:val="left"/>
              <w:rPr>
                <w:bCs/>
                <w:color w:val="000000"/>
                <w:sz w:val="24"/>
              </w:rPr>
            </w:pPr>
            <w:r w:rsidRPr="005C158F">
              <w:rPr>
                <w:bCs/>
                <w:color w:val="000000"/>
                <w:sz w:val="24"/>
              </w:rPr>
              <w:t>Group</w:t>
            </w:r>
          </w:p>
        </w:tc>
        <w:tc>
          <w:tcPr>
            <w:tcW w:w="1701" w:type="dxa"/>
            <w:tcBorders>
              <w:bottom w:val="single" w:sz="4" w:space="0" w:color="auto"/>
            </w:tcBorders>
          </w:tcPr>
          <w:p w14:paraId="49B94447" w14:textId="77777777" w:rsidR="0033457B" w:rsidRPr="005C158F" w:rsidRDefault="0033457B" w:rsidP="009F76EB">
            <w:pPr>
              <w:spacing w:line="480" w:lineRule="auto"/>
              <w:jc w:val="center"/>
              <w:rPr>
                <w:bCs/>
                <w:color w:val="000000"/>
                <w:sz w:val="24"/>
              </w:rPr>
            </w:pPr>
            <w:r w:rsidRPr="005C158F">
              <w:rPr>
                <w:color w:val="000000"/>
                <w:sz w:val="24"/>
              </w:rPr>
              <w:t>p-FAK</w:t>
            </w:r>
            <w:r w:rsidRPr="005C158F">
              <w:rPr>
                <w:rFonts w:hint="eastAsia"/>
                <w:color w:val="000000"/>
                <w:sz w:val="24"/>
              </w:rPr>
              <w:t xml:space="preserve"> </w:t>
            </w:r>
            <w:r w:rsidRPr="005C158F">
              <w:rPr>
                <w:color w:val="000000"/>
                <w:sz w:val="24"/>
              </w:rPr>
              <w:t>(T397)</w:t>
            </w:r>
          </w:p>
        </w:tc>
        <w:tc>
          <w:tcPr>
            <w:tcW w:w="1701" w:type="dxa"/>
            <w:tcBorders>
              <w:bottom w:val="single" w:sz="4" w:space="0" w:color="auto"/>
            </w:tcBorders>
          </w:tcPr>
          <w:p w14:paraId="637D3B98" w14:textId="77777777" w:rsidR="0033457B" w:rsidRPr="005C158F" w:rsidRDefault="0033457B" w:rsidP="009F76EB">
            <w:pPr>
              <w:spacing w:line="480" w:lineRule="auto"/>
              <w:jc w:val="center"/>
              <w:rPr>
                <w:bCs/>
                <w:color w:val="000000"/>
                <w:sz w:val="24"/>
              </w:rPr>
            </w:pPr>
            <w:r w:rsidRPr="005C158F">
              <w:rPr>
                <w:bCs/>
                <w:color w:val="000000"/>
                <w:sz w:val="24"/>
              </w:rPr>
              <w:t>PI3K</w:t>
            </w:r>
          </w:p>
        </w:tc>
        <w:tc>
          <w:tcPr>
            <w:tcW w:w="1701" w:type="dxa"/>
            <w:tcBorders>
              <w:bottom w:val="single" w:sz="4" w:space="0" w:color="auto"/>
            </w:tcBorders>
          </w:tcPr>
          <w:p w14:paraId="56643452" w14:textId="77777777" w:rsidR="0033457B" w:rsidRPr="005C158F" w:rsidRDefault="0033457B" w:rsidP="009F76EB">
            <w:pPr>
              <w:spacing w:line="480" w:lineRule="auto"/>
              <w:jc w:val="center"/>
              <w:rPr>
                <w:bCs/>
                <w:color w:val="000000"/>
                <w:sz w:val="24"/>
              </w:rPr>
            </w:pPr>
            <w:r w:rsidRPr="005C158F">
              <w:rPr>
                <w:bCs/>
                <w:color w:val="000000"/>
                <w:sz w:val="24"/>
              </w:rPr>
              <w:t>p-AKT</w:t>
            </w:r>
            <w:r w:rsidRPr="005C158F">
              <w:rPr>
                <w:rFonts w:hint="eastAsia"/>
                <w:bCs/>
                <w:color w:val="000000"/>
                <w:sz w:val="24"/>
              </w:rPr>
              <w:t xml:space="preserve"> </w:t>
            </w:r>
            <w:r w:rsidRPr="005C158F">
              <w:rPr>
                <w:bCs/>
                <w:color w:val="000000"/>
                <w:sz w:val="24"/>
              </w:rPr>
              <w:t>(S473</w:t>
            </w:r>
            <w:r w:rsidRPr="005C158F">
              <w:rPr>
                <w:rFonts w:hint="eastAsia"/>
                <w:bCs/>
                <w:color w:val="000000"/>
                <w:sz w:val="24"/>
              </w:rPr>
              <w:t>)</w:t>
            </w:r>
          </w:p>
        </w:tc>
        <w:tc>
          <w:tcPr>
            <w:tcW w:w="1643" w:type="dxa"/>
            <w:tcBorders>
              <w:bottom w:val="single" w:sz="4" w:space="0" w:color="auto"/>
              <w:right w:val="nil"/>
            </w:tcBorders>
          </w:tcPr>
          <w:p w14:paraId="5D382287" w14:textId="77777777" w:rsidR="0033457B" w:rsidRPr="005C158F" w:rsidRDefault="0033457B" w:rsidP="009F76EB">
            <w:pPr>
              <w:spacing w:line="480" w:lineRule="auto"/>
              <w:jc w:val="center"/>
              <w:rPr>
                <w:bCs/>
                <w:color w:val="000000"/>
                <w:sz w:val="24"/>
              </w:rPr>
            </w:pPr>
            <w:r w:rsidRPr="005C158F">
              <w:rPr>
                <w:bCs/>
                <w:color w:val="000000"/>
                <w:sz w:val="24"/>
              </w:rPr>
              <w:t>PTEN</w:t>
            </w:r>
          </w:p>
        </w:tc>
        <w:tc>
          <w:tcPr>
            <w:tcW w:w="1643" w:type="dxa"/>
            <w:tcBorders>
              <w:bottom w:val="single" w:sz="4" w:space="0" w:color="auto"/>
              <w:right w:val="nil"/>
            </w:tcBorders>
          </w:tcPr>
          <w:p w14:paraId="4D916EBB" w14:textId="77777777" w:rsidR="0033457B" w:rsidRPr="005C158F" w:rsidRDefault="0033457B" w:rsidP="009F76EB">
            <w:pPr>
              <w:spacing w:line="480" w:lineRule="auto"/>
              <w:jc w:val="center"/>
              <w:rPr>
                <w:bCs/>
                <w:color w:val="000000"/>
                <w:sz w:val="24"/>
              </w:rPr>
            </w:pPr>
            <w:r w:rsidRPr="005C158F">
              <w:rPr>
                <w:rFonts w:hint="eastAsia"/>
                <w:bCs/>
                <w:color w:val="000000"/>
                <w:sz w:val="24"/>
              </w:rPr>
              <w:t>T</w:t>
            </w:r>
            <w:r w:rsidRPr="005C158F">
              <w:rPr>
                <w:bCs/>
                <w:color w:val="000000"/>
                <w:sz w:val="24"/>
              </w:rPr>
              <w:t>NR</w:t>
            </w:r>
          </w:p>
        </w:tc>
      </w:tr>
      <w:tr w:rsidR="0033457B" w:rsidRPr="005C158F" w14:paraId="2934B52A" w14:textId="77777777" w:rsidTr="009F76EB">
        <w:trPr>
          <w:trHeight w:val="359"/>
          <w:jc w:val="center"/>
        </w:trPr>
        <w:tc>
          <w:tcPr>
            <w:tcW w:w="1560" w:type="dxa"/>
            <w:tcBorders>
              <w:left w:val="nil"/>
              <w:bottom w:val="nil"/>
            </w:tcBorders>
          </w:tcPr>
          <w:p w14:paraId="63F2A289" w14:textId="77777777" w:rsidR="0033457B" w:rsidRPr="005C158F" w:rsidRDefault="0033457B" w:rsidP="009F76EB">
            <w:pPr>
              <w:spacing w:line="480" w:lineRule="auto"/>
              <w:jc w:val="left"/>
              <w:rPr>
                <w:bCs/>
                <w:color w:val="000000"/>
                <w:sz w:val="24"/>
              </w:rPr>
            </w:pPr>
            <w:r w:rsidRPr="005C158F">
              <w:rPr>
                <w:rFonts w:hint="eastAsia"/>
                <w:bCs/>
                <w:color w:val="000000"/>
                <w:sz w:val="24"/>
              </w:rPr>
              <w:t>G</w:t>
            </w:r>
            <w:r w:rsidRPr="005C158F">
              <w:rPr>
                <w:bCs/>
                <w:color w:val="000000"/>
                <w:sz w:val="24"/>
              </w:rPr>
              <w:t>BM tissue (</w:t>
            </w:r>
            <w:r w:rsidRPr="005C158F">
              <w:rPr>
                <w:bCs/>
                <w:i/>
                <w:color w:val="000000"/>
                <w:sz w:val="24"/>
              </w:rPr>
              <w:t>n</w:t>
            </w:r>
            <w:r w:rsidRPr="005C158F">
              <w:rPr>
                <w:bCs/>
                <w:color w:val="000000"/>
                <w:sz w:val="24"/>
              </w:rPr>
              <w:t>, %)</w:t>
            </w:r>
          </w:p>
        </w:tc>
        <w:tc>
          <w:tcPr>
            <w:tcW w:w="1701" w:type="dxa"/>
            <w:tcBorders>
              <w:bottom w:val="nil"/>
            </w:tcBorders>
          </w:tcPr>
          <w:p w14:paraId="6E52559B" w14:textId="77777777" w:rsidR="0033457B" w:rsidRPr="005C158F" w:rsidRDefault="0033457B" w:rsidP="009F76EB">
            <w:pPr>
              <w:spacing w:line="480" w:lineRule="auto"/>
              <w:jc w:val="center"/>
              <w:rPr>
                <w:bCs/>
                <w:color w:val="000000"/>
                <w:sz w:val="24"/>
              </w:rPr>
            </w:pPr>
            <w:r w:rsidRPr="005C158F">
              <w:rPr>
                <w:bCs/>
                <w:color w:val="000000"/>
                <w:sz w:val="24"/>
              </w:rPr>
              <w:t>174/263 (66.2%)</w:t>
            </w:r>
          </w:p>
        </w:tc>
        <w:tc>
          <w:tcPr>
            <w:tcW w:w="1701" w:type="dxa"/>
            <w:tcBorders>
              <w:bottom w:val="nil"/>
            </w:tcBorders>
          </w:tcPr>
          <w:p w14:paraId="67AB1477" w14:textId="77777777" w:rsidR="0033457B" w:rsidRPr="005C158F" w:rsidRDefault="0033457B" w:rsidP="009F76EB">
            <w:pPr>
              <w:spacing w:line="480" w:lineRule="auto"/>
              <w:jc w:val="center"/>
              <w:rPr>
                <w:bCs/>
                <w:color w:val="000000"/>
                <w:sz w:val="24"/>
              </w:rPr>
            </w:pPr>
            <w:r w:rsidRPr="005C158F">
              <w:rPr>
                <w:bCs/>
                <w:color w:val="000000"/>
                <w:sz w:val="24"/>
              </w:rPr>
              <w:t>129/263 (49.0%)</w:t>
            </w:r>
          </w:p>
        </w:tc>
        <w:tc>
          <w:tcPr>
            <w:tcW w:w="1701" w:type="dxa"/>
            <w:tcBorders>
              <w:bottom w:val="nil"/>
            </w:tcBorders>
          </w:tcPr>
          <w:p w14:paraId="293D0E7F" w14:textId="77777777" w:rsidR="0033457B" w:rsidRPr="005C158F" w:rsidRDefault="0033457B" w:rsidP="009F76EB">
            <w:pPr>
              <w:spacing w:line="480" w:lineRule="auto"/>
              <w:jc w:val="center"/>
              <w:rPr>
                <w:bCs/>
                <w:color w:val="000000"/>
                <w:sz w:val="24"/>
              </w:rPr>
            </w:pPr>
            <w:r w:rsidRPr="005C158F">
              <w:rPr>
                <w:bCs/>
                <w:color w:val="000000"/>
                <w:sz w:val="24"/>
              </w:rPr>
              <w:t>116/263 (44.1%)</w:t>
            </w:r>
          </w:p>
        </w:tc>
        <w:tc>
          <w:tcPr>
            <w:tcW w:w="1643" w:type="dxa"/>
            <w:tcBorders>
              <w:bottom w:val="nil"/>
              <w:right w:val="nil"/>
            </w:tcBorders>
          </w:tcPr>
          <w:p w14:paraId="2661DBE1" w14:textId="77777777" w:rsidR="0033457B" w:rsidRPr="005C158F" w:rsidRDefault="0033457B" w:rsidP="009F76EB">
            <w:pPr>
              <w:spacing w:line="480" w:lineRule="auto"/>
              <w:jc w:val="center"/>
              <w:rPr>
                <w:bCs/>
                <w:color w:val="000000"/>
                <w:sz w:val="24"/>
              </w:rPr>
            </w:pPr>
            <w:r w:rsidRPr="005C158F">
              <w:rPr>
                <w:bCs/>
                <w:color w:val="000000"/>
                <w:sz w:val="24"/>
              </w:rPr>
              <w:t>35/263 (13.3%)</w:t>
            </w:r>
          </w:p>
        </w:tc>
        <w:tc>
          <w:tcPr>
            <w:tcW w:w="1643" w:type="dxa"/>
            <w:tcBorders>
              <w:bottom w:val="nil"/>
              <w:right w:val="nil"/>
            </w:tcBorders>
          </w:tcPr>
          <w:p w14:paraId="133D13FE" w14:textId="77777777" w:rsidR="0033457B" w:rsidRPr="005C158F" w:rsidRDefault="0033457B" w:rsidP="009F76EB">
            <w:pPr>
              <w:spacing w:line="480" w:lineRule="auto"/>
              <w:jc w:val="center"/>
              <w:rPr>
                <w:bCs/>
                <w:color w:val="000000"/>
                <w:sz w:val="24"/>
              </w:rPr>
            </w:pPr>
            <w:r w:rsidRPr="005C158F">
              <w:rPr>
                <w:rFonts w:hint="eastAsia"/>
                <w:bCs/>
                <w:color w:val="000000"/>
                <w:sz w:val="24"/>
              </w:rPr>
              <w:t>6</w:t>
            </w:r>
            <w:r w:rsidRPr="005C158F">
              <w:rPr>
                <w:bCs/>
                <w:color w:val="000000"/>
                <w:sz w:val="24"/>
              </w:rPr>
              <w:t>2/263 (23.6%)</w:t>
            </w:r>
          </w:p>
        </w:tc>
      </w:tr>
      <w:tr w:rsidR="0033457B" w:rsidRPr="005C158F" w14:paraId="5D765377" w14:textId="77777777" w:rsidTr="009F76EB">
        <w:trPr>
          <w:trHeight w:val="345"/>
          <w:jc w:val="center"/>
        </w:trPr>
        <w:tc>
          <w:tcPr>
            <w:tcW w:w="1560" w:type="dxa"/>
            <w:tcBorders>
              <w:top w:val="nil"/>
              <w:left w:val="nil"/>
            </w:tcBorders>
          </w:tcPr>
          <w:p w14:paraId="6616E772" w14:textId="77777777" w:rsidR="0033457B" w:rsidRPr="005C158F" w:rsidRDefault="0033457B" w:rsidP="009F76EB">
            <w:pPr>
              <w:spacing w:line="480" w:lineRule="auto"/>
              <w:jc w:val="left"/>
              <w:rPr>
                <w:bCs/>
                <w:color w:val="000000"/>
                <w:sz w:val="24"/>
              </w:rPr>
            </w:pPr>
            <w:r w:rsidRPr="005C158F">
              <w:rPr>
                <w:bCs/>
                <w:color w:val="000000"/>
                <w:sz w:val="24"/>
              </w:rPr>
              <w:t>Normal tissue (</w:t>
            </w:r>
            <w:r w:rsidRPr="005C158F">
              <w:rPr>
                <w:bCs/>
                <w:i/>
                <w:color w:val="000000"/>
                <w:sz w:val="24"/>
              </w:rPr>
              <w:t>n</w:t>
            </w:r>
            <w:r w:rsidRPr="005C158F">
              <w:rPr>
                <w:bCs/>
                <w:color w:val="000000"/>
                <w:sz w:val="24"/>
              </w:rPr>
              <w:t>, %)</w:t>
            </w:r>
          </w:p>
        </w:tc>
        <w:tc>
          <w:tcPr>
            <w:tcW w:w="1701" w:type="dxa"/>
            <w:tcBorders>
              <w:top w:val="nil"/>
            </w:tcBorders>
          </w:tcPr>
          <w:p w14:paraId="17B9DC6E" w14:textId="77777777" w:rsidR="0033457B" w:rsidRPr="005C158F" w:rsidRDefault="0033457B" w:rsidP="009F76EB">
            <w:pPr>
              <w:spacing w:line="480" w:lineRule="auto"/>
              <w:jc w:val="center"/>
              <w:rPr>
                <w:bCs/>
                <w:color w:val="000000"/>
                <w:sz w:val="24"/>
              </w:rPr>
            </w:pPr>
            <w:r w:rsidRPr="005C158F">
              <w:rPr>
                <w:bCs/>
                <w:color w:val="000000"/>
                <w:sz w:val="24"/>
              </w:rPr>
              <w:t>61/263 (23.2%)</w:t>
            </w:r>
          </w:p>
        </w:tc>
        <w:tc>
          <w:tcPr>
            <w:tcW w:w="1701" w:type="dxa"/>
            <w:tcBorders>
              <w:top w:val="nil"/>
            </w:tcBorders>
          </w:tcPr>
          <w:p w14:paraId="504A1D89" w14:textId="77777777" w:rsidR="0033457B" w:rsidRPr="005C158F" w:rsidRDefault="0033457B" w:rsidP="009F76EB">
            <w:pPr>
              <w:spacing w:line="480" w:lineRule="auto"/>
              <w:jc w:val="center"/>
              <w:rPr>
                <w:bCs/>
                <w:color w:val="000000"/>
                <w:sz w:val="24"/>
              </w:rPr>
            </w:pPr>
            <w:r w:rsidRPr="005C158F">
              <w:rPr>
                <w:bCs/>
                <w:color w:val="000000"/>
                <w:sz w:val="24"/>
              </w:rPr>
              <w:t>56/263 (21.3%)</w:t>
            </w:r>
          </w:p>
        </w:tc>
        <w:tc>
          <w:tcPr>
            <w:tcW w:w="1701" w:type="dxa"/>
            <w:tcBorders>
              <w:top w:val="nil"/>
            </w:tcBorders>
          </w:tcPr>
          <w:p w14:paraId="465BE5BD" w14:textId="77777777" w:rsidR="0033457B" w:rsidRPr="005C158F" w:rsidRDefault="0033457B" w:rsidP="009F76EB">
            <w:pPr>
              <w:spacing w:line="480" w:lineRule="auto"/>
              <w:jc w:val="center"/>
              <w:rPr>
                <w:bCs/>
                <w:color w:val="000000"/>
                <w:sz w:val="24"/>
              </w:rPr>
            </w:pPr>
            <w:r w:rsidRPr="005C158F">
              <w:rPr>
                <w:bCs/>
                <w:color w:val="000000"/>
                <w:sz w:val="24"/>
              </w:rPr>
              <w:t>10/263 (3.8%)</w:t>
            </w:r>
          </w:p>
        </w:tc>
        <w:tc>
          <w:tcPr>
            <w:tcW w:w="1643" w:type="dxa"/>
            <w:tcBorders>
              <w:top w:val="nil"/>
              <w:right w:val="nil"/>
            </w:tcBorders>
          </w:tcPr>
          <w:p w14:paraId="4E895CC0" w14:textId="77777777" w:rsidR="0033457B" w:rsidRPr="005C158F" w:rsidRDefault="0033457B" w:rsidP="009F76EB">
            <w:pPr>
              <w:spacing w:line="480" w:lineRule="auto"/>
              <w:jc w:val="center"/>
              <w:rPr>
                <w:bCs/>
                <w:color w:val="000000"/>
                <w:sz w:val="24"/>
              </w:rPr>
            </w:pPr>
            <w:r w:rsidRPr="005C158F">
              <w:rPr>
                <w:bCs/>
                <w:color w:val="000000"/>
                <w:sz w:val="24"/>
              </w:rPr>
              <w:t>157/263 (59.7%)</w:t>
            </w:r>
          </w:p>
        </w:tc>
        <w:tc>
          <w:tcPr>
            <w:tcW w:w="1643" w:type="dxa"/>
            <w:tcBorders>
              <w:top w:val="nil"/>
              <w:right w:val="nil"/>
            </w:tcBorders>
          </w:tcPr>
          <w:p w14:paraId="06B80A78" w14:textId="77777777" w:rsidR="0033457B" w:rsidRPr="005C158F" w:rsidRDefault="0033457B" w:rsidP="009F76EB">
            <w:pPr>
              <w:spacing w:line="480" w:lineRule="auto"/>
              <w:jc w:val="center"/>
              <w:rPr>
                <w:bCs/>
                <w:color w:val="000000"/>
                <w:sz w:val="24"/>
              </w:rPr>
            </w:pPr>
            <w:r w:rsidRPr="005C158F">
              <w:rPr>
                <w:rFonts w:hint="eastAsia"/>
                <w:bCs/>
                <w:color w:val="000000"/>
                <w:sz w:val="24"/>
              </w:rPr>
              <w:t>2</w:t>
            </w:r>
            <w:r w:rsidRPr="005C158F">
              <w:rPr>
                <w:bCs/>
                <w:color w:val="000000"/>
                <w:sz w:val="24"/>
              </w:rPr>
              <w:t>15/263 (81.7%)</w:t>
            </w:r>
          </w:p>
        </w:tc>
      </w:tr>
    </w:tbl>
    <w:p w14:paraId="1F6CED13" w14:textId="77777777" w:rsidR="0033457B" w:rsidRPr="006326A4" w:rsidRDefault="0033457B" w:rsidP="0033457B">
      <w:pPr>
        <w:spacing w:line="480" w:lineRule="auto"/>
        <w:rPr>
          <w:color w:val="000000"/>
          <w:sz w:val="24"/>
        </w:rPr>
      </w:pPr>
    </w:p>
    <w:p w14:paraId="30CFBA82" w14:textId="77777777" w:rsidR="0033457B" w:rsidRPr="005C158F" w:rsidRDefault="0033457B" w:rsidP="0033457B">
      <w:pPr>
        <w:spacing w:line="480" w:lineRule="auto"/>
        <w:rPr>
          <w:color w:val="000000"/>
          <w:sz w:val="24"/>
        </w:rPr>
      </w:pPr>
      <w:r>
        <w:rPr>
          <w:color w:val="000000"/>
          <w:szCs w:val="21"/>
        </w:rPr>
        <w:br w:type="page"/>
      </w:r>
      <w:r>
        <w:rPr>
          <w:sz w:val="24"/>
        </w:rPr>
        <w:lastRenderedPageBreak/>
        <w:t>Supplementary</w:t>
      </w:r>
      <w:r w:rsidRPr="005C158F">
        <w:rPr>
          <w:color w:val="000000"/>
          <w:sz w:val="24"/>
        </w:rPr>
        <w:t xml:space="preserve"> Table 2 The relative relationship between p-FAK (T397) and PI3K</w:t>
      </w:r>
      <w:r>
        <w:rPr>
          <w:color w:val="000000"/>
          <w:sz w:val="24"/>
        </w:rPr>
        <w:t xml:space="preserve"> or</w:t>
      </w:r>
      <w:r w:rsidRPr="005C158F">
        <w:rPr>
          <w:color w:val="000000"/>
          <w:sz w:val="24"/>
        </w:rPr>
        <w:t xml:space="preserve"> p-AKT (Ser473) in GBM tissue</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354"/>
        <w:gridCol w:w="1247"/>
        <w:gridCol w:w="22"/>
        <w:gridCol w:w="126"/>
        <w:gridCol w:w="1180"/>
        <w:gridCol w:w="22"/>
        <w:gridCol w:w="1089"/>
        <w:gridCol w:w="22"/>
        <w:gridCol w:w="1149"/>
        <w:gridCol w:w="221"/>
        <w:gridCol w:w="1168"/>
        <w:gridCol w:w="397"/>
        <w:gridCol w:w="9"/>
        <w:gridCol w:w="1140"/>
        <w:gridCol w:w="9"/>
        <w:gridCol w:w="20"/>
      </w:tblGrid>
      <w:tr w:rsidR="0033457B" w:rsidRPr="005C158F" w14:paraId="72B9B5BD" w14:textId="77777777" w:rsidTr="009F76EB">
        <w:trPr>
          <w:gridAfter w:val="1"/>
          <w:wAfter w:w="20" w:type="dxa"/>
          <w:trHeight w:val="361"/>
          <w:jc w:val="center"/>
        </w:trPr>
        <w:tc>
          <w:tcPr>
            <w:tcW w:w="1354" w:type="dxa"/>
            <w:vMerge w:val="restart"/>
            <w:tcBorders>
              <w:left w:val="nil"/>
            </w:tcBorders>
            <w:vAlign w:val="center"/>
          </w:tcPr>
          <w:p w14:paraId="2C32E771" w14:textId="77777777" w:rsidR="0033457B" w:rsidRPr="005C158F" w:rsidRDefault="0033457B" w:rsidP="009F76EB">
            <w:pPr>
              <w:spacing w:line="480" w:lineRule="auto"/>
              <w:jc w:val="center"/>
              <w:rPr>
                <w:color w:val="000000"/>
                <w:sz w:val="24"/>
              </w:rPr>
            </w:pPr>
            <w:r w:rsidRPr="005C158F">
              <w:rPr>
                <w:color w:val="000000"/>
                <w:sz w:val="24"/>
              </w:rPr>
              <w:t>p-FAK</w:t>
            </w:r>
          </w:p>
        </w:tc>
        <w:tc>
          <w:tcPr>
            <w:tcW w:w="2575" w:type="dxa"/>
            <w:gridSpan w:val="4"/>
            <w:vAlign w:val="center"/>
          </w:tcPr>
          <w:p w14:paraId="37E5A834" w14:textId="77777777" w:rsidR="0033457B" w:rsidRPr="005C158F" w:rsidRDefault="0033457B" w:rsidP="009F76EB">
            <w:pPr>
              <w:spacing w:line="480" w:lineRule="auto"/>
              <w:jc w:val="center"/>
              <w:rPr>
                <w:color w:val="000000"/>
                <w:sz w:val="24"/>
              </w:rPr>
            </w:pPr>
            <w:r w:rsidRPr="005C158F">
              <w:rPr>
                <w:color w:val="000000"/>
                <w:sz w:val="24"/>
              </w:rPr>
              <w:t>PI3K</w:t>
            </w:r>
          </w:p>
        </w:tc>
        <w:tc>
          <w:tcPr>
            <w:tcW w:w="1111" w:type="dxa"/>
            <w:gridSpan w:val="2"/>
            <w:vAlign w:val="center"/>
          </w:tcPr>
          <w:p w14:paraId="007297AE" w14:textId="77777777" w:rsidR="0033457B" w:rsidRPr="005C158F" w:rsidRDefault="0033457B" w:rsidP="009F76EB">
            <w:pPr>
              <w:spacing w:line="480" w:lineRule="auto"/>
              <w:jc w:val="center"/>
              <w:rPr>
                <w:color w:val="000000"/>
                <w:sz w:val="24"/>
              </w:rPr>
            </w:pPr>
            <w:r w:rsidRPr="005C158F">
              <w:rPr>
                <w:i/>
                <w:color w:val="000000"/>
                <w:sz w:val="24"/>
              </w:rPr>
              <w:t>P</w:t>
            </w:r>
          </w:p>
        </w:tc>
        <w:tc>
          <w:tcPr>
            <w:tcW w:w="2966" w:type="dxa"/>
            <w:gridSpan w:val="6"/>
            <w:vAlign w:val="center"/>
          </w:tcPr>
          <w:p w14:paraId="473197F2" w14:textId="77777777" w:rsidR="0033457B" w:rsidRPr="005C158F" w:rsidRDefault="0033457B" w:rsidP="009F76EB">
            <w:pPr>
              <w:spacing w:line="480" w:lineRule="auto"/>
              <w:jc w:val="center"/>
              <w:rPr>
                <w:color w:val="000000"/>
                <w:sz w:val="24"/>
              </w:rPr>
            </w:pPr>
            <w:r w:rsidRPr="005C158F">
              <w:rPr>
                <w:bCs/>
                <w:color w:val="000000"/>
                <w:sz w:val="24"/>
              </w:rPr>
              <w:t>p- AKT</w:t>
            </w:r>
            <w:r>
              <w:rPr>
                <w:rFonts w:hint="eastAsia"/>
                <w:bCs/>
                <w:color w:val="000000"/>
                <w:sz w:val="24"/>
              </w:rPr>
              <w:t xml:space="preserve"> </w:t>
            </w:r>
            <w:r>
              <w:rPr>
                <w:bCs/>
                <w:color w:val="000000"/>
                <w:sz w:val="24"/>
              </w:rPr>
              <w:t>(</w:t>
            </w:r>
            <w:r w:rsidRPr="005C158F">
              <w:rPr>
                <w:bCs/>
                <w:color w:val="000000"/>
                <w:sz w:val="24"/>
              </w:rPr>
              <w:t>S473</w:t>
            </w:r>
            <w:r>
              <w:rPr>
                <w:bCs/>
                <w:color w:val="000000"/>
                <w:sz w:val="24"/>
              </w:rPr>
              <w:t>)</w:t>
            </w:r>
          </w:p>
        </w:tc>
        <w:tc>
          <w:tcPr>
            <w:tcW w:w="1149" w:type="dxa"/>
            <w:gridSpan w:val="2"/>
            <w:tcBorders>
              <w:right w:val="nil"/>
            </w:tcBorders>
            <w:vAlign w:val="center"/>
          </w:tcPr>
          <w:p w14:paraId="549EFF6C" w14:textId="77777777" w:rsidR="0033457B" w:rsidRPr="005C158F" w:rsidRDefault="0033457B" w:rsidP="009F76EB">
            <w:pPr>
              <w:spacing w:line="480" w:lineRule="auto"/>
              <w:jc w:val="center"/>
              <w:rPr>
                <w:color w:val="000000"/>
                <w:sz w:val="24"/>
              </w:rPr>
            </w:pPr>
            <w:r w:rsidRPr="005C158F">
              <w:rPr>
                <w:i/>
                <w:color w:val="000000"/>
                <w:sz w:val="24"/>
              </w:rPr>
              <w:t>P</w:t>
            </w:r>
          </w:p>
        </w:tc>
      </w:tr>
      <w:tr w:rsidR="0033457B" w:rsidRPr="005C158F" w14:paraId="1F7F9073" w14:textId="77777777" w:rsidTr="009F76EB">
        <w:trPr>
          <w:trHeight w:val="374"/>
          <w:jc w:val="center"/>
        </w:trPr>
        <w:tc>
          <w:tcPr>
            <w:tcW w:w="1354" w:type="dxa"/>
            <w:vMerge/>
            <w:tcBorders>
              <w:left w:val="nil"/>
              <w:bottom w:val="single" w:sz="4" w:space="0" w:color="auto"/>
            </w:tcBorders>
            <w:vAlign w:val="center"/>
          </w:tcPr>
          <w:p w14:paraId="597DF5E4" w14:textId="77777777" w:rsidR="0033457B" w:rsidRPr="005C158F" w:rsidRDefault="0033457B" w:rsidP="009F76EB">
            <w:pPr>
              <w:spacing w:line="480" w:lineRule="auto"/>
              <w:jc w:val="center"/>
              <w:rPr>
                <w:color w:val="000000"/>
                <w:sz w:val="24"/>
              </w:rPr>
            </w:pPr>
          </w:p>
        </w:tc>
        <w:tc>
          <w:tcPr>
            <w:tcW w:w="1269" w:type="dxa"/>
            <w:gridSpan w:val="2"/>
            <w:tcBorders>
              <w:bottom w:val="single" w:sz="4" w:space="0" w:color="auto"/>
            </w:tcBorders>
            <w:vAlign w:val="center"/>
          </w:tcPr>
          <w:p w14:paraId="504F0AC3" w14:textId="77777777" w:rsidR="0033457B" w:rsidRPr="005C158F" w:rsidRDefault="0033457B" w:rsidP="009F76EB">
            <w:pPr>
              <w:spacing w:line="480" w:lineRule="auto"/>
              <w:jc w:val="center"/>
              <w:rPr>
                <w:color w:val="000000"/>
                <w:sz w:val="24"/>
              </w:rPr>
            </w:pPr>
            <w:r w:rsidRPr="005C158F">
              <w:rPr>
                <w:color w:val="000000"/>
                <w:sz w:val="24"/>
              </w:rPr>
              <w:t>High</w:t>
            </w:r>
            <w:r>
              <w:rPr>
                <w:color w:val="000000"/>
                <w:sz w:val="24"/>
              </w:rPr>
              <w:t xml:space="preserve"> </w:t>
            </w:r>
            <w:r w:rsidRPr="005C158F">
              <w:rPr>
                <w:color w:val="000000"/>
                <w:sz w:val="24"/>
              </w:rPr>
              <w:t>expression</w:t>
            </w:r>
          </w:p>
        </w:tc>
        <w:tc>
          <w:tcPr>
            <w:tcW w:w="1328" w:type="dxa"/>
            <w:gridSpan w:val="3"/>
            <w:tcBorders>
              <w:bottom w:val="single" w:sz="4" w:space="0" w:color="auto"/>
            </w:tcBorders>
            <w:vAlign w:val="center"/>
          </w:tcPr>
          <w:p w14:paraId="035CBA01" w14:textId="77777777" w:rsidR="0033457B" w:rsidRPr="005C158F" w:rsidRDefault="0033457B" w:rsidP="009F76EB">
            <w:pPr>
              <w:spacing w:line="480" w:lineRule="auto"/>
              <w:jc w:val="center"/>
              <w:rPr>
                <w:color w:val="000000"/>
                <w:sz w:val="24"/>
              </w:rPr>
            </w:pPr>
            <w:r w:rsidRPr="005C158F">
              <w:rPr>
                <w:color w:val="000000"/>
                <w:sz w:val="24"/>
              </w:rPr>
              <w:t>Low</w:t>
            </w:r>
            <w:r>
              <w:rPr>
                <w:color w:val="000000"/>
                <w:sz w:val="24"/>
              </w:rPr>
              <w:t xml:space="preserve"> </w:t>
            </w:r>
            <w:r w:rsidRPr="005C158F">
              <w:rPr>
                <w:color w:val="000000"/>
                <w:sz w:val="24"/>
              </w:rPr>
              <w:t>expression</w:t>
            </w:r>
          </w:p>
        </w:tc>
        <w:tc>
          <w:tcPr>
            <w:tcW w:w="1111" w:type="dxa"/>
            <w:gridSpan w:val="2"/>
            <w:vAlign w:val="center"/>
          </w:tcPr>
          <w:p w14:paraId="17585FB4" w14:textId="77777777" w:rsidR="0033457B" w:rsidRPr="005C158F" w:rsidRDefault="0033457B" w:rsidP="009F76EB">
            <w:pPr>
              <w:spacing w:line="480" w:lineRule="auto"/>
              <w:jc w:val="center"/>
              <w:rPr>
                <w:color w:val="000000"/>
                <w:sz w:val="24"/>
              </w:rPr>
            </w:pPr>
          </w:p>
        </w:tc>
        <w:tc>
          <w:tcPr>
            <w:tcW w:w="1149" w:type="dxa"/>
            <w:tcBorders>
              <w:bottom w:val="single" w:sz="4" w:space="0" w:color="auto"/>
            </w:tcBorders>
            <w:vAlign w:val="center"/>
          </w:tcPr>
          <w:p w14:paraId="345C3DBB" w14:textId="77777777" w:rsidR="0033457B" w:rsidRPr="005C158F" w:rsidRDefault="0033457B" w:rsidP="009F76EB">
            <w:pPr>
              <w:spacing w:line="480" w:lineRule="auto"/>
              <w:ind w:right="-103"/>
              <w:jc w:val="center"/>
              <w:rPr>
                <w:color w:val="000000"/>
                <w:sz w:val="24"/>
              </w:rPr>
            </w:pPr>
            <w:r w:rsidRPr="005C158F">
              <w:rPr>
                <w:color w:val="000000"/>
                <w:sz w:val="24"/>
              </w:rPr>
              <w:t>High</w:t>
            </w:r>
            <w:r>
              <w:rPr>
                <w:color w:val="000000"/>
                <w:sz w:val="24"/>
              </w:rPr>
              <w:t xml:space="preserve"> </w:t>
            </w:r>
            <w:r w:rsidRPr="005C158F">
              <w:rPr>
                <w:color w:val="000000"/>
                <w:sz w:val="24"/>
              </w:rPr>
              <w:t>expression</w:t>
            </w:r>
          </w:p>
        </w:tc>
        <w:tc>
          <w:tcPr>
            <w:tcW w:w="1389" w:type="dxa"/>
            <w:gridSpan w:val="2"/>
            <w:tcBorders>
              <w:bottom w:val="single" w:sz="4" w:space="0" w:color="auto"/>
            </w:tcBorders>
            <w:vAlign w:val="center"/>
          </w:tcPr>
          <w:p w14:paraId="51B8F165" w14:textId="77777777" w:rsidR="0033457B" w:rsidRPr="005C158F" w:rsidRDefault="0033457B" w:rsidP="009F76EB">
            <w:pPr>
              <w:spacing w:line="480" w:lineRule="auto"/>
              <w:jc w:val="center"/>
              <w:rPr>
                <w:color w:val="000000"/>
                <w:sz w:val="24"/>
              </w:rPr>
            </w:pPr>
            <w:r w:rsidRPr="005C158F">
              <w:rPr>
                <w:color w:val="000000"/>
                <w:sz w:val="24"/>
              </w:rPr>
              <w:t>Low</w:t>
            </w:r>
            <w:r>
              <w:rPr>
                <w:color w:val="000000"/>
                <w:sz w:val="24"/>
              </w:rPr>
              <w:t xml:space="preserve"> </w:t>
            </w:r>
            <w:r w:rsidRPr="005C158F">
              <w:rPr>
                <w:color w:val="000000"/>
                <w:sz w:val="24"/>
              </w:rPr>
              <w:t>expression</w:t>
            </w:r>
          </w:p>
        </w:tc>
        <w:tc>
          <w:tcPr>
            <w:tcW w:w="1575" w:type="dxa"/>
            <w:gridSpan w:val="5"/>
            <w:tcBorders>
              <w:right w:val="nil"/>
            </w:tcBorders>
            <w:vAlign w:val="center"/>
          </w:tcPr>
          <w:p w14:paraId="3F118DF4" w14:textId="77777777" w:rsidR="0033457B" w:rsidRPr="005C158F" w:rsidRDefault="0033457B" w:rsidP="009F76EB">
            <w:pPr>
              <w:spacing w:line="480" w:lineRule="auto"/>
              <w:jc w:val="center"/>
              <w:rPr>
                <w:color w:val="000000"/>
                <w:sz w:val="24"/>
              </w:rPr>
            </w:pPr>
          </w:p>
        </w:tc>
      </w:tr>
      <w:tr w:rsidR="0033457B" w:rsidRPr="005C158F" w14:paraId="463D9F0A" w14:textId="77777777" w:rsidTr="009F76EB">
        <w:trPr>
          <w:gridAfter w:val="2"/>
          <w:wAfter w:w="29" w:type="dxa"/>
          <w:trHeight w:val="347"/>
          <w:jc w:val="center"/>
        </w:trPr>
        <w:tc>
          <w:tcPr>
            <w:tcW w:w="1354" w:type="dxa"/>
            <w:tcBorders>
              <w:left w:val="nil"/>
              <w:bottom w:val="nil"/>
            </w:tcBorders>
            <w:vAlign w:val="center"/>
          </w:tcPr>
          <w:p w14:paraId="7BD55833" w14:textId="77777777" w:rsidR="0033457B" w:rsidRPr="005C158F" w:rsidRDefault="0033457B" w:rsidP="009F76EB">
            <w:pPr>
              <w:spacing w:line="480" w:lineRule="auto"/>
              <w:jc w:val="center"/>
              <w:rPr>
                <w:color w:val="000000"/>
                <w:sz w:val="24"/>
              </w:rPr>
            </w:pPr>
            <w:r w:rsidRPr="005C158F">
              <w:rPr>
                <w:color w:val="000000"/>
                <w:sz w:val="24"/>
              </w:rPr>
              <w:t>High</w:t>
            </w:r>
            <w:r>
              <w:rPr>
                <w:color w:val="000000"/>
                <w:sz w:val="24"/>
              </w:rPr>
              <w:t xml:space="preserve"> </w:t>
            </w:r>
            <w:r w:rsidRPr="005C158F">
              <w:rPr>
                <w:color w:val="000000"/>
                <w:sz w:val="24"/>
              </w:rPr>
              <w:t>expression</w:t>
            </w:r>
          </w:p>
        </w:tc>
        <w:tc>
          <w:tcPr>
            <w:tcW w:w="1395" w:type="dxa"/>
            <w:gridSpan w:val="3"/>
            <w:tcBorders>
              <w:top w:val="nil"/>
              <w:bottom w:val="nil"/>
            </w:tcBorders>
            <w:vAlign w:val="center"/>
          </w:tcPr>
          <w:p w14:paraId="42A5A738" w14:textId="77777777" w:rsidR="0033457B" w:rsidRPr="005C158F" w:rsidRDefault="0033457B" w:rsidP="009F76EB">
            <w:pPr>
              <w:spacing w:line="480" w:lineRule="auto"/>
              <w:jc w:val="center"/>
              <w:rPr>
                <w:color w:val="000000"/>
                <w:sz w:val="24"/>
              </w:rPr>
            </w:pPr>
            <w:r w:rsidRPr="005C158F">
              <w:rPr>
                <w:color w:val="000000"/>
                <w:sz w:val="24"/>
              </w:rPr>
              <w:t>107</w:t>
            </w:r>
          </w:p>
        </w:tc>
        <w:tc>
          <w:tcPr>
            <w:tcW w:w="1180" w:type="dxa"/>
            <w:tcBorders>
              <w:top w:val="nil"/>
              <w:bottom w:val="nil"/>
            </w:tcBorders>
            <w:vAlign w:val="center"/>
          </w:tcPr>
          <w:p w14:paraId="680CF193" w14:textId="77777777" w:rsidR="0033457B" w:rsidRPr="005C158F" w:rsidRDefault="0033457B" w:rsidP="009F76EB">
            <w:pPr>
              <w:spacing w:line="480" w:lineRule="auto"/>
              <w:jc w:val="center"/>
              <w:rPr>
                <w:color w:val="000000"/>
                <w:sz w:val="24"/>
              </w:rPr>
            </w:pPr>
            <w:r w:rsidRPr="005C158F">
              <w:rPr>
                <w:color w:val="000000"/>
                <w:sz w:val="24"/>
              </w:rPr>
              <w:t>67</w:t>
            </w:r>
          </w:p>
        </w:tc>
        <w:tc>
          <w:tcPr>
            <w:tcW w:w="1111" w:type="dxa"/>
            <w:gridSpan w:val="2"/>
            <w:tcBorders>
              <w:top w:val="nil"/>
              <w:bottom w:val="nil"/>
            </w:tcBorders>
            <w:vAlign w:val="center"/>
          </w:tcPr>
          <w:p w14:paraId="539C7343" w14:textId="77777777" w:rsidR="0033457B" w:rsidRPr="00147CAA" w:rsidRDefault="0033457B" w:rsidP="009F76EB">
            <w:pPr>
              <w:spacing w:line="480" w:lineRule="auto"/>
              <w:jc w:val="center"/>
              <w:rPr>
                <w:color w:val="000000"/>
                <w:sz w:val="24"/>
              </w:rPr>
            </w:pPr>
            <w:r w:rsidRPr="00147CAA">
              <w:rPr>
                <w:color w:val="000000"/>
                <w:sz w:val="24"/>
              </w:rPr>
              <w:t>&lt;0.001</w:t>
            </w:r>
          </w:p>
        </w:tc>
        <w:tc>
          <w:tcPr>
            <w:tcW w:w="1392" w:type="dxa"/>
            <w:gridSpan w:val="3"/>
            <w:tcBorders>
              <w:top w:val="nil"/>
              <w:bottom w:val="nil"/>
            </w:tcBorders>
            <w:vAlign w:val="center"/>
          </w:tcPr>
          <w:p w14:paraId="33FEA988" w14:textId="77777777" w:rsidR="0033457B" w:rsidRPr="005C158F" w:rsidRDefault="0033457B" w:rsidP="009F76EB">
            <w:pPr>
              <w:spacing w:line="480" w:lineRule="auto"/>
              <w:jc w:val="center"/>
              <w:rPr>
                <w:color w:val="000000"/>
                <w:sz w:val="24"/>
              </w:rPr>
            </w:pPr>
            <w:r w:rsidRPr="005C158F">
              <w:rPr>
                <w:color w:val="000000"/>
                <w:sz w:val="24"/>
              </w:rPr>
              <w:t>94</w:t>
            </w:r>
          </w:p>
        </w:tc>
        <w:tc>
          <w:tcPr>
            <w:tcW w:w="1565" w:type="dxa"/>
            <w:gridSpan w:val="2"/>
            <w:tcBorders>
              <w:top w:val="nil"/>
              <w:bottom w:val="nil"/>
            </w:tcBorders>
            <w:vAlign w:val="center"/>
          </w:tcPr>
          <w:p w14:paraId="4BBA983A" w14:textId="77777777" w:rsidR="0033457B" w:rsidRPr="00106057" w:rsidRDefault="0033457B" w:rsidP="009F76EB">
            <w:pPr>
              <w:spacing w:line="480" w:lineRule="auto"/>
              <w:jc w:val="center"/>
              <w:rPr>
                <w:color w:val="000000"/>
                <w:sz w:val="24"/>
              </w:rPr>
            </w:pPr>
            <w:r w:rsidRPr="00106057">
              <w:rPr>
                <w:color w:val="000000"/>
                <w:sz w:val="24"/>
              </w:rPr>
              <w:t>80</w:t>
            </w:r>
          </w:p>
        </w:tc>
        <w:tc>
          <w:tcPr>
            <w:tcW w:w="1149" w:type="dxa"/>
            <w:gridSpan w:val="2"/>
            <w:tcBorders>
              <w:top w:val="nil"/>
              <w:bottom w:val="nil"/>
              <w:right w:val="nil"/>
            </w:tcBorders>
            <w:vAlign w:val="center"/>
          </w:tcPr>
          <w:p w14:paraId="506ED065" w14:textId="77777777" w:rsidR="0033457B" w:rsidRPr="00147CAA" w:rsidRDefault="0033457B" w:rsidP="009F76EB">
            <w:pPr>
              <w:spacing w:line="480" w:lineRule="auto"/>
              <w:jc w:val="center"/>
              <w:rPr>
                <w:color w:val="000000"/>
                <w:sz w:val="24"/>
              </w:rPr>
            </w:pPr>
            <w:r w:rsidRPr="00147CAA">
              <w:rPr>
                <w:color w:val="000000"/>
                <w:sz w:val="24"/>
              </w:rPr>
              <w:t>&lt;0.001</w:t>
            </w:r>
          </w:p>
        </w:tc>
      </w:tr>
      <w:tr w:rsidR="0033457B" w:rsidRPr="005C158F" w14:paraId="5E3C9E05" w14:textId="77777777" w:rsidTr="009F76EB">
        <w:trPr>
          <w:gridAfter w:val="2"/>
          <w:wAfter w:w="29" w:type="dxa"/>
          <w:trHeight w:val="361"/>
          <w:jc w:val="center"/>
        </w:trPr>
        <w:tc>
          <w:tcPr>
            <w:tcW w:w="1354" w:type="dxa"/>
            <w:tcBorders>
              <w:top w:val="nil"/>
              <w:left w:val="nil"/>
              <w:bottom w:val="single" w:sz="4" w:space="0" w:color="auto"/>
            </w:tcBorders>
            <w:vAlign w:val="center"/>
          </w:tcPr>
          <w:p w14:paraId="450B0F22" w14:textId="77777777" w:rsidR="0033457B" w:rsidRPr="005C158F" w:rsidRDefault="0033457B" w:rsidP="009F76EB">
            <w:pPr>
              <w:spacing w:line="480" w:lineRule="auto"/>
              <w:jc w:val="center"/>
              <w:rPr>
                <w:color w:val="000000"/>
                <w:sz w:val="24"/>
              </w:rPr>
            </w:pPr>
            <w:r w:rsidRPr="005C158F">
              <w:rPr>
                <w:color w:val="000000"/>
                <w:sz w:val="24"/>
              </w:rPr>
              <w:t>Low</w:t>
            </w:r>
            <w:r>
              <w:rPr>
                <w:color w:val="000000"/>
                <w:sz w:val="24"/>
              </w:rPr>
              <w:t xml:space="preserve"> </w:t>
            </w:r>
            <w:r w:rsidRPr="005C158F">
              <w:rPr>
                <w:color w:val="000000"/>
                <w:sz w:val="24"/>
              </w:rPr>
              <w:t>expression</w:t>
            </w:r>
          </w:p>
        </w:tc>
        <w:tc>
          <w:tcPr>
            <w:tcW w:w="1247" w:type="dxa"/>
            <w:tcBorders>
              <w:top w:val="nil"/>
              <w:bottom w:val="single" w:sz="4" w:space="0" w:color="auto"/>
            </w:tcBorders>
            <w:vAlign w:val="center"/>
          </w:tcPr>
          <w:p w14:paraId="545076A6" w14:textId="77777777" w:rsidR="0033457B" w:rsidRPr="005C158F" w:rsidRDefault="0033457B" w:rsidP="009F76EB">
            <w:pPr>
              <w:spacing w:line="480" w:lineRule="auto"/>
              <w:jc w:val="center"/>
              <w:rPr>
                <w:color w:val="000000"/>
                <w:sz w:val="24"/>
              </w:rPr>
            </w:pPr>
            <w:r w:rsidRPr="005C158F">
              <w:rPr>
                <w:color w:val="000000"/>
                <w:sz w:val="24"/>
              </w:rPr>
              <w:t>22</w:t>
            </w:r>
          </w:p>
        </w:tc>
        <w:tc>
          <w:tcPr>
            <w:tcW w:w="1328" w:type="dxa"/>
            <w:gridSpan w:val="3"/>
            <w:tcBorders>
              <w:top w:val="nil"/>
              <w:bottom w:val="single" w:sz="4" w:space="0" w:color="auto"/>
            </w:tcBorders>
            <w:vAlign w:val="center"/>
          </w:tcPr>
          <w:p w14:paraId="2DE49C57" w14:textId="77777777" w:rsidR="0033457B" w:rsidRPr="005C158F" w:rsidRDefault="0033457B" w:rsidP="009F76EB">
            <w:pPr>
              <w:spacing w:line="480" w:lineRule="auto"/>
              <w:jc w:val="center"/>
              <w:rPr>
                <w:color w:val="000000"/>
                <w:sz w:val="24"/>
              </w:rPr>
            </w:pPr>
            <w:r w:rsidRPr="005C158F">
              <w:rPr>
                <w:color w:val="000000"/>
                <w:sz w:val="24"/>
              </w:rPr>
              <w:t>67</w:t>
            </w:r>
          </w:p>
        </w:tc>
        <w:tc>
          <w:tcPr>
            <w:tcW w:w="1111" w:type="dxa"/>
            <w:gridSpan w:val="2"/>
            <w:tcBorders>
              <w:top w:val="nil"/>
              <w:bottom w:val="single" w:sz="4" w:space="0" w:color="auto"/>
            </w:tcBorders>
            <w:vAlign w:val="center"/>
          </w:tcPr>
          <w:p w14:paraId="364E8DDF" w14:textId="77777777" w:rsidR="0033457B" w:rsidRPr="005C158F" w:rsidRDefault="0033457B" w:rsidP="009F76EB">
            <w:pPr>
              <w:spacing w:line="480" w:lineRule="auto"/>
              <w:jc w:val="center"/>
              <w:rPr>
                <w:color w:val="000000"/>
                <w:sz w:val="24"/>
              </w:rPr>
            </w:pPr>
          </w:p>
        </w:tc>
        <w:tc>
          <w:tcPr>
            <w:tcW w:w="1392" w:type="dxa"/>
            <w:gridSpan w:val="3"/>
            <w:tcBorders>
              <w:top w:val="nil"/>
              <w:bottom w:val="single" w:sz="4" w:space="0" w:color="auto"/>
            </w:tcBorders>
            <w:vAlign w:val="center"/>
          </w:tcPr>
          <w:p w14:paraId="7EA57CCC" w14:textId="77777777" w:rsidR="0033457B" w:rsidRPr="005C158F" w:rsidRDefault="0033457B" w:rsidP="009F76EB">
            <w:pPr>
              <w:spacing w:line="480" w:lineRule="auto"/>
              <w:jc w:val="center"/>
              <w:rPr>
                <w:color w:val="000000"/>
                <w:sz w:val="24"/>
              </w:rPr>
            </w:pPr>
            <w:r w:rsidRPr="005C158F">
              <w:rPr>
                <w:color w:val="000000"/>
                <w:sz w:val="24"/>
              </w:rPr>
              <w:t>21</w:t>
            </w:r>
          </w:p>
        </w:tc>
        <w:tc>
          <w:tcPr>
            <w:tcW w:w="1565" w:type="dxa"/>
            <w:gridSpan w:val="2"/>
            <w:tcBorders>
              <w:top w:val="nil"/>
              <w:bottom w:val="single" w:sz="4" w:space="0" w:color="auto"/>
            </w:tcBorders>
            <w:vAlign w:val="center"/>
          </w:tcPr>
          <w:p w14:paraId="2DB1A7AE" w14:textId="77777777" w:rsidR="0033457B" w:rsidRPr="005C158F" w:rsidRDefault="0033457B" w:rsidP="009F76EB">
            <w:pPr>
              <w:spacing w:line="480" w:lineRule="auto"/>
              <w:jc w:val="center"/>
              <w:rPr>
                <w:color w:val="000000"/>
                <w:sz w:val="24"/>
              </w:rPr>
            </w:pPr>
            <w:r w:rsidRPr="005C158F">
              <w:rPr>
                <w:color w:val="000000"/>
                <w:sz w:val="24"/>
              </w:rPr>
              <w:t>68</w:t>
            </w:r>
          </w:p>
        </w:tc>
        <w:tc>
          <w:tcPr>
            <w:tcW w:w="1149" w:type="dxa"/>
            <w:gridSpan w:val="2"/>
            <w:tcBorders>
              <w:top w:val="nil"/>
              <w:bottom w:val="single" w:sz="4" w:space="0" w:color="auto"/>
              <w:right w:val="nil"/>
            </w:tcBorders>
            <w:vAlign w:val="center"/>
          </w:tcPr>
          <w:p w14:paraId="137A8492" w14:textId="77777777" w:rsidR="0033457B" w:rsidRPr="005C158F" w:rsidRDefault="0033457B" w:rsidP="009F76EB">
            <w:pPr>
              <w:spacing w:line="480" w:lineRule="auto"/>
              <w:jc w:val="center"/>
              <w:rPr>
                <w:color w:val="000000"/>
                <w:sz w:val="24"/>
              </w:rPr>
            </w:pPr>
          </w:p>
        </w:tc>
      </w:tr>
    </w:tbl>
    <w:p w14:paraId="5686FC82" w14:textId="77777777" w:rsidR="0033457B" w:rsidRDefault="0033457B" w:rsidP="0033457B">
      <w:pPr>
        <w:spacing w:line="480" w:lineRule="auto"/>
        <w:ind w:firstLineChars="100" w:firstLine="240"/>
        <w:rPr>
          <w:sz w:val="24"/>
        </w:rPr>
      </w:pPr>
    </w:p>
    <w:p w14:paraId="1391E723" w14:textId="77777777" w:rsidR="0033457B" w:rsidRPr="005C158F" w:rsidRDefault="0033457B" w:rsidP="0033457B">
      <w:pPr>
        <w:spacing w:line="480" w:lineRule="auto"/>
        <w:ind w:firstLineChars="100" w:firstLine="240"/>
        <w:jc w:val="center"/>
        <w:rPr>
          <w:sz w:val="24"/>
        </w:rPr>
      </w:pPr>
      <w:r>
        <w:rPr>
          <w:sz w:val="24"/>
        </w:rPr>
        <w:br w:type="page"/>
      </w:r>
      <w:r>
        <w:rPr>
          <w:sz w:val="24"/>
        </w:rPr>
        <w:lastRenderedPageBreak/>
        <w:t>Supplementary</w:t>
      </w:r>
      <w:r w:rsidRPr="005C158F">
        <w:rPr>
          <w:rFonts w:hint="eastAsia"/>
          <w:sz w:val="24"/>
        </w:rPr>
        <w:t xml:space="preserve"> T</w:t>
      </w:r>
      <w:r w:rsidRPr="005C158F">
        <w:rPr>
          <w:sz w:val="24"/>
        </w:rPr>
        <w:t>able 3 Summary of differentially expressed proteins</w:t>
      </w:r>
    </w:p>
    <w:tbl>
      <w:tblPr>
        <w:tblW w:w="0" w:type="auto"/>
        <w:tblLook w:val="04A0" w:firstRow="1" w:lastRow="0" w:firstColumn="1" w:lastColumn="0" w:noHBand="0" w:noVBand="1"/>
      </w:tblPr>
      <w:tblGrid>
        <w:gridCol w:w="2864"/>
        <w:gridCol w:w="2881"/>
        <w:gridCol w:w="2895"/>
      </w:tblGrid>
      <w:tr w:rsidR="0033457B" w:rsidRPr="005C158F" w14:paraId="277F0978" w14:textId="77777777" w:rsidTr="009F76EB">
        <w:trPr>
          <w:trHeight w:val="460"/>
        </w:trPr>
        <w:tc>
          <w:tcPr>
            <w:tcW w:w="2952" w:type="dxa"/>
            <w:tcBorders>
              <w:top w:val="single" w:sz="4" w:space="0" w:color="auto"/>
              <w:bottom w:val="single" w:sz="4" w:space="0" w:color="auto"/>
            </w:tcBorders>
            <w:shd w:val="clear" w:color="auto" w:fill="auto"/>
          </w:tcPr>
          <w:p w14:paraId="5F5CF05F" w14:textId="77777777" w:rsidR="0033457B" w:rsidRPr="005C158F" w:rsidRDefault="0033457B" w:rsidP="009F76EB">
            <w:pPr>
              <w:spacing w:line="480" w:lineRule="auto"/>
              <w:jc w:val="center"/>
              <w:rPr>
                <w:sz w:val="24"/>
              </w:rPr>
            </w:pPr>
          </w:p>
        </w:tc>
        <w:tc>
          <w:tcPr>
            <w:tcW w:w="2952" w:type="dxa"/>
            <w:tcBorders>
              <w:top w:val="single" w:sz="4" w:space="0" w:color="auto"/>
              <w:bottom w:val="single" w:sz="4" w:space="0" w:color="auto"/>
            </w:tcBorders>
            <w:shd w:val="clear" w:color="auto" w:fill="auto"/>
          </w:tcPr>
          <w:p w14:paraId="0B7E515E" w14:textId="77777777" w:rsidR="0033457B" w:rsidRPr="005C158F" w:rsidRDefault="0033457B" w:rsidP="009F76EB">
            <w:pPr>
              <w:spacing w:line="480" w:lineRule="auto"/>
              <w:jc w:val="center"/>
              <w:rPr>
                <w:sz w:val="24"/>
              </w:rPr>
            </w:pPr>
            <w:r w:rsidRPr="005C158F">
              <w:rPr>
                <w:rFonts w:hint="eastAsia"/>
                <w:sz w:val="24"/>
              </w:rPr>
              <w:t>U</w:t>
            </w:r>
            <w:r w:rsidRPr="005C158F">
              <w:rPr>
                <w:sz w:val="24"/>
              </w:rPr>
              <w:t>pregulation</w:t>
            </w:r>
          </w:p>
        </w:tc>
        <w:tc>
          <w:tcPr>
            <w:tcW w:w="2952" w:type="dxa"/>
            <w:tcBorders>
              <w:top w:val="single" w:sz="4" w:space="0" w:color="auto"/>
              <w:bottom w:val="single" w:sz="4" w:space="0" w:color="auto"/>
            </w:tcBorders>
            <w:shd w:val="clear" w:color="auto" w:fill="auto"/>
          </w:tcPr>
          <w:p w14:paraId="0804495C" w14:textId="77777777" w:rsidR="0033457B" w:rsidRPr="005C158F" w:rsidRDefault="0033457B" w:rsidP="009F76EB">
            <w:pPr>
              <w:spacing w:line="480" w:lineRule="auto"/>
              <w:jc w:val="center"/>
              <w:rPr>
                <w:sz w:val="24"/>
              </w:rPr>
            </w:pPr>
            <w:r w:rsidRPr="005C158F">
              <w:rPr>
                <w:rFonts w:hint="eastAsia"/>
                <w:sz w:val="24"/>
              </w:rPr>
              <w:t>Down</w:t>
            </w:r>
            <w:r w:rsidRPr="005C158F">
              <w:rPr>
                <w:sz w:val="24"/>
              </w:rPr>
              <w:t>regulation</w:t>
            </w:r>
          </w:p>
        </w:tc>
      </w:tr>
      <w:tr w:rsidR="0033457B" w:rsidRPr="005C158F" w14:paraId="55FD5DBD" w14:textId="77777777" w:rsidTr="009F76EB">
        <w:tc>
          <w:tcPr>
            <w:tcW w:w="2952" w:type="dxa"/>
            <w:tcBorders>
              <w:top w:val="single" w:sz="4" w:space="0" w:color="auto"/>
            </w:tcBorders>
            <w:shd w:val="clear" w:color="auto" w:fill="auto"/>
          </w:tcPr>
          <w:p w14:paraId="4F9AF92A" w14:textId="77777777" w:rsidR="0033457B" w:rsidRPr="005C158F" w:rsidRDefault="0033457B" w:rsidP="009F76EB">
            <w:pPr>
              <w:spacing w:line="480" w:lineRule="auto"/>
              <w:jc w:val="center"/>
              <w:rPr>
                <w:sz w:val="24"/>
              </w:rPr>
            </w:pPr>
            <w:r w:rsidRPr="005C158F">
              <w:rPr>
                <w:rFonts w:hint="eastAsia"/>
                <w:sz w:val="24"/>
              </w:rPr>
              <w:t>H</w:t>
            </w:r>
            <w:r w:rsidRPr="005C158F">
              <w:rPr>
                <w:sz w:val="24"/>
              </w:rPr>
              <w:t>ULC vs</w:t>
            </w:r>
            <w:r>
              <w:rPr>
                <w:sz w:val="24"/>
              </w:rPr>
              <w:t>.</w:t>
            </w:r>
            <w:r w:rsidRPr="005C158F">
              <w:rPr>
                <w:sz w:val="24"/>
              </w:rPr>
              <w:t xml:space="preserve"> blank</w:t>
            </w:r>
          </w:p>
        </w:tc>
        <w:tc>
          <w:tcPr>
            <w:tcW w:w="2952" w:type="dxa"/>
            <w:tcBorders>
              <w:top w:val="single" w:sz="4" w:space="0" w:color="auto"/>
            </w:tcBorders>
            <w:shd w:val="clear" w:color="auto" w:fill="auto"/>
          </w:tcPr>
          <w:p w14:paraId="07559F6C" w14:textId="77777777" w:rsidR="0033457B" w:rsidRPr="005C158F" w:rsidRDefault="0033457B" w:rsidP="009F76EB">
            <w:pPr>
              <w:spacing w:line="480" w:lineRule="auto"/>
              <w:jc w:val="center"/>
              <w:rPr>
                <w:sz w:val="24"/>
              </w:rPr>
            </w:pPr>
            <w:r w:rsidRPr="005C158F">
              <w:rPr>
                <w:rFonts w:hint="eastAsia"/>
                <w:sz w:val="24"/>
              </w:rPr>
              <w:t>4</w:t>
            </w:r>
            <w:r w:rsidRPr="005C158F">
              <w:rPr>
                <w:sz w:val="24"/>
              </w:rPr>
              <w:t>84</w:t>
            </w:r>
          </w:p>
        </w:tc>
        <w:tc>
          <w:tcPr>
            <w:tcW w:w="2952" w:type="dxa"/>
            <w:tcBorders>
              <w:top w:val="single" w:sz="4" w:space="0" w:color="auto"/>
            </w:tcBorders>
            <w:shd w:val="clear" w:color="auto" w:fill="auto"/>
          </w:tcPr>
          <w:p w14:paraId="7AD19992" w14:textId="77777777" w:rsidR="0033457B" w:rsidRPr="005C158F" w:rsidRDefault="0033457B" w:rsidP="009F76EB">
            <w:pPr>
              <w:spacing w:line="480" w:lineRule="auto"/>
              <w:jc w:val="center"/>
              <w:rPr>
                <w:sz w:val="24"/>
              </w:rPr>
            </w:pPr>
            <w:r w:rsidRPr="005C158F">
              <w:rPr>
                <w:rFonts w:hint="eastAsia"/>
                <w:sz w:val="24"/>
              </w:rPr>
              <w:t>4</w:t>
            </w:r>
            <w:r w:rsidRPr="005C158F">
              <w:rPr>
                <w:sz w:val="24"/>
              </w:rPr>
              <w:t>87</w:t>
            </w:r>
          </w:p>
        </w:tc>
      </w:tr>
      <w:tr w:rsidR="0033457B" w:rsidRPr="005C158F" w14:paraId="19E951C8" w14:textId="77777777" w:rsidTr="009F76EB">
        <w:tc>
          <w:tcPr>
            <w:tcW w:w="2952" w:type="dxa"/>
            <w:shd w:val="clear" w:color="auto" w:fill="auto"/>
          </w:tcPr>
          <w:p w14:paraId="7402047B" w14:textId="77777777" w:rsidR="0033457B" w:rsidRPr="005C158F" w:rsidRDefault="0033457B" w:rsidP="009F76EB">
            <w:pPr>
              <w:spacing w:line="480" w:lineRule="auto"/>
              <w:ind w:firstLineChars="100" w:firstLine="240"/>
              <w:jc w:val="center"/>
              <w:rPr>
                <w:sz w:val="24"/>
              </w:rPr>
            </w:pPr>
            <w:r w:rsidRPr="005C158F">
              <w:rPr>
                <w:sz w:val="24"/>
              </w:rPr>
              <w:t>Vec vs</w:t>
            </w:r>
            <w:r>
              <w:rPr>
                <w:sz w:val="24"/>
              </w:rPr>
              <w:t>.</w:t>
            </w:r>
            <w:r w:rsidRPr="005C158F">
              <w:rPr>
                <w:sz w:val="24"/>
              </w:rPr>
              <w:t xml:space="preserve"> blank</w:t>
            </w:r>
          </w:p>
          <w:p w14:paraId="0C72E74F" w14:textId="77777777" w:rsidR="0033457B" w:rsidRPr="005C158F" w:rsidRDefault="0033457B" w:rsidP="009F76EB">
            <w:pPr>
              <w:spacing w:line="480" w:lineRule="auto"/>
              <w:jc w:val="center"/>
              <w:rPr>
                <w:sz w:val="24"/>
              </w:rPr>
            </w:pPr>
          </w:p>
        </w:tc>
        <w:tc>
          <w:tcPr>
            <w:tcW w:w="2952" w:type="dxa"/>
            <w:shd w:val="clear" w:color="auto" w:fill="auto"/>
          </w:tcPr>
          <w:p w14:paraId="2F2088A8" w14:textId="77777777" w:rsidR="0033457B" w:rsidRPr="005C158F" w:rsidRDefault="0033457B" w:rsidP="009F76EB">
            <w:pPr>
              <w:spacing w:line="480" w:lineRule="auto"/>
              <w:jc w:val="center"/>
              <w:rPr>
                <w:sz w:val="24"/>
              </w:rPr>
            </w:pPr>
            <w:r w:rsidRPr="005C158F">
              <w:rPr>
                <w:rFonts w:hint="eastAsia"/>
                <w:sz w:val="24"/>
              </w:rPr>
              <w:t>3</w:t>
            </w:r>
            <w:r w:rsidRPr="005C158F">
              <w:rPr>
                <w:sz w:val="24"/>
              </w:rPr>
              <w:t>07</w:t>
            </w:r>
          </w:p>
        </w:tc>
        <w:tc>
          <w:tcPr>
            <w:tcW w:w="2952" w:type="dxa"/>
            <w:shd w:val="clear" w:color="auto" w:fill="auto"/>
          </w:tcPr>
          <w:p w14:paraId="0E276F66" w14:textId="77777777" w:rsidR="0033457B" w:rsidRPr="005C158F" w:rsidRDefault="0033457B" w:rsidP="009F76EB">
            <w:pPr>
              <w:spacing w:line="480" w:lineRule="auto"/>
              <w:jc w:val="center"/>
              <w:rPr>
                <w:sz w:val="24"/>
              </w:rPr>
            </w:pPr>
            <w:r w:rsidRPr="005C158F">
              <w:rPr>
                <w:rFonts w:hint="eastAsia"/>
                <w:sz w:val="24"/>
              </w:rPr>
              <w:t>2</w:t>
            </w:r>
            <w:r w:rsidRPr="005C158F">
              <w:rPr>
                <w:sz w:val="24"/>
              </w:rPr>
              <w:t>31</w:t>
            </w:r>
          </w:p>
        </w:tc>
      </w:tr>
      <w:tr w:rsidR="0033457B" w:rsidRPr="005C158F" w14:paraId="432E4D2E" w14:textId="77777777" w:rsidTr="009F76EB">
        <w:tc>
          <w:tcPr>
            <w:tcW w:w="2952" w:type="dxa"/>
            <w:shd w:val="clear" w:color="auto" w:fill="auto"/>
          </w:tcPr>
          <w:p w14:paraId="26F32233" w14:textId="77777777" w:rsidR="0033457B" w:rsidRPr="005C158F" w:rsidRDefault="0033457B" w:rsidP="009F76EB">
            <w:pPr>
              <w:spacing w:line="480" w:lineRule="auto"/>
              <w:ind w:firstLineChars="100" w:firstLine="240"/>
              <w:jc w:val="center"/>
              <w:rPr>
                <w:sz w:val="24"/>
              </w:rPr>
            </w:pPr>
            <w:r w:rsidRPr="005C158F">
              <w:rPr>
                <w:sz w:val="24"/>
              </w:rPr>
              <w:t>Vec vs</w:t>
            </w:r>
            <w:r>
              <w:rPr>
                <w:sz w:val="24"/>
              </w:rPr>
              <w:t>.</w:t>
            </w:r>
            <w:r w:rsidRPr="005C158F">
              <w:rPr>
                <w:sz w:val="24"/>
              </w:rPr>
              <w:t xml:space="preserve"> HULC</w:t>
            </w:r>
          </w:p>
          <w:p w14:paraId="5873CF60" w14:textId="77777777" w:rsidR="0033457B" w:rsidRPr="005C158F" w:rsidRDefault="0033457B" w:rsidP="009F76EB">
            <w:pPr>
              <w:spacing w:line="480" w:lineRule="auto"/>
              <w:jc w:val="center"/>
              <w:rPr>
                <w:sz w:val="24"/>
              </w:rPr>
            </w:pPr>
          </w:p>
        </w:tc>
        <w:tc>
          <w:tcPr>
            <w:tcW w:w="2952" w:type="dxa"/>
            <w:shd w:val="clear" w:color="auto" w:fill="auto"/>
          </w:tcPr>
          <w:p w14:paraId="6DE76F56" w14:textId="77777777" w:rsidR="0033457B" w:rsidRPr="005C158F" w:rsidRDefault="0033457B" w:rsidP="009F76EB">
            <w:pPr>
              <w:spacing w:line="480" w:lineRule="auto"/>
              <w:jc w:val="center"/>
              <w:rPr>
                <w:sz w:val="24"/>
              </w:rPr>
            </w:pPr>
            <w:r w:rsidRPr="005C158F">
              <w:rPr>
                <w:rFonts w:hint="eastAsia"/>
                <w:sz w:val="24"/>
              </w:rPr>
              <w:t>3</w:t>
            </w:r>
            <w:r w:rsidRPr="005C158F">
              <w:rPr>
                <w:sz w:val="24"/>
              </w:rPr>
              <w:t>19</w:t>
            </w:r>
          </w:p>
        </w:tc>
        <w:tc>
          <w:tcPr>
            <w:tcW w:w="2952" w:type="dxa"/>
            <w:shd w:val="clear" w:color="auto" w:fill="auto"/>
          </w:tcPr>
          <w:p w14:paraId="62A731CC" w14:textId="77777777" w:rsidR="0033457B" w:rsidRPr="005C158F" w:rsidRDefault="0033457B" w:rsidP="009F76EB">
            <w:pPr>
              <w:spacing w:line="480" w:lineRule="auto"/>
              <w:jc w:val="center"/>
              <w:rPr>
                <w:sz w:val="24"/>
              </w:rPr>
            </w:pPr>
            <w:r w:rsidRPr="005C158F">
              <w:rPr>
                <w:rFonts w:hint="eastAsia"/>
                <w:sz w:val="24"/>
              </w:rPr>
              <w:t>2</w:t>
            </w:r>
            <w:r w:rsidRPr="005C158F">
              <w:rPr>
                <w:sz w:val="24"/>
              </w:rPr>
              <w:t>32</w:t>
            </w:r>
          </w:p>
        </w:tc>
      </w:tr>
      <w:tr w:rsidR="0033457B" w:rsidRPr="005C158F" w14:paraId="44FDB2B5" w14:textId="77777777" w:rsidTr="009F76EB">
        <w:tc>
          <w:tcPr>
            <w:tcW w:w="2952" w:type="dxa"/>
            <w:shd w:val="clear" w:color="auto" w:fill="auto"/>
          </w:tcPr>
          <w:p w14:paraId="6253B108" w14:textId="77777777" w:rsidR="0033457B" w:rsidRPr="005C158F" w:rsidRDefault="0033457B" w:rsidP="009F76EB">
            <w:pPr>
              <w:spacing w:line="480" w:lineRule="auto"/>
              <w:ind w:firstLineChars="100" w:firstLine="240"/>
              <w:jc w:val="center"/>
              <w:rPr>
                <w:sz w:val="24"/>
              </w:rPr>
            </w:pPr>
            <w:r w:rsidRPr="005C158F">
              <w:rPr>
                <w:rFonts w:hint="eastAsia"/>
                <w:sz w:val="24"/>
              </w:rPr>
              <w:t>H</w:t>
            </w:r>
            <w:r w:rsidRPr="005C158F">
              <w:rPr>
                <w:sz w:val="24"/>
              </w:rPr>
              <w:t>ULC siRNA vs</w:t>
            </w:r>
            <w:r>
              <w:rPr>
                <w:sz w:val="24"/>
              </w:rPr>
              <w:t>.</w:t>
            </w:r>
            <w:r w:rsidRPr="005C158F">
              <w:rPr>
                <w:sz w:val="24"/>
              </w:rPr>
              <w:t xml:space="preserve"> blank</w:t>
            </w:r>
          </w:p>
          <w:p w14:paraId="3FBB5925" w14:textId="77777777" w:rsidR="0033457B" w:rsidRPr="005C158F" w:rsidRDefault="0033457B" w:rsidP="009F76EB">
            <w:pPr>
              <w:spacing w:line="480" w:lineRule="auto"/>
              <w:jc w:val="center"/>
              <w:rPr>
                <w:sz w:val="24"/>
              </w:rPr>
            </w:pPr>
          </w:p>
        </w:tc>
        <w:tc>
          <w:tcPr>
            <w:tcW w:w="2952" w:type="dxa"/>
            <w:shd w:val="clear" w:color="auto" w:fill="auto"/>
          </w:tcPr>
          <w:p w14:paraId="1157C719" w14:textId="77777777" w:rsidR="0033457B" w:rsidRPr="005C158F" w:rsidRDefault="0033457B" w:rsidP="009F76EB">
            <w:pPr>
              <w:spacing w:line="480" w:lineRule="auto"/>
              <w:jc w:val="center"/>
              <w:rPr>
                <w:sz w:val="24"/>
              </w:rPr>
            </w:pPr>
            <w:r w:rsidRPr="005C158F">
              <w:rPr>
                <w:rFonts w:hint="eastAsia"/>
                <w:sz w:val="24"/>
              </w:rPr>
              <w:t>3</w:t>
            </w:r>
            <w:r w:rsidRPr="005C158F">
              <w:rPr>
                <w:sz w:val="24"/>
              </w:rPr>
              <w:t>33</w:t>
            </w:r>
          </w:p>
        </w:tc>
        <w:tc>
          <w:tcPr>
            <w:tcW w:w="2952" w:type="dxa"/>
            <w:shd w:val="clear" w:color="auto" w:fill="auto"/>
          </w:tcPr>
          <w:p w14:paraId="6F7DB7B6" w14:textId="77777777" w:rsidR="0033457B" w:rsidRPr="005C158F" w:rsidRDefault="0033457B" w:rsidP="009F76EB">
            <w:pPr>
              <w:spacing w:line="480" w:lineRule="auto"/>
              <w:jc w:val="center"/>
              <w:rPr>
                <w:sz w:val="24"/>
              </w:rPr>
            </w:pPr>
            <w:r w:rsidRPr="005C158F">
              <w:rPr>
                <w:rFonts w:hint="eastAsia"/>
                <w:sz w:val="24"/>
              </w:rPr>
              <w:t>2</w:t>
            </w:r>
            <w:r w:rsidRPr="005C158F">
              <w:rPr>
                <w:sz w:val="24"/>
              </w:rPr>
              <w:t>38</w:t>
            </w:r>
          </w:p>
        </w:tc>
      </w:tr>
      <w:tr w:rsidR="0033457B" w:rsidRPr="005C158F" w14:paraId="28172F2A" w14:textId="77777777" w:rsidTr="009F76EB">
        <w:tc>
          <w:tcPr>
            <w:tcW w:w="2952" w:type="dxa"/>
            <w:shd w:val="clear" w:color="auto" w:fill="auto"/>
          </w:tcPr>
          <w:p w14:paraId="53BDB1AE" w14:textId="77777777" w:rsidR="0033457B" w:rsidRPr="005C158F" w:rsidRDefault="0033457B" w:rsidP="009F76EB">
            <w:pPr>
              <w:spacing w:line="480" w:lineRule="auto"/>
              <w:ind w:firstLineChars="100" w:firstLine="240"/>
              <w:jc w:val="center"/>
              <w:rPr>
                <w:sz w:val="24"/>
              </w:rPr>
            </w:pPr>
            <w:r w:rsidRPr="005C158F">
              <w:rPr>
                <w:rFonts w:hint="eastAsia"/>
                <w:sz w:val="24"/>
              </w:rPr>
              <w:t>N</w:t>
            </w:r>
            <w:r w:rsidRPr="005C158F">
              <w:rPr>
                <w:sz w:val="24"/>
              </w:rPr>
              <w:t>C vs</w:t>
            </w:r>
            <w:r>
              <w:rPr>
                <w:sz w:val="24"/>
              </w:rPr>
              <w:t>.</w:t>
            </w:r>
            <w:r w:rsidRPr="005C158F">
              <w:rPr>
                <w:sz w:val="24"/>
              </w:rPr>
              <w:t xml:space="preserve"> blank</w:t>
            </w:r>
          </w:p>
          <w:p w14:paraId="2F563794" w14:textId="77777777" w:rsidR="0033457B" w:rsidRPr="005C158F" w:rsidRDefault="0033457B" w:rsidP="009F76EB">
            <w:pPr>
              <w:spacing w:line="480" w:lineRule="auto"/>
              <w:jc w:val="center"/>
              <w:rPr>
                <w:sz w:val="24"/>
              </w:rPr>
            </w:pPr>
          </w:p>
        </w:tc>
        <w:tc>
          <w:tcPr>
            <w:tcW w:w="2952" w:type="dxa"/>
            <w:shd w:val="clear" w:color="auto" w:fill="auto"/>
          </w:tcPr>
          <w:p w14:paraId="199EFAAA" w14:textId="77777777" w:rsidR="0033457B" w:rsidRPr="005C158F" w:rsidRDefault="0033457B" w:rsidP="009F76EB">
            <w:pPr>
              <w:spacing w:line="480" w:lineRule="auto"/>
              <w:jc w:val="center"/>
              <w:rPr>
                <w:sz w:val="24"/>
              </w:rPr>
            </w:pPr>
            <w:r w:rsidRPr="005C158F">
              <w:rPr>
                <w:rFonts w:hint="eastAsia"/>
                <w:sz w:val="24"/>
              </w:rPr>
              <w:t>3</w:t>
            </w:r>
            <w:r w:rsidRPr="005C158F">
              <w:rPr>
                <w:sz w:val="24"/>
              </w:rPr>
              <w:t>08</w:t>
            </w:r>
          </w:p>
        </w:tc>
        <w:tc>
          <w:tcPr>
            <w:tcW w:w="2952" w:type="dxa"/>
            <w:shd w:val="clear" w:color="auto" w:fill="auto"/>
          </w:tcPr>
          <w:p w14:paraId="030313B1" w14:textId="77777777" w:rsidR="0033457B" w:rsidRPr="005C158F" w:rsidRDefault="0033457B" w:rsidP="009F76EB">
            <w:pPr>
              <w:spacing w:line="480" w:lineRule="auto"/>
              <w:jc w:val="center"/>
              <w:rPr>
                <w:sz w:val="24"/>
              </w:rPr>
            </w:pPr>
            <w:r w:rsidRPr="005C158F">
              <w:rPr>
                <w:rFonts w:hint="eastAsia"/>
                <w:sz w:val="24"/>
              </w:rPr>
              <w:t>3</w:t>
            </w:r>
            <w:r w:rsidRPr="005C158F">
              <w:rPr>
                <w:sz w:val="24"/>
              </w:rPr>
              <w:t>10</w:t>
            </w:r>
          </w:p>
        </w:tc>
      </w:tr>
      <w:tr w:rsidR="0033457B" w:rsidRPr="005C158F" w14:paraId="04D8A586" w14:textId="77777777" w:rsidTr="009F76EB">
        <w:tc>
          <w:tcPr>
            <w:tcW w:w="2952" w:type="dxa"/>
            <w:tcBorders>
              <w:bottom w:val="single" w:sz="4" w:space="0" w:color="auto"/>
            </w:tcBorders>
            <w:shd w:val="clear" w:color="auto" w:fill="auto"/>
          </w:tcPr>
          <w:p w14:paraId="1C792B24" w14:textId="77777777" w:rsidR="0033457B" w:rsidRPr="005C158F" w:rsidRDefault="0033457B" w:rsidP="009F76EB">
            <w:pPr>
              <w:spacing w:line="480" w:lineRule="auto"/>
              <w:jc w:val="center"/>
              <w:rPr>
                <w:sz w:val="24"/>
              </w:rPr>
            </w:pPr>
            <w:r w:rsidRPr="005C158F">
              <w:rPr>
                <w:rFonts w:hint="eastAsia"/>
                <w:sz w:val="24"/>
              </w:rPr>
              <w:t>N</w:t>
            </w:r>
            <w:r w:rsidRPr="005C158F">
              <w:rPr>
                <w:sz w:val="24"/>
              </w:rPr>
              <w:t>C vs</w:t>
            </w:r>
            <w:r>
              <w:rPr>
                <w:sz w:val="24"/>
              </w:rPr>
              <w:t>.</w:t>
            </w:r>
            <w:r w:rsidRPr="005C158F">
              <w:rPr>
                <w:sz w:val="24"/>
              </w:rPr>
              <w:t xml:space="preserve"> </w:t>
            </w:r>
            <w:r w:rsidRPr="005C158F">
              <w:rPr>
                <w:rFonts w:hint="eastAsia"/>
                <w:sz w:val="24"/>
              </w:rPr>
              <w:t>H</w:t>
            </w:r>
            <w:r w:rsidRPr="005C158F">
              <w:rPr>
                <w:sz w:val="24"/>
              </w:rPr>
              <w:t>ULC siRNA</w:t>
            </w:r>
          </w:p>
        </w:tc>
        <w:tc>
          <w:tcPr>
            <w:tcW w:w="2952" w:type="dxa"/>
            <w:tcBorders>
              <w:bottom w:val="single" w:sz="4" w:space="0" w:color="auto"/>
            </w:tcBorders>
            <w:shd w:val="clear" w:color="auto" w:fill="auto"/>
          </w:tcPr>
          <w:p w14:paraId="6F78B621" w14:textId="77777777" w:rsidR="0033457B" w:rsidRPr="005C158F" w:rsidRDefault="0033457B" w:rsidP="009F76EB">
            <w:pPr>
              <w:spacing w:line="480" w:lineRule="auto"/>
              <w:jc w:val="center"/>
              <w:rPr>
                <w:sz w:val="24"/>
              </w:rPr>
            </w:pPr>
            <w:r w:rsidRPr="005C158F">
              <w:rPr>
                <w:rFonts w:hint="eastAsia"/>
                <w:sz w:val="24"/>
              </w:rPr>
              <w:t>2</w:t>
            </w:r>
            <w:r w:rsidRPr="005C158F">
              <w:rPr>
                <w:sz w:val="24"/>
              </w:rPr>
              <w:t>4</w:t>
            </w:r>
          </w:p>
        </w:tc>
        <w:tc>
          <w:tcPr>
            <w:tcW w:w="2952" w:type="dxa"/>
            <w:tcBorders>
              <w:bottom w:val="single" w:sz="4" w:space="0" w:color="auto"/>
            </w:tcBorders>
            <w:shd w:val="clear" w:color="auto" w:fill="auto"/>
          </w:tcPr>
          <w:p w14:paraId="04EFF6B8" w14:textId="77777777" w:rsidR="0033457B" w:rsidRPr="005C158F" w:rsidRDefault="0033457B" w:rsidP="009F76EB">
            <w:pPr>
              <w:spacing w:line="480" w:lineRule="auto"/>
              <w:jc w:val="center"/>
              <w:rPr>
                <w:sz w:val="24"/>
              </w:rPr>
            </w:pPr>
            <w:r w:rsidRPr="005C158F">
              <w:rPr>
                <w:rFonts w:hint="eastAsia"/>
                <w:sz w:val="24"/>
              </w:rPr>
              <w:t>1</w:t>
            </w:r>
            <w:r w:rsidRPr="005C158F">
              <w:rPr>
                <w:sz w:val="24"/>
              </w:rPr>
              <w:t>12</w:t>
            </w:r>
          </w:p>
        </w:tc>
      </w:tr>
    </w:tbl>
    <w:p w14:paraId="0652AD65" w14:textId="77777777" w:rsidR="00204034" w:rsidRPr="0033457B" w:rsidRDefault="00204034"/>
    <w:sectPr w:rsidR="00204034" w:rsidRPr="0033457B" w:rsidSect="003915BE">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68DD0" w14:textId="77777777" w:rsidR="00AB089B" w:rsidRDefault="00AB089B" w:rsidP="0033457B">
      <w:r>
        <w:separator/>
      </w:r>
    </w:p>
  </w:endnote>
  <w:endnote w:type="continuationSeparator" w:id="0">
    <w:p w14:paraId="0147BCF0" w14:textId="77777777" w:rsidR="00AB089B" w:rsidRDefault="00AB089B" w:rsidP="0033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Ten-Bold">
    <w:altName w:val="宋体"/>
    <w:charset w:val="86"/>
    <w:family w:val="auto"/>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瀹嬩綋">
    <w:altName w:val="宋体"/>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D2AC0" w14:textId="77777777" w:rsidR="00AB089B" w:rsidRDefault="00AB089B" w:rsidP="0033457B">
      <w:r>
        <w:separator/>
      </w:r>
    </w:p>
  </w:footnote>
  <w:footnote w:type="continuationSeparator" w:id="0">
    <w:p w14:paraId="0BB9F9AD" w14:textId="77777777" w:rsidR="00AB089B" w:rsidRDefault="00AB089B" w:rsidP="003345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E7"/>
    <w:rsid w:val="00204034"/>
    <w:rsid w:val="002D6E0D"/>
    <w:rsid w:val="0033457B"/>
    <w:rsid w:val="00382FAF"/>
    <w:rsid w:val="005255B1"/>
    <w:rsid w:val="00535F92"/>
    <w:rsid w:val="0055604A"/>
    <w:rsid w:val="00636BC9"/>
    <w:rsid w:val="006C5456"/>
    <w:rsid w:val="00A95C2F"/>
    <w:rsid w:val="00AB089B"/>
    <w:rsid w:val="00AE7879"/>
    <w:rsid w:val="00C02AB8"/>
    <w:rsid w:val="00C51511"/>
    <w:rsid w:val="00D71CE7"/>
    <w:rsid w:val="00DE551A"/>
    <w:rsid w:val="00E5232F"/>
    <w:rsid w:val="00E54DBB"/>
    <w:rsid w:val="00E76C2F"/>
    <w:rsid w:val="00E93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323A"/>
  <w15:docId w15:val="{BB629C3C-45E6-4CA7-970D-69555AE2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5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45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3457B"/>
    <w:rPr>
      <w:sz w:val="18"/>
      <w:szCs w:val="18"/>
    </w:rPr>
  </w:style>
  <w:style w:type="paragraph" w:styleId="a4">
    <w:name w:val="footer"/>
    <w:basedOn w:val="a"/>
    <w:link w:val="Char0"/>
    <w:uiPriority w:val="99"/>
    <w:unhideWhenUsed/>
    <w:rsid w:val="003345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3457B"/>
    <w:rPr>
      <w:sz w:val="18"/>
      <w:szCs w:val="18"/>
    </w:rPr>
  </w:style>
  <w:style w:type="character" w:styleId="a5">
    <w:name w:val="Hyperlink"/>
    <w:uiPriority w:val="99"/>
    <w:unhideWhenUsed/>
    <w:rsid w:val="0033457B"/>
    <w:rPr>
      <w:color w:val="0000FF"/>
      <w:u w:val="single"/>
    </w:rPr>
  </w:style>
  <w:style w:type="character" w:styleId="a6">
    <w:name w:val="Emphasis"/>
    <w:uiPriority w:val="20"/>
    <w:qFormat/>
    <w:rsid w:val="0033457B"/>
    <w:rPr>
      <w:i/>
      <w:iCs/>
    </w:rPr>
  </w:style>
  <w:style w:type="paragraph" w:styleId="a7">
    <w:name w:val="List Paragraph"/>
    <w:basedOn w:val="a"/>
    <w:uiPriority w:val="26"/>
    <w:qFormat/>
    <w:rsid w:val="0033457B"/>
    <w:pPr>
      <w:widowControl/>
      <w:ind w:firstLine="420"/>
    </w:pPr>
    <w:rPr>
      <w:color w:val="000000"/>
      <w:kern w:val="0"/>
      <w:sz w:val="24"/>
    </w:rPr>
  </w:style>
  <w:style w:type="character" w:styleId="a8">
    <w:name w:val="annotation reference"/>
    <w:basedOn w:val="a0"/>
    <w:uiPriority w:val="99"/>
    <w:semiHidden/>
    <w:unhideWhenUsed/>
    <w:rsid w:val="0033457B"/>
    <w:rPr>
      <w:sz w:val="21"/>
      <w:szCs w:val="21"/>
    </w:rPr>
  </w:style>
  <w:style w:type="paragraph" w:styleId="a9">
    <w:name w:val="annotation text"/>
    <w:basedOn w:val="a"/>
    <w:link w:val="Char1"/>
    <w:uiPriority w:val="99"/>
    <w:semiHidden/>
    <w:unhideWhenUsed/>
    <w:rsid w:val="0033457B"/>
    <w:pPr>
      <w:jc w:val="left"/>
    </w:pPr>
  </w:style>
  <w:style w:type="character" w:customStyle="1" w:styleId="Char1">
    <w:name w:val="批注文字 Char"/>
    <w:basedOn w:val="a0"/>
    <w:link w:val="a9"/>
    <w:uiPriority w:val="99"/>
    <w:semiHidden/>
    <w:rsid w:val="0033457B"/>
    <w:rPr>
      <w:rFonts w:ascii="Times New Roman" w:eastAsia="宋体" w:hAnsi="Times New Roman" w:cs="Times New Roman"/>
      <w:szCs w:val="24"/>
    </w:rPr>
  </w:style>
  <w:style w:type="paragraph" w:styleId="aa">
    <w:name w:val="annotation subject"/>
    <w:basedOn w:val="a9"/>
    <w:next w:val="a9"/>
    <w:link w:val="Char2"/>
    <w:uiPriority w:val="99"/>
    <w:semiHidden/>
    <w:unhideWhenUsed/>
    <w:rsid w:val="0033457B"/>
    <w:rPr>
      <w:b/>
      <w:bCs/>
    </w:rPr>
  </w:style>
  <w:style w:type="character" w:customStyle="1" w:styleId="Char2">
    <w:name w:val="批注主题 Char"/>
    <w:basedOn w:val="Char1"/>
    <w:link w:val="aa"/>
    <w:uiPriority w:val="99"/>
    <w:semiHidden/>
    <w:rsid w:val="0033457B"/>
    <w:rPr>
      <w:rFonts w:ascii="Times New Roman" w:eastAsia="宋体" w:hAnsi="Times New Roman" w:cs="Times New Roman"/>
      <w:b/>
      <w:bCs/>
      <w:szCs w:val="24"/>
    </w:rPr>
  </w:style>
  <w:style w:type="paragraph" w:styleId="ab">
    <w:name w:val="Balloon Text"/>
    <w:basedOn w:val="a"/>
    <w:link w:val="Char3"/>
    <w:uiPriority w:val="99"/>
    <w:semiHidden/>
    <w:unhideWhenUsed/>
    <w:rsid w:val="0033457B"/>
    <w:rPr>
      <w:sz w:val="18"/>
      <w:szCs w:val="18"/>
    </w:rPr>
  </w:style>
  <w:style w:type="character" w:customStyle="1" w:styleId="Char3">
    <w:name w:val="批注框文本 Char"/>
    <w:basedOn w:val="a0"/>
    <w:link w:val="ab"/>
    <w:uiPriority w:val="99"/>
    <w:semiHidden/>
    <w:rsid w:val="0033457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ttp://www.ebi.ac.uk/GOA)%20was%20used%20t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2595</Words>
  <Characters>14795</Characters>
  <Application>Microsoft Office Word</Application>
  <DocSecurity>0</DocSecurity>
  <Lines>123</Lines>
  <Paragraphs>34</Paragraphs>
  <ScaleCrop>false</ScaleCrop>
  <Company>ITianKong.Com</Company>
  <LinksUpToDate>false</LinksUpToDate>
  <CharactersWithSpaces>17356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WeiYan</dc:creator>
  <cp:lastModifiedBy>w'y'y</cp:lastModifiedBy>
  <cp:revision>3</cp:revision>
  <dcterms:created xsi:type="dcterms:W3CDTF">2022-11-17T05:33:00Z</dcterms:created>
  <dcterms:modified xsi:type="dcterms:W3CDTF">2022-11-17T05:52:00Z</dcterms:modified>
</cp:coreProperties>
</file>