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425" w:rsidRPr="00D82FBE" w:rsidRDefault="00765425" w:rsidP="00765425">
      <w:pPr>
        <w:spacing w:after="0"/>
        <w:jc w:val="both"/>
        <w:rPr>
          <w:rFonts w:ascii="Times New Roman" w:hAnsi="Times New Roman"/>
          <w:b/>
          <w:sz w:val="24"/>
        </w:rPr>
      </w:pPr>
      <w:r w:rsidRPr="00D82FBE">
        <w:rPr>
          <w:rFonts w:ascii="Times New Roman" w:hAnsi="Times New Roman"/>
          <w:b/>
          <w:sz w:val="24"/>
        </w:rPr>
        <w:t xml:space="preserve">Table </w:t>
      </w:r>
      <w:r>
        <w:rPr>
          <w:rFonts w:ascii="Times New Roman" w:hAnsi="Times New Roman"/>
          <w:b/>
          <w:sz w:val="24"/>
        </w:rPr>
        <w:t>6</w:t>
      </w:r>
      <w:r w:rsidRPr="00D82FBE">
        <w:rPr>
          <w:rFonts w:ascii="Times New Roman" w:hAnsi="Times New Roman"/>
          <w:b/>
          <w:sz w:val="24"/>
        </w:rPr>
        <w:t xml:space="preserve">. Molecular Docking of </w:t>
      </w:r>
      <w:r>
        <w:rPr>
          <w:rFonts w:ascii="Times New Roman" w:hAnsi="Times New Roman"/>
          <w:b/>
          <w:sz w:val="24"/>
        </w:rPr>
        <w:t>selected phytoligands and standard chemotherapeutic agent</w:t>
      </w:r>
      <w:r w:rsidRPr="00D82FBE">
        <w:rPr>
          <w:rFonts w:ascii="Times New Roman" w:hAnsi="Times New Roman"/>
          <w:b/>
          <w:sz w:val="24"/>
        </w:rPr>
        <w:t xml:space="preserve"> with SARS-CoV-2 viral virulence factors.</w:t>
      </w:r>
    </w:p>
    <w:p w:rsidR="00765425" w:rsidRPr="00D82FBE" w:rsidRDefault="00765425" w:rsidP="00765425">
      <w:pPr>
        <w:spacing w:after="0"/>
        <w:jc w:val="both"/>
        <w:rPr>
          <w:rFonts w:ascii="Times New Roman" w:hAnsi="Times New Roman"/>
          <w:b/>
          <w:sz w:val="24"/>
        </w:rPr>
      </w:pPr>
    </w:p>
    <w:tbl>
      <w:tblPr>
        <w:tblW w:w="5226" w:type="pct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808"/>
        <w:gridCol w:w="2984"/>
        <w:gridCol w:w="1513"/>
        <w:gridCol w:w="1513"/>
        <w:gridCol w:w="1616"/>
      </w:tblGrid>
      <w:tr w:rsidR="00765425" w:rsidRPr="00D82FBE" w:rsidTr="00C3735A">
        <w:trPr>
          <w:tblHeader/>
        </w:trPr>
        <w:tc>
          <w:tcPr>
            <w:tcW w:w="971" w:type="pct"/>
            <w:vMerge w:val="restart"/>
            <w:tcBorders>
              <w:top w:val="single" w:sz="4" w:space="0" w:color="000000"/>
            </w:tcBorders>
          </w:tcPr>
          <w:p w:rsidR="00765425" w:rsidRPr="00D82FBE" w:rsidRDefault="00765425" w:rsidP="00C3735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82FBE">
              <w:rPr>
                <w:rFonts w:ascii="Times New Roman" w:hAnsi="Times New Roman"/>
                <w:b/>
                <w:sz w:val="20"/>
                <w:szCs w:val="20"/>
              </w:rPr>
              <w:t xml:space="preserve">Ligand / Standard </w:t>
            </w:r>
          </w:p>
        </w:tc>
        <w:tc>
          <w:tcPr>
            <w:tcW w:w="1594" w:type="pct"/>
            <w:vMerge w:val="restart"/>
            <w:tcBorders>
              <w:top w:val="single" w:sz="4" w:space="0" w:color="000000"/>
            </w:tcBorders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2FBE">
              <w:rPr>
                <w:rFonts w:ascii="Times New Roman" w:hAnsi="Times New Roman"/>
                <w:b/>
                <w:sz w:val="20"/>
                <w:szCs w:val="20"/>
              </w:rPr>
              <w:t>Chemical structure†</w:t>
            </w:r>
          </w:p>
        </w:tc>
        <w:tc>
          <w:tcPr>
            <w:tcW w:w="2435" w:type="pct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82FBE">
              <w:rPr>
                <w:rFonts w:ascii="Times New Roman" w:hAnsi="Times New Roman"/>
                <w:b/>
                <w:sz w:val="20"/>
                <w:szCs w:val="20"/>
              </w:rPr>
              <w:t>E Value (Kcal/mol)</w:t>
            </w:r>
            <w:r w:rsidRPr="00B7783F">
              <w:rPr>
                <w:rFonts w:ascii="Times New Roman" w:hAnsi="Times New Roman"/>
                <w:sz w:val="20"/>
                <w:szCs w:val="20"/>
              </w:rPr>
              <w:t>§</w:t>
            </w:r>
          </w:p>
        </w:tc>
      </w:tr>
      <w:tr w:rsidR="00765425" w:rsidRPr="00D82FBE" w:rsidTr="00C3735A">
        <w:trPr>
          <w:tblHeader/>
        </w:trPr>
        <w:tc>
          <w:tcPr>
            <w:tcW w:w="971" w:type="pct"/>
            <w:vMerge/>
            <w:tcBorders>
              <w:bottom w:val="single" w:sz="4" w:space="0" w:color="000000"/>
            </w:tcBorders>
          </w:tcPr>
          <w:p w:rsidR="00765425" w:rsidRPr="00D82FBE" w:rsidRDefault="00765425" w:rsidP="00C3735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594" w:type="pct"/>
            <w:vMerge/>
            <w:tcBorders>
              <w:bottom w:val="single" w:sz="4" w:space="0" w:color="000000"/>
            </w:tcBorders>
          </w:tcPr>
          <w:p w:rsidR="00765425" w:rsidRPr="00D82FBE" w:rsidRDefault="00765425" w:rsidP="00C3735A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000000"/>
              <w:bottom w:val="single" w:sz="4" w:space="0" w:color="000000"/>
            </w:tcBorders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82FBE">
              <w:rPr>
                <w:rFonts w:ascii="Times New Roman" w:hAnsi="Times New Roman"/>
                <w:sz w:val="20"/>
                <w:szCs w:val="20"/>
              </w:rPr>
              <w:t>Main Protease 3CLpro</w:t>
            </w:r>
          </w:p>
        </w:tc>
        <w:tc>
          <w:tcPr>
            <w:tcW w:w="81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82FBE">
              <w:rPr>
                <w:rFonts w:ascii="Times New Roman" w:hAnsi="Times New Roman"/>
                <w:sz w:val="20"/>
                <w:szCs w:val="20"/>
              </w:rPr>
              <w:t>Spike glycoprotein</w:t>
            </w:r>
          </w:p>
        </w:tc>
        <w:tc>
          <w:tcPr>
            <w:tcW w:w="80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82FBE">
              <w:rPr>
                <w:rFonts w:ascii="Times New Roman" w:hAnsi="Times New Roman"/>
                <w:sz w:val="20"/>
                <w:szCs w:val="20"/>
              </w:rPr>
              <w:t>NSP15 endoribonuclease</w:t>
            </w:r>
          </w:p>
        </w:tc>
      </w:tr>
      <w:tr w:rsidR="00765425" w:rsidRPr="008124A5" w:rsidTr="00C3735A">
        <w:tc>
          <w:tcPr>
            <w:tcW w:w="97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Pr="008124A5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Allicin </w:t>
            </w:r>
          </w:p>
        </w:tc>
        <w:tc>
          <w:tcPr>
            <w:tcW w:w="159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124A5">
              <w:rPr>
                <w:rFonts w:ascii="Times New Roman" w:hAnsi="Times New Roman"/>
                <w:noProof/>
                <w:sz w:val="20"/>
                <w:szCs w:val="20"/>
                <w:lang w:val="en-IN" w:eastAsia="en-IN"/>
              </w:rPr>
              <w:drawing>
                <wp:inline distT="0" distB="0" distL="0" distR="0" wp14:anchorId="2A76CB56" wp14:editId="2A6370EB">
                  <wp:extent cx="1173646" cy="510509"/>
                  <wp:effectExtent l="19050" t="0" r="7454" b="0"/>
                  <wp:docPr id="30" name="Picture 15" descr="Allic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llicin.png"/>
                          <pic:cNvPicPr/>
                        </pic:nvPicPr>
                        <pic:blipFill>
                          <a:blip r:embed="rId4"/>
                          <a:srcRect l="10507" t="35888" r="11607" b="30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141" cy="512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-121.34</w:t>
            </w:r>
          </w:p>
        </w:tc>
        <w:tc>
          <w:tcPr>
            <w:tcW w:w="81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-108.38</w:t>
            </w:r>
          </w:p>
        </w:tc>
        <w:tc>
          <w:tcPr>
            <w:tcW w:w="80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-157.34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Berberine </w:t>
            </w:r>
          </w:p>
        </w:tc>
        <w:tc>
          <w:tcPr>
            <w:tcW w:w="159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64384" behindDoc="1" locked="0" layoutInCell="1" allowOverlap="1" wp14:anchorId="43EFB692" wp14:editId="5E3BD8A7">
                  <wp:simplePos x="0" y="0"/>
                  <wp:positionH relativeFrom="column">
                    <wp:posOffset>480060</wp:posOffset>
                  </wp:positionH>
                  <wp:positionV relativeFrom="paragraph">
                    <wp:posOffset>3175</wp:posOffset>
                  </wp:positionV>
                  <wp:extent cx="954985" cy="706454"/>
                  <wp:effectExtent l="0" t="0" r="0" b="0"/>
                  <wp:wrapTight wrapText="bothSides">
                    <wp:wrapPolygon edited="0">
                      <wp:start x="0" y="0"/>
                      <wp:lineTo x="0" y="20978"/>
                      <wp:lineTo x="21126" y="20978"/>
                      <wp:lineTo x="21126" y="0"/>
                      <wp:lineTo x="0" y="0"/>
                    </wp:wrapPolygon>
                  </wp:wrapTight>
                  <wp:docPr id="194" name="Picture 17" descr="Berber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rberine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61" t="17422" r="3844" b="18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985" cy="706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-211.64</w:t>
            </w:r>
          </w:p>
        </w:tc>
        <w:tc>
          <w:tcPr>
            <w:tcW w:w="81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-179.51</w:t>
            </w:r>
          </w:p>
        </w:tc>
        <w:tc>
          <w:tcPr>
            <w:tcW w:w="807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-240.83</w:t>
            </w:r>
          </w:p>
        </w:tc>
      </w:tr>
      <w:tr w:rsidR="00765425" w:rsidRPr="008124A5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8124A5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Beta-caryophyllene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Pr="00D82FBE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124A5">
              <w:rPr>
                <w:rFonts w:ascii="Times New Roman" w:hAnsi="Times New Roman"/>
                <w:noProof/>
                <w:sz w:val="20"/>
                <w:szCs w:val="20"/>
                <w:lang w:val="en-IN" w:eastAsia="en-IN"/>
              </w:rPr>
              <w:drawing>
                <wp:anchor distT="0" distB="0" distL="114300" distR="114300" simplePos="0" relativeHeight="251663360" behindDoc="1" locked="0" layoutInCell="1" allowOverlap="1" wp14:anchorId="38F361CD" wp14:editId="6BFBB4DC">
                  <wp:simplePos x="0" y="0"/>
                  <wp:positionH relativeFrom="column">
                    <wp:posOffset>670560</wp:posOffset>
                  </wp:positionH>
                  <wp:positionV relativeFrom="paragraph">
                    <wp:posOffset>-4445</wp:posOffset>
                  </wp:positionV>
                  <wp:extent cx="569942" cy="665921"/>
                  <wp:effectExtent l="0" t="0" r="0" b="0"/>
                  <wp:wrapTight wrapText="bothSides">
                    <wp:wrapPolygon edited="0">
                      <wp:start x="0" y="0"/>
                      <wp:lineTo x="0" y="21023"/>
                      <wp:lineTo x="20950" y="21023"/>
                      <wp:lineTo x="20950" y="0"/>
                      <wp:lineTo x="0" y="0"/>
                    </wp:wrapPolygon>
                  </wp:wrapTight>
                  <wp:docPr id="206" name="Picture 18" descr="Beta-caryophylle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eta-caryophyllene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496" t="26829" r="26923" b="177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942" cy="665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-129.23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-132.62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-176.22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11-keto-beta-boswellic acid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inline distT="0" distB="0" distL="0" distR="0" wp14:anchorId="32564F63" wp14:editId="34305F5C">
                  <wp:extent cx="1044437" cy="1048250"/>
                  <wp:effectExtent l="19050" t="0" r="3313" b="0"/>
                  <wp:docPr id="217" name="Picture 19" descr="11-keto-beta-boswell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-keto-beta-boswellic acid.png"/>
                          <pic:cNvPicPr/>
                        </pic:nvPicPr>
                        <pic:blipFill>
                          <a:blip r:embed="rId7"/>
                          <a:srcRect l="2823" t="8362" r="9435" b="38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808" cy="1045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-253.66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-199.35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8124A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8124A5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-269.92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Citronellal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59264" behindDoc="1" locked="0" layoutInCell="1" allowOverlap="1" wp14:anchorId="3EC71075" wp14:editId="75CF2FA4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3175</wp:posOffset>
                  </wp:positionV>
                  <wp:extent cx="1153767" cy="360087"/>
                  <wp:effectExtent l="0" t="0" r="0" b="0"/>
                  <wp:wrapTight wrapText="bothSides">
                    <wp:wrapPolygon edited="0">
                      <wp:start x="0" y="0"/>
                      <wp:lineTo x="0" y="20571"/>
                      <wp:lineTo x="21410" y="20571"/>
                      <wp:lineTo x="21410" y="0"/>
                      <wp:lineTo x="0" y="0"/>
                    </wp:wrapPolygon>
                  </wp:wrapTight>
                  <wp:docPr id="218" name="Picture 20" descr="Citronella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itronellal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6" t="35540" r="11956" b="386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767" cy="360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900CB9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900CB9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-139.41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900CB9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900CB9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-134.74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900CB9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900CB9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-160.92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Curcumin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inline distT="0" distB="0" distL="0" distR="0" wp14:anchorId="2863B04C" wp14:editId="136F280E">
                  <wp:extent cx="901662" cy="1190334"/>
                  <wp:effectExtent l="171450" t="0" r="146088" b="0"/>
                  <wp:docPr id="227" name="Picture 21" descr="Curcum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cumin.png"/>
                          <pic:cNvPicPr/>
                        </pic:nvPicPr>
                        <pic:blipFill>
                          <a:blip r:embed="rId9"/>
                          <a:srcRect l="17771" t="6620" r="14253" b="3997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08736" cy="1199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4A5743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4A5743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-213.59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4A5743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4A5743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-197.87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4A5743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4A5743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-247.25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66FF99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Gamma-Glutamyl-S-allylcysteine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inline distT="0" distB="0" distL="0" distR="0" wp14:anchorId="2A606FC3" wp14:editId="50AC5B0A">
                  <wp:extent cx="1143193" cy="812426"/>
                  <wp:effectExtent l="19050" t="0" r="0" b="0"/>
                  <wp:docPr id="235" name="Picture 22" descr="Gamma-Glutamyl-S-allylcyste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amma-Glutamyl-S-allylcysteine.png"/>
                          <pic:cNvPicPr/>
                        </pic:nvPicPr>
                        <pic:blipFill>
                          <a:blip r:embed="rId10"/>
                          <a:srcRect l="2472" t="12544" r="3225" b="205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7513" cy="815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6815B2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6815B2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-493.53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6815B2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6815B2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-578.57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6815B2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6815B2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-825.00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6-Gingerol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inline distT="0" distB="0" distL="0" distR="0" wp14:anchorId="7F2D683E" wp14:editId="0C051C05">
                  <wp:extent cx="906884" cy="1198891"/>
                  <wp:effectExtent l="171450" t="0" r="140866" b="0"/>
                  <wp:docPr id="242" name="Picture 23" descr="6-Gingero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-Gingerol.png"/>
                          <pic:cNvPicPr/>
                        </pic:nvPicPr>
                        <pic:blipFill>
                          <a:blip r:embed="rId11"/>
                          <a:srcRect l="15397" t="6620" r="19571" b="766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912504" cy="1206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8F42D7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8F42D7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-199.85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8F42D7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8F42D7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-178.86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8F42D7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8F42D7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-221.35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Quercetin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65408" behindDoc="1" locked="0" layoutInCell="1" allowOverlap="1" wp14:anchorId="3B10AB48" wp14:editId="0987BD3B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4445</wp:posOffset>
                  </wp:positionV>
                  <wp:extent cx="1196008" cy="897006"/>
                  <wp:effectExtent l="0" t="0" r="0" b="0"/>
                  <wp:wrapTight wrapText="bothSides">
                    <wp:wrapPolygon edited="0">
                      <wp:start x="0" y="0"/>
                      <wp:lineTo x="0" y="21110"/>
                      <wp:lineTo x="21336" y="21110"/>
                      <wp:lineTo x="21336" y="0"/>
                      <wp:lineTo x="0" y="0"/>
                    </wp:wrapPolygon>
                  </wp:wrapTight>
                  <wp:docPr id="248" name="Picture 24" descr="Quercet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uercetin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5" t="13589" r="2876" b="153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6008" cy="89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-189.57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-158.27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-204.25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66FF99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lastRenderedPageBreak/>
              <w:t xml:space="preserve">Salvianolic acid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60288" behindDoc="1" locked="0" layoutInCell="1" allowOverlap="1" wp14:anchorId="37732C44" wp14:editId="58761082">
                  <wp:simplePos x="0" y="0"/>
                  <wp:positionH relativeFrom="column">
                    <wp:posOffset>289560</wp:posOffset>
                  </wp:positionH>
                  <wp:positionV relativeFrom="paragraph">
                    <wp:posOffset>1905</wp:posOffset>
                  </wp:positionV>
                  <wp:extent cx="1332671" cy="979905"/>
                  <wp:effectExtent l="0" t="0" r="0" b="0"/>
                  <wp:wrapTight wrapText="bothSides">
                    <wp:wrapPolygon edited="0">
                      <wp:start x="0" y="0"/>
                      <wp:lineTo x="0" y="20998"/>
                      <wp:lineTo x="21312" y="20998"/>
                      <wp:lineTo x="21312" y="0"/>
                      <wp:lineTo x="0" y="0"/>
                    </wp:wrapPolygon>
                  </wp:wrapTight>
                  <wp:docPr id="253" name="Picture 25" descr="Salvianolic aci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lvianolic acid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5" t="15331" r="2847" b="148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671" cy="9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-261.56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-223.97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-275.44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>Tinosporaside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61312" behindDoc="1" locked="0" layoutInCell="1" allowOverlap="1" wp14:anchorId="446422F8" wp14:editId="509E5278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4445</wp:posOffset>
                  </wp:positionV>
                  <wp:extent cx="1161264" cy="1268537"/>
                  <wp:effectExtent l="0" t="0" r="0" b="0"/>
                  <wp:wrapTight wrapText="bothSides">
                    <wp:wrapPolygon edited="0">
                      <wp:start x="0" y="0"/>
                      <wp:lineTo x="0" y="21416"/>
                      <wp:lineTo x="21269" y="21416"/>
                      <wp:lineTo x="21269" y="0"/>
                      <wp:lineTo x="0" y="0"/>
                    </wp:wrapPolygon>
                  </wp:wrapTight>
                  <wp:docPr id="257" name="Picture 26" descr="tinosp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nospo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53" t="6272" r="7983" b="23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264" cy="1268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-233.14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-223.92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-268.79</w:t>
            </w:r>
          </w:p>
        </w:tc>
      </w:tr>
      <w:tr w:rsidR="00765425" w:rsidRPr="00D82FBE" w:rsidTr="00C3735A"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B43630" w:rsidRDefault="00765425" w:rsidP="00C3735A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B43630">
              <w:rPr>
                <w:rFonts w:eastAsia="Calibri"/>
                <w:color w:val="1C1C1C"/>
                <w:kern w:val="24"/>
                <w:sz w:val="20"/>
                <w:szCs w:val="20"/>
                <w:lang w:val="en-IN"/>
              </w:rPr>
              <w:t xml:space="preserve">Withanolide 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inline distT="0" distB="0" distL="0" distR="0" wp14:anchorId="64CE9F48" wp14:editId="65C17741">
                  <wp:extent cx="1050308" cy="1182757"/>
                  <wp:effectExtent l="19050" t="0" r="0" b="0"/>
                  <wp:docPr id="260" name="Picture 27" descr="Withanolid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thanolide.png"/>
                          <pic:cNvPicPr/>
                        </pic:nvPicPr>
                        <pic:blipFill>
                          <a:blip r:embed="rId15"/>
                          <a:srcRect l="10144" t="8014" r="11126" b="31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920" cy="1185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-207.18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-214.98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D9D9D9" w:themeFill="background1" w:themeFillShade="D9"/>
          </w:tcPr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</w:pPr>
          </w:p>
          <w:p w:rsidR="00765425" w:rsidRPr="002F1F76" w:rsidRDefault="00765425" w:rsidP="00C3735A">
            <w:pPr>
              <w:pStyle w:val="NormalWeb"/>
              <w:spacing w:before="0" w:beforeAutospacing="0" w:after="0" w:afterAutospacing="0" w:line="256" w:lineRule="auto"/>
              <w:jc w:val="center"/>
              <w:rPr>
                <w:rFonts w:ascii="Arial" w:hAnsi="Arial" w:cs="Arial"/>
                <w:sz w:val="20"/>
                <w:szCs w:val="36"/>
              </w:rPr>
            </w:pPr>
            <w:r w:rsidRPr="002F1F76">
              <w:rPr>
                <w:rFonts w:eastAsia="Calibri"/>
                <w:color w:val="1C1C1C"/>
                <w:kern w:val="24"/>
                <w:sz w:val="20"/>
                <w:szCs w:val="36"/>
                <w:lang w:val="en-IN"/>
              </w:rPr>
              <w:t>-253.37</w:t>
            </w:r>
          </w:p>
        </w:tc>
      </w:tr>
      <w:tr w:rsidR="00765425" w:rsidRPr="00D82FBE" w:rsidTr="00C3735A">
        <w:trPr>
          <w:trHeight w:val="1784"/>
        </w:trPr>
        <w:tc>
          <w:tcPr>
            <w:tcW w:w="971" w:type="pct"/>
            <w:tcBorders>
              <w:top w:val="single" w:sz="4" w:space="0" w:color="000000"/>
            </w:tcBorders>
            <w:shd w:val="clear" w:color="auto" w:fill="auto"/>
          </w:tcPr>
          <w:p w:rsidR="00765425" w:rsidRPr="00375BEC" w:rsidRDefault="00765425" w:rsidP="00C3735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75BEC">
              <w:rPr>
                <w:rFonts w:ascii="Times New Roman" w:hAnsi="Times New Roman"/>
                <w:sz w:val="20"/>
                <w:szCs w:val="20"/>
              </w:rPr>
              <w:t>Hydroxy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375BEC">
              <w:rPr>
                <w:rFonts w:ascii="Times New Roman" w:hAnsi="Times New Roman"/>
                <w:sz w:val="20"/>
                <w:szCs w:val="20"/>
              </w:rPr>
              <w:t>chloroquine</w:t>
            </w:r>
          </w:p>
        </w:tc>
        <w:tc>
          <w:tcPr>
            <w:tcW w:w="159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  <w:lang w:val="en-IN" w:eastAsia="en-IN"/>
              </w:rPr>
              <w:drawing>
                <wp:anchor distT="0" distB="0" distL="114300" distR="114300" simplePos="0" relativeHeight="251662336" behindDoc="1" locked="0" layoutInCell="1" allowOverlap="1" wp14:anchorId="4A08DA3F" wp14:editId="50A9705D">
                  <wp:simplePos x="0" y="0"/>
                  <wp:positionH relativeFrom="column">
                    <wp:posOffset>413385</wp:posOffset>
                  </wp:positionH>
                  <wp:positionV relativeFrom="paragraph">
                    <wp:posOffset>635</wp:posOffset>
                  </wp:positionV>
                  <wp:extent cx="1088275" cy="1083365"/>
                  <wp:effectExtent l="0" t="0" r="0" b="0"/>
                  <wp:wrapTight wrapText="bothSides">
                    <wp:wrapPolygon edited="0">
                      <wp:start x="0" y="0"/>
                      <wp:lineTo x="0" y="21271"/>
                      <wp:lineTo x="21184" y="21271"/>
                      <wp:lineTo x="21184" y="0"/>
                      <wp:lineTo x="0" y="0"/>
                    </wp:wrapPolygon>
                  </wp:wrapTight>
                  <wp:docPr id="262" name="Picture 28" descr="chloroqui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loroquine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9" t="8711" r="10330" b="80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275" cy="108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Pr="002F1F76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2F1F76">
              <w:rPr>
                <w:rFonts w:ascii="Times New Roman" w:hAnsi="Times New Roman"/>
                <w:sz w:val="20"/>
              </w:rPr>
              <w:t>-235.48</w:t>
            </w:r>
          </w:p>
        </w:tc>
        <w:tc>
          <w:tcPr>
            <w:tcW w:w="814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Pr="002F1F76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2F1F76">
              <w:rPr>
                <w:rFonts w:ascii="Times New Roman" w:hAnsi="Times New Roman"/>
                <w:sz w:val="20"/>
              </w:rPr>
              <w:t>-207.47</w:t>
            </w:r>
          </w:p>
        </w:tc>
        <w:tc>
          <w:tcPr>
            <w:tcW w:w="807" w:type="pct"/>
            <w:tcBorders>
              <w:top w:val="single" w:sz="4" w:space="0" w:color="000000"/>
            </w:tcBorders>
            <w:shd w:val="clear" w:color="auto" w:fill="auto"/>
          </w:tcPr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</w:p>
          <w:p w:rsidR="00765425" w:rsidRPr="002F1F76" w:rsidRDefault="00765425" w:rsidP="00C373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2F1F76">
              <w:rPr>
                <w:rFonts w:ascii="Times New Roman" w:hAnsi="Times New Roman"/>
                <w:sz w:val="20"/>
              </w:rPr>
              <w:t>-213.54</w:t>
            </w:r>
          </w:p>
        </w:tc>
      </w:tr>
    </w:tbl>
    <w:p w:rsidR="00765425" w:rsidRDefault="00765425" w:rsidP="0076542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82FBE">
        <w:rPr>
          <w:rFonts w:ascii="Times New Roman" w:hAnsi="Times New Roman"/>
          <w:sz w:val="20"/>
          <w:szCs w:val="20"/>
        </w:rPr>
        <w:t>†Chemical structures have been derived from PubChem (</w:t>
      </w:r>
      <w:r w:rsidRPr="00D82FBE">
        <w:rPr>
          <w:rFonts w:ascii="Times New Roman" w:hAnsi="Times New Roman"/>
          <w:sz w:val="20"/>
        </w:rPr>
        <w:t>https://pubchem.ncbi.nlm.nih.gov/</w:t>
      </w:r>
      <w:r w:rsidRPr="00D82FBE">
        <w:rPr>
          <w:rFonts w:ascii="Times New Roman" w:hAnsi="Times New Roman"/>
          <w:sz w:val="20"/>
          <w:szCs w:val="20"/>
        </w:rPr>
        <w:t xml:space="preserve">); </w:t>
      </w:r>
      <w:r w:rsidRPr="00B7783F">
        <w:rPr>
          <w:rFonts w:ascii="Times New Roman" w:hAnsi="Times New Roman"/>
          <w:sz w:val="20"/>
          <w:szCs w:val="20"/>
          <w:vertAlign w:val="superscript"/>
        </w:rPr>
        <w:t>§</w:t>
      </w:r>
      <w:r w:rsidRPr="00D82FBE">
        <w:rPr>
          <w:rFonts w:ascii="Times New Roman" w:hAnsi="Times New Roman"/>
          <w:sz w:val="20"/>
          <w:szCs w:val="20"/>
        </w:rPr>
        <w:t>ΔG</w:t>
      </w:r>
      <w:r w:rsidRPr="00D82FBE">
        <w:rPr>
          <w:rFonts w:ascii="Times New Roman" w:hAnsi="Times New Roman"/>
          <w:sz w:val="20"/>
          <w:szCs w:val="20"/>
          <w:vertAlign w:val="subscript"/>
        </w:rPr>
        <w:t>binding</w:t>
      </w:r>
      <w:r w:rsidRPr="00D82FBE">
        <w:rPr>
          <w:rFonts w:ascii="Times New Roman" w:hAnsi="Times New Roman"/>
          <w:sz w:val="20"/>
          <w:szCs w:val="20"/>
        </w:rPr>
        <w:t xml:space="preserve"> = ΔG</w:t>
      </w:r>
      <w:r w:rsidRPr="00D82FBE">
        <w:rPr>
          <w:rFonts w:ascii="Times New Roman" w:hAnsi="Times New Roman"/>
          <w:sz w:val="20"/>
          <w:szCs w:val="20"/>
          <w:vertAlign w:val="subscript"/>
        </w:rPr>
        <w:t xml:space="preserve">complex </w:t>
      </w:r>
      <w:r w:rsidRPr="00D82FBE">
        <w:rPr>
          <w:rFonts w:ascii="Times New Roman" w:hAnsi="Times New Roman"/>
          <w:sz w:val="20"/>
          <w:szCs w:val="20"/>
        </w:rPr>
        <w:t>– (ΔG</w:t>
      </w:r>
      <w:r w:rsidRPr="00D82FBE">
        <w:rPr>
          <w:rFonts w:ascii="Times New Roman" w:hAnsi="Times New Roman"/>
          <w:sz w:val="20"/>
          <w:szCs w:val="20"/>
          <w:vertAlign w:val="subscript"/>
        </w:rPr>
        <w:t>receptor</w:t>
      </w:r>
      <w:r w:rsidRPr="00D82FBE">
        <w:rPr>
          <w:rFonts w:ascii="Times New Roman" w:hAnsi="Times New Roman"/>
          <w:sz w:val="20"/>
          <w:szCs w:val="20"/>
        </w:rPr>
        <w:t xml:space="preserve"> + ΔG</w:t>
      </w:r>
      <w:r w:rsidRPr="00D82FBE">
        <w:rPr>
          <w:rFonts w:ascii="Times New Roman" w:hAnsi="Times New Roman"/>
          <w:sz w:val="20"/>
          <w:szCs w:val="20"/>
          <w:vertAlign w:val="subscript"/>
        </w:rPr>
        <w:t>ligand</w:t>
      </w:r>
      <w:r w:rsidRPr="00D82FBE">
        <w:rPr>
          <w:rFonts w:ascii="Times New Roman" w:hAnsi="Times New Roman"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>; Grey shaded cells indicate highly significant E value of docking as compared to the standard chemotherapeutic agent; Green shaded cells indicate holistic phytoligands exhibiting optimum E value for all the three selected viral virulence factors (These phytoligands have been further analysed for salt-bridge analysis and electrostatic interactions).</w:t>
      </w:r>
    </w:p>
    <w:p w:rsidR="00802115" w:rsidRDefault="00802115">
      <w:bookmarkStart w:id="0" w:name="_GoBack"/>
      <w:bookmarkEnd w:id="0"/>
    </w:p>
    <w:sectPr w:rsidR="008021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7F8"/>
    <w:rsid w:val="000577F8"/>
    <w:rsid w:val="00765425"/>
    <w:rsid w:val="0080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C44B17-ADEF-4429-A62B-72B247519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425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542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2020-04-15T11:11:00Z</dcterms:created>
  <dcterms:modified xsi:type="dcterms:W3CDTF">2020-04-15T11:11:00Z</dcterms:modified>
</cp:coreProperties>
</file>