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392" w:rsidRPr="00C54E8A" w:rsidRDefault="008E7392" w:rsidP="008E7392">
      <w:pPr>
        <w:spacing w:after="0"/>
        <w:jc w:val="both"/>
        <w:rPr>
          <w:rFonts w:ascii="Times New Roman" w:hAnsi="Times New Roman"/>
          <w:b/>
          <w:sz w:val="24"/>
        </w:rPr>
      </w:pPr>
      <w:r w:rsidRPr="00C54E8A">
        <w:rPr>
          <w:rFonts w:ascii="Times New Roman" w:hAnsi="Times New Roman"/>
          <w:b/>
          <w:sz w:val="24"/>
        </w:rPr>
        <w:t xml:space="preserve">Table </w:t>
      </w:r>
      <w:r>
        <w:rPr>
          <w:rFonts w:ascii="Times New Roman" w:hAnsi="Times New Roman"/>
          <w:b/>
          <w:sz w:val="24"/>
        </w:rPr>
        <w:t>2</w:t>
      </w:r>
      <w:r w:rsidRPr="00C54E8A"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b/>
          <w:sz w:val="24"/>
        </w:rPr>
        <w:t>A</w:t>
      </w:r>
      <w:r w:rsidRPr="00C54E8A">
        <w:rPr>
          <w:rFonts w:ascii="Times New Roman" w:hAnsi="Times New Roman"/>
          <w:b/>
          <w:sz w:val="24"/>
        </w:rPr>
        <w:t>ctive pockets and corresponding pocket area, volu</w:t>
      </w:r>
      <w:r>
        <w:rPr>
          <w:rFonts w:ascii="Times New Roman" w:hAnsi="Times New Roman"/>
          <w:b/>
          <w:sz w:val="24"/>
        </w:rPr>
        <w:t>me, enclosure and druggability indices</w:t>
      </w:r>
      <w:r w:rsidRPr="00C54E8A">
        <w:rPr>
          <w:rFonts w:ascii="Times New Roman" w:hAnsi="Times New Roman"/>
          <w:b/>
          <w:sz w:val="24"/>
        </w:rPr>
        <w:t xml:space="preserve"> for SARS-CoV-2 virulence factors.</w:t>
      </w:r>
    </w:p>
    <w:p w:rsidR="008E7392" w:rsidRPr="00C54E8A" w:rsidRDefault="008E7392" w:rsidP="008E7392">
      <w:pPr>
        <w:spacing w:after="0"/>
        <w:jc w:val="both"/>
        <w:rPr>
          <w:rFonts w:ascii="Times New Roman" w:hAnsi="Times New Roman"/>
          <w:b/>
          <w:sz w:val="24"/>
        </w:rPr>
      </w:pPr>
    </w:p>
    <w:tbl>
      <w:tblPr>
        <w:tblW w:w="6204" w:type="pct"/>
        <w:tblInd w:w="-993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992"/>
        <w:gridCol w:w="992"/>
        <w:gridCol w:w="1059"/>
        <w:gridCol w:w="934"/>
        <w:gridCol w:w="1129"/>
        <w:gridCol w:w="1700"/>
        <w:gridCol w:w="851"/>
        <w:gridCol w:w="1698"/>
      </w:tblGrid>
      <w:tr w:rsidR="008E7392" w:rsidRPr="00C54E8A" w:rsidTr="009B1127">
        <w:tc>
          <w:tcPr>
            <w:tcW w:w="823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Viral Virulence Factor (PDB ID)</w:t>
            </w:r>
          </w:p>
        </w:tc>
        <w:tc>
          <w:tcPr>
            <w:tcW w:w="443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Total Pockets</w:t>
            </w:r>
          </w:p>
        </w:tc>
        <w:tc>
          <w:tcPr>
            <w:tcW w:w="443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Active pockets†</w:t>
            </w:r>
          </w:p>
        </w:tc>
        <w:tc>
          <w:tcPr>
            <w:tcW w:w="473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Area (Å</w:t>
            </w:r>
            <w:r w:rsidRPr="00C54E8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2</w:t>
            </w: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417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Volume (Å</w:t>
            </w:r>
            <w:r w:rsidRPr="00C54E8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3</w:t>
            </w: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504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Enclosure (Å)</w:t>
            </w:r>
          </w:p>
        </w:tc>
        <w:tc>
          <w:tcPr>
            <w:tcW w:w="759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Hydrophobicity (Kcal/ Å</w:t>
            </w:r>
            <w:r w:rsidRPr="00C54E8A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2</w:t>
            </w: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380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Drug Score</w:t>
            </w:r>
          </w:p>
        </w:tc>
        <w:tc>
          <w:tcPr>
            <w:tcW w:w="758" w:type="pct"/>
            <w:tcBorders>
              <w:top w:val="single" w:sz="4" w:space="0" w:color="000000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Representation</w:t>
            </w:r>
          </w:p>
        </w:tc>
      </w:tr>
      <w:tr w:rsidR="008E7392" w:rsidRPr="00C54E8A" w:rsidTr="009B1127">
        <w:tc>
          <w:tcPr>
            <w:tcW w:w="823" w:type="pct"/>
            <w:vMerge w:val="restart"/>
            <w:tcBorders>
              <w:top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Spike glycoprotein (6VSB)</w:t>
            </w:r>
          </w:p>
        </w:tc>
        <w:tc>
          <w:tcPr>
            <w:tcW w:w="443" w:type="pct"/>
            <w:vMerge w:val="restart"/>
            <w:tcBorders>
              <w:top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443" w:type="pc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P_11</w:t>
            </w:r>
          </w:p>
        </w:tc>
        <w:tc>
          <w:tcPr>
            <w:tcW w:w="473" w:type="pc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807.13</w:t>
            </w:r>
          </w:p>
        </w:tc>
        <w:tc>
          <w:tcPr>
            <w:tcW w:w="417" w:type="pc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662.19</w:t>
            </w:r>
          </w:p>
        </w:tc>
        <w:tc>
          <w:tcPr>
            <w:tcW w:w="504" w:type="pct"/>
            <w:tcBorders>
              <w:top w:val="single" w:sz="4" w:space="0" w:color="000000"/>
            </w:tcBorders>
            <w:shd w:val="clear" w:color="auto" w:fill="D9D9D9"/>
            <w:vAlign w:val="bottom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59" w:type="pc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380" w:type="pc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58" w:type="pct"/>
            <w:vMerge w:val="restar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206AB665" wp14:editId="38E3FB96">
                  <wp:extent cx="774568" cy="907285"/>
                  <wp:effectExtent l="19050" t="0" r="6482" b="0"/>
                  <wp:docPr id="1" name="Picture 0" descr="spike pk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ike pkt.png"/>
                          <pic:cNvPicPr/>
                        </pic:nvPicPr>
                        <pic:blipFill>
                          <a:blip r:embed="rId4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</a:blip>
                          <a:srcRect l="20884" t="20000" r="10722" b="176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5145" cy="907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P_7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1027.4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885.73</w:t>
            </w:r>
          </w:p>
        </w:tc>
        <w:tc>
          <w:tcPr>
            <w:tcW w:w="504" w:type="pct"/>
            <w:vAlign w:val="bottom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P_9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792.72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781.17</w:t>
            </w:r>
          </w:p>
        </w:tc>
        <w:tc>
          <w:tcPr>
            <w:tcW w:w="504" w:type="pct"/>
            <w:vAlign w:val="bottom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P_10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987.15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728.29</w:t>
            </w:r>
          </w:p>
        </w:tc>
        <w:tc>
          <w:tcPr>
            <w:tcW w:w="504" w:type="pct"/>
            <w:vAlign w:val="bottom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P_6</w:t>
            </w:r>
          </w:p>
        </w:tc>
        <w:tc>
          <w:tcPr>
            <w:tcW w:w="473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1194.9</w:t>
            </w:r>
          </w:p>
        </w:tc>
        <w:tc>
          <w:tcPr>
            <w:tcW w:w="417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1024.5</w:t>
            </w:r>
          </w:p>
        </w:tc>
        <w:tc>
          <w:tcPr>
            <w:tcW w:w="504" w:type="pct"/>
            <w:tcBorders>
              <w:bottom w:val="single" w:sz="4" w:space="0" w:color="000000"/>
            </w:tcBorders>
            <w:vAlign w:val="bottom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59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380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58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 w:val="restart"/>
            <w:tcBorders>
              <w:top w:val="single" w:sz="4" w:space="0" w:color="000000"/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NSP15 endoribonuclease (6VWW)</w:t>
            </w:r>
          </w:p>
        </w:tc>
        <w:tc>
          <w:tcPr>
            <w:tcW w:w="443" w:type="pct"/>
            <w:vMerge w:val="restart"/>
            <w:tcBorders>
              <w:top w:val="single" w:sz="4" w:space="0" w:color="000000"/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43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P_1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787.38</w:t>
            </w:r>
          </w:p>
        </w:tc>
        <w:tc>
          <w:tcPr>
            <w:tcW w:w="417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683.48</w:t>
            </w:r>
          </w:p>
        </w:tc>
        <w:tc>
          <w:tcPr>
            <w:tcW w:w="504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59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380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58" w:type="pct"/>
            <w:vMerge w:val="restar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1D377A7E" wp14:editId="7462F4CF">
                  <wp:extent cx="872836" cy="728070"/>
                  <wp:effectExtent l="0" t="76200" r="0" b="72030"/>
                  <wp:docPr id="2" name="Picture 1" descr="ribonu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ibonuc.png"/>
                          <pic:cNvPicPr/>
                        </pic:nvPicPr>
                        <pic:blipFill>
                          <a:blip r:embed="rId5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</a:blip>
                          <a:srcRect t="18758" b="1756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72679" cy="727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7392" w:rsidRPr="00C54E8A" w:rsidTr="009B1127">
        <w:tc>
          <w:tcPr>
            <w:tcW w:w="823" w:type="pct"/>
            <w:vMerge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P_0</w:t>
            </w:r>
          </w:p>
        </w:tc>
        <w:tc>
          <w:tcPr>
            <w:tcW w:w="473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712.51</w:t>
            </w:r>
          </w:p>
        </w:tc>
        <w:tc>
          <w:tcPr>
            <w:tcW w:w="417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685.95</w:t>
            </w:r>
          </w:p>
        </w:tc>
        <w:tc>
          <w:tcPr>
            <w:tcW w:w="504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59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80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P_3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561.74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467.99</w:t>
            </w:r>
          </w:p>
        </w:tc>
        <w:tc>
          <w:tcPr>
            <w:tcW w:w="504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P_2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832.74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507.64</w:t>
            </w:r>
          </w:p>
        </w:tc>
        <w:tc>
          <w:tcPr>
            <w:tcW w:w="504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P_5</w:t>
            </w:r>
          </w:p>
        </w:tc>
        <w:tc>
          <w:tcPr>
            <w:tcW w:w="473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621.35</w:t>
            </w:r>
          </w:p>
        </w:tc>
        <w:tc>
          <w:tcPr>
            <w:tcW w:w="417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344.13</w:t>
            </w:r>
          </w:p>
        </w:tc>
        <w:tc>
          <w:tcPr>
            <w:tcW w:w="504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59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380" w:type="pct"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758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 w:val="restart"/>
            <w:tcBorders>
              <w:top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54E8A">
              <w:rPr>
                <w:rFonts w:ascii="Times New Roman" w:hAnsi="Times New Roman"/>
                <w:b/>
                <w:sz w:val="20"/>
                <w:szCs w:val="20"/>
              </w:rPr>
              <w:t>Main Protease 3CLpro (1Q2W)</w:t>
            </w:r>
          </w:p>
        </w:tc>
        <w:tc>
          <w:tcPr>
            <w:tcW w:w="443" w:type="pct"/>
            <w:vMerge w:val="restart"/>
            <w:tcBorders>
              <w:top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43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P_0</w:t>
            </w:r>
          </w:p>
        </w:tc>
        <w:tc>
          <w:tcPr>
            <w:tcW w:w="473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2867.9</w:t>
            </w:r>
          </w:p>
        </w:tc>
        <w:tc>
          <w:tcPr>
            <w:tcW w:w="417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2443.7</w:t>
            </w:r>
          </w:p>
        </w:tc>
        <w:tc>
          <w:tcPr>
            <w:tcW w:w="504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59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80" w:type="pct"/>
            <w:tcBorders>
              <w:top w:val="single" w:sz="4" w:space="0" w:color="000000"/>
              <w:bottom w:val="nil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758" w:type="pct"/>
            <w:vMerge w:val="restart"/>
            <w:tcBorders>
              <w:top w:val="single" w:sz="4" w:space="0" w:color="000000"/>
            </w:tcBorders>
            <w:shd w:val="clear" w:color="auto" w:fill="D9D9D9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13569C84" wp14:editId="7CBF3C68">
                  <wp:extent cx="831022" cy="856800"/>
                  <wp:effectExtent l="0" t="0" r="0" b="0"/>
                  <wp:docPr id="3" name="Picture 2" descr="Drug and Protease pocket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ug and Protease pockets.png"/>
                          <pic:cNvPicPr/>
                        </pic:nvPicPr>
                        <pic:blipFill>
                          <a:blip r:embed="rId6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lum bright="-20000" contrast="-10000"/>
                          </a:blip>
                          <a:srcRect r="6836" b="8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022" cy="85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P_1</w:t>
            </w:r>
          </w:p>
        </w:tc>
        <w:tc>
          <w:tcPr>
            <w:tcW w:w="473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589.09</w:t>
            </w:r>
          </w:p>
        </w:tc>
        <w:tc>
          <w:tcPr>
            <w:tcW w:w="417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364.2</w:t>
            </w:r>
          </w:p>
        </w:tc>
        <w:tc>
          <w:tcPr>
            <w:tcW w:w="504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759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380" w:type="pct"/>
            <w:tcBorders>
              <w:top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P_2</w:t>
            </w:r>
          </w:p>
        </w:tc>
        <w:tc>
          <w:tcPr>
            <w:tcW w:w="473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341.62</w:t>
            </w:r>
          </w:p>
        </w:tc>
        <w:tc>
          <w:tcPr>
            <w:tcW w:w="417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297.14</w:t>
            </w:r>
          </w:p>
        </w:tc>
        <w:tc>
          <w:tcPr>
            <w:tcW w:w="504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59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380" w:type="pct"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P_4</w:t>
            </w:r>
          </w:p>
        </w:tc>
        <w:tc>
          <w:tcPr>
            <w:tcW w:w="473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430.51</w:t>
            </w:r>
          </w:p>
        </w:tc>
        <w:tc>
          <w:tcPr>
            <w:tcW w:w="417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222.15</w:t>
            </w:r>
          </w:p>
        </w:tc>
        <w:tc>
          <w:tcPr>
            <w:tcW w:w="504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59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380" w:type="pct"/>
            <w:tcBorders>
              <w:bottom w:val="nil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758" w:type="pct"/>
            <w:vMerge/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E7392" w:rsidRPr="00C54E8A" w:rsidTr="009B1127">
        <w:tc>
          <w:tcPr>
            <w:tcW w:w="82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P_3</w:t>
            </w:r>
          </w:p>
        </w:tc>
        <w:tc>
          <w:tcPr>
            <w:tcW w:w="473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373.5</w:t>
            </w:r>
          </w:p>
        </w:tc>
        <w:tc>
          <w:tcPr>
            <w:tcW w:w="417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237.35</w:t>
            </w:r>
          </w:p>
        </w:tc>
        <w:tc>
          <w:tcPr>
            <w:tcW w:w="504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759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80" w:type="pct"/>
            <w:tcBorders>
              <w:top w:val="nil"/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54E8A">
              <w:rPr>
                <w:rFonts w:ascii="Times New Roman" w:hAnsi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758" w:type="pct"/>
            <w:vMerge/>
            <w:tcBorders>
              <w:bottom w:val="single" w:sz="4" w:space="0" w:color="000000"/>
            </w:tcBorders>
          </w:tcPr>
          <w:p w:rsidR="008E7392" w:rsidRPr="00C54E8A" w:rsidRDefault="008E7392" w:rsidP="00C3735A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8E7392" w:rsidRPr="00C54E8A" w:rsidRDefault="008E7392" w:rsidP="009B1127">
      <w:pPr>
        <w:spacing w:after="0"/>
        <w:ind w:left="-851" w:right="-1039"/>
        <w:jc w:val="both"/>
        <w:rPr>
          <w:rFonts w:ascii="Times New Roman" w:hAnsi="Times New Roman"/>
          <w:sz w:val="20"/>
        </w:rPr>
      </w:pPr>
      <w:r w:rsidRPr="00C54E8A">
        <w:rPr>
          <w:rFonts w:ascii="Times New Roman" w:hAnsi="Times New Roman"/>
          <w:sz w:val="20"/>
        </w:rPr>
        <w:t>†Only the most active pockets have been presented with a high druggability score; Shaded rows indicate the most druggable pockets which will be further employed for docking studies.</w:t>
      </w:r>
    </w:p>
    <w:p w:rsidR="00802115" w:rsidRDefault="00802115">
      <w:bookmarkStart w:id="0" w:name="_GoBack"/>
      <w:bookmarkEnd w:id="0"/>
    </w:p>
    <w:sectPr w:rsidR="008021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5CC"/>
    <w:rsid w:val="004175CC"/>
    <w:rsid w:val="00802115"/>
    <w:rsid w:val="008E7392"/>
    <w:rsid w:val="009B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866D9F-AF85-4864-A501-FA2EF7D67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7392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2020-04-15T10:39:00Z</dcterms:created>
  <dcterms:modified xsi:type="dcterms:W3CDTF">2020-04-15T11:00:00Z</dcterms:modified>
</cp:coreProperties>
</file>