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2CC" w:rsidRPr="00E3736F" w:rsidRDefault="00542915" w:rsidP="000522CC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="00153CBE"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="00373092" w:rsidRPr="00E3736F">
        <w:rPr>
          <w:rFonts w:ascii="Calibri" w:hAnsi="Calibri" w:hint="eastAsia"/>
          <w:color w:val="000000" w:themeColor="text1"/>
          <w:sz w:val="24"/>
          <w:szCs w:val="24"/>
        </w:rPr>
        <w:t>2</w:t>
      </w:r>
      <w:r w:rsidR="00153CBE" w:rsidRPr="00E3736F">
        <w:rPr>
          <w:rFonts w:ascii="Calibri" w:hAnsi="Calibri"/>
          <w:color w:val="000000" w:themeColor="text1"/>
          <w:sz w:val="24"/>
          <w:szCs w:val="24"/>
        </w:rPr>
        <w:t xml:space="preserve">. </w:t>
      </w:r>
      <w:proofErr w:type="spellStart"/>
      <w:r w:rsidR="00153CBE" w:rsidRPr="00E3736F">
        <w:rPr>
          <w:rFonts w:ascii="Calibri" w:hAnsi="Calibri"/>
          <w:color w:val="000000" w:themeColor="text1"/>
          <w:sz w:val="24"/>
          <w:szCs w:val="24"/>
        </w:rPr>
        <w:t>Univariate</w:t>
      </w:r>
      <w:proofErr w:type="spellEnd"/>
      <w:r w:rsidR="00153CBE" w:rsidRPr="00E3736F">
        <w:rPr>
          <w:rFonts w:ascii="Calibri" w:hAnsi="Calibri"/>
          <w:color w:val="000000" w:themeColor="text1"/>
          <w:sz w:val="24"/>
          <w:szCs w:val="24"/>
        </w:rPr>
        <w:t xml:space="preserve"> and multivariate analysis of </w:t>
      </w:r>
      <w:r w:rsidR="00153CBE" w:rsidRPr="00E3736F">
        <w:rPr>
          <w:rFonts w:ascii="Calibri" w:hAnsi="Calibri" w:hint="eastAsia"/>
          <w:color w:val="000000" w:themeColor="text1"/>
          <w:sz w:val="24"/>
          <w:szCs w:val="24"/>
        </w:rPr>
        <w:t>prognostic</w:t>
      </w:r>
      <w:r w:rsidR="00153CBE" w:rsidRPr="00E3736F">
        <w:rPr>
          <w:rFonts w:ascii="Calibri" w:hAnsi="Calibri"/>
          <w:color w:val="000000" w:themeColor="text1"/>
          <w:sz w:val="24"/>
          <w:szCs w:val="24"/>
        </w:rPr>
        <w:t xml:space="preserve"> for </w:t>
      </w:r>
      <w:r w:rsidR="00153CBE" w:rsidRPr="00E3736F">
        <w:rPr>
          <w:rFonts w:ascii="Calibri" w:hAnsi="Calibri" w:hint="eastAsia"/>
          <w:color w:val="000000" w:themeColor="text1"/>
          <w:sz w:val="24"/>
          <w:szCs w:val="24"/>
        </w:rPr>
        <w:t>Disease</w:t>
      </w:r>
      <w:r w:rsidR="00153CBE" w:rsidRPr="00E3736F">
        <w:rPr>
          <w:rFonts w:ascii="Calibri" w:hAnsi="Calibri"/>
          <w:color w:val="000000" w:themeColor="text1"/>
          <w:sz w:val="24"/>
          <w:szCs w:val="24"/>
        </w:rPr>
        <w:t xml:space="preserve">-free survival </w:t>
      </w:r>
    </w:p>
    <w:tbl>
      <w:tblPr>
        <w:tblW w:w="9215" w:type="dxa"/>
        <w:tblInd w:w="-31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4254"/>
        <w:gridCol w:w="1275"/>
        <w:gridCol w:w="1418"/>
        <w:gridCol w:w="2268"/>
      </w:tblGrid>
      <w:tr w:rsidR="000522CC" w:rsidRPr="00E3736F" w:rsidTr="000A7AFC">
        <w:tc>
          <w:tcPr>
            <w:tcW w:w="4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496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0522CC" w:rsidRPr="00E3736F" w:rsidRDefault="00E935D8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>Disease</w:t>
            </w: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-free survival</w:t>
            </w:r>
          </w:p>
        </w:tc>
      </w:tr>
      <w:tr w:rsidR="000522CC" w:rsidRPr="00E3736F" w:rsidTr="000A7AFC">
        <w:tc>
          <w:tcPr>
            <w:tcW w:w="42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Univariate</w:t>
            </w:r>
            <w:proofErr w:type="spellEnd"/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 xml:space="preserve"> </w:t>
            </w:r>
          </w:p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HR </w:t>
            </w:r>
          </w:p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>(95% CI)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hint="eastAsia"/>
                <w:b/>
                <w:color w:val="000000" w:themeColor="text1"/>
                <w:sz w:val="24"/>
                <w:szCs w:val="24"/>
              </w:rPr>
              <w:t>Disease</w:t>
            </w:r>
            <w:r w:rsidRPr="00E3736F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-free survival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22CC" w:rsidRPr="00E3736F" w:rsidTr="000A7AFC">
        <w:tc>
          <w:tcPr>
            <w:tcW w:w="4254" w:type="dxa"/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Gender (male vs. female)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131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Age (≥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49 vs. &lt;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49 years)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719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rPr>
          <w:trHeight w:val="329"/>
        </w:trPr>
        <w:tc>
          <w:tcPr>
            <w:tcW w:w="4254" w:type="dxa"/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/>
                <w:color w:val="000000"/>
                <w:sz w:val="24"/>
                <w:szCs w:val="24"/>
              </w:rPr>
              <w:t>Tumor multiplicity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multiple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vs. Single)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0.297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size (cm) 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&lt;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5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0.139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>HBV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positive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vs. negative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908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AFP (ng/ml) 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20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&lt;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20)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943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TNM stage (I</w:t>
            </w:r>
            <w:r w:rsidR="00C714F2"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>-</w:t>
            </w:r>
            <w:r w:rsidR="00C714F2"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>II vs.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 xml:space="preserve"> III</w:t>
            </w:r>
            <w:r w:rsidR="00C714F2"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>-</w:t>
            </w:r>
            <w:r w:rsidR="00C714F2"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>IV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0.705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Differentiation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(well vs. moderate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-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poor)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0.737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Cirrhosis (no vs. yes)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0.8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V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0.173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MVI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</w:t>
            </w:r>
            <w:r w:rsidR="003B364E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E36489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</w:t>
            </w:r>
            <w:r w:rsidR="00E36489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E36489" w:rsidP="00E36489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1.698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0522CC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033-2</w:t>
            </w:r>
            <w:r w:rsidR="000522CC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791</w:t>
            </w:r>
            <w:r w:rsidR="000522CC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capsule (complete vs. incomplete)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0.745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LN metastasis (no vs. yes)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0.988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0522CC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Cytological type (liver cell vs. clear cell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vs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.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fatty-rich vs. giant cell)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0.2</w:t>
            </w:r>
            <w:r w:rsidR="003B364E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22CC" w:rsidRPr="00E3736F" w:rsidRDefault="000522CC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PD-L1 expression (TC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 vs TC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0.859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PD-L1 expression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C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C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1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0.450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82F94" w:rsidP="00E82F94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="00E36489"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</w:t>
            </w:r>
            <w:r w:rsidR="00E36489"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="00C714F2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E36489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="00E36489"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&lt; </w:t>
            </w:r>
            <w:r w:rsidR="00E36489"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="00E36489"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0.146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E36489" w:rsidRPr="00E3736F" w:rsidTr="000A7AFC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HHLA2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expression (high vs. low)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3B364E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0.238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36489" w:rsidRPr="00E3736F" w:rsidRDefault="00E36489" w:rsidP="0011737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</w:tbl>
    <w:p w:rsidR="00CD528E" w:rsidRPr="00E3736F" w:rsidRDefault="000522CC" w:rsidP="000522CC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/>
          <w:color w:val="000000" w:themeColor="text1"/>
          <w:sz w:val="24"/>
          <w:szCs w:val="24"/>
        </w:rPr>
        <w:t>Abbreviations: TNM = tumor-node-metastasis staging; AJCC, American Joint Committee on Cancer; HR, hazard ratio; CI, confidence interval.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VI,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Vascular invasion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; MVI,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proofErr w:type="spellStart"/>
      <w:r w:rsidRPr="00E3736F">
        <w:rPr>
          <w:rFonts w:ascii="Calibri" w:hAnsi="Calibri" w:hint="eastAsia"/>
          <w:color w:val="000000" w:themeColor="text1"/>
          <w:sz w:val="24"/>
          <w:szCs w:val="24"/>
        </w:rPr>
        <w:t>microv</w:t>
      </w:r>
      <w:r w:rsidRPr="00E3736F">
        <w:rPr>
          <w:rFonts w:ascii="Calibri" w:hAnsi="Calibri"/>
          <w:color w:val="000000" w:themeColor="text1"/>
          <w:sz w:val="24"/>
          <w:szCs w:val="24"/>
        </w:rPr>
        <w:t>ascular</w:t>
      </w:r>
      <w:proofErr w:type="spellEnd"/>
      <w:r w:rsidRPr="00E3736F">
        <w:rPr>
          <w:rFonts w:ascii="Calibri" w:hAnsi="Calibri"/>
          <w:color w:val="000000" w:themeColor="text1"/>
          <w:sz w:val="24"/>
          <w:szCs w:val="24"/>
        </w:rPr>
        <w:t xml:space="preserve"> invasion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; </w:t>
      </w:r>
      <w:r w:rsidR="001309DE"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t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. </w:t>
      </w:r>
    </w:p>
    <w:sectPr w:rsidR="00CD528E" w:rsidRPr="00E3736F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C2D" w:rsidRDefault="00A95C2D" w:rsidP="00150C41">
      <w:r>
        <w:separator/>
      </w:r>
    </w:p>
  </w:endnote>
  <w:endnote w:type="continuationSeparator" w:id="0">
    <w:p w:rsidR="00A95C2D" w:rsidRDefault="00A95C2D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C2D" w:rsidRDefault="00A95C2D" w:rsidP="00150C41">
      <w:r>
        <w:separator/>
      </w:r>
    </w:p>
  </w:footnote>
  <w:footnote w:type="continuationSeparator" w:id="0">
    <w:p w:rsidR="00A95C2D" w:rsidRDefault="00A95C2D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7582E"/>
    <w:rsid w:val="00381930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95C2D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C6905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2885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2021-07-14T07:35:00Z</dcterms:modified>
</cp:coreProperties>
</file>