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line="360" w:lineRule="auto"/>
        <w:rPr>
          <w:rFonts w:ascii="Times New Roman" w:hAnsi="Times New Roman" w:cs="Times New Roman"/>
          <w:b/>
          <w:bCs/>
          <w:sz w:val="30"/>
          <w:szCs w:val="30"/>
        </w:rPr>
      </w:pPr>
      <w:r>
        <w:rPr>
          <w:rFonts w:hint="eastAsia" w:ascii="Times New Roman" w:hAnsi="Times New Roman" w:cs="Times New Roman"/>
          <w:b/>
          <w:bCs/>
          <w:sz w:val="30"/>
          <w:szCs w:val="30"/>
        </w:rPr>
        <w:t>S</w:t>
      </w:r>
      <w:r>
        <w:rPr>
          <w:rFonts w:ascii="Times New Roman" w:hAnsi="Times New Roman" w:cs="Times New Roman"/>
          <w:b/>
          <w:bCs/>
          <w:sz w:val="30"/>
          <w:szCs w:val="30"/>
        </w:rPr>
        <w:t>upport Information</w:t>
      </w:r>
    </w:p>
    <w:p>
      <w:pPr>
        <w:pStyle w:val="12"/>
        <w:spacing w:before="0" w:after="0" w:line="480" w:lineRule="auto"/>
        <w:rPr>
          <w:rFonts w:ascii="Times New Roman" w:hAnsi="Times New Roman"/>
        </w:rPr>
      </w:pPr>
      <w:r>
        <w:rPr>
          <w:rFonts w:hint="eastAsia" w:ascii="Times New Roman" w:hAnsi="Times New Roman"/>
        </w:rPr>
        <w:t>Buried-in Interface with Two-terminal Functional Groups for Perovskite-based Photovoltaic Solar Cells</w:t>
      </w:r>
      <w:bookmarkStart w:id="1" w:name="_GoBack"/>
      <w:bookmarkEnd w:id="1"/>
      <w:r>
        <w:rPr>
          <w:rFonts w:ascii="Times New Roman" w:hAnsi="Times New Roman"/>
        </w:rPr>
        <w:t xml:space="preserve"> </w:t>
      </w:r>
    </w:p>
    <w:p>
      <w:pPr>
        <w:pStyle w:val="14"/>
        <w:spacing w:line="480" w:lineRule="auto"/>
        <w:rPr>
          <w:rFonts w:ascii="Times New Roman" w:hAnsi="Times New Roman" w:cs="Times New Roman"/>
          <w:color w:val="0000FF"/>
          <w:sz w:val="20"/>
        </w:rPr>
      </w:pPr>
      <w:r>
        <w:rPr>
          <w:rFonts w:ascii="Times New Roman" w:hAnsi="Times New Roman" w:cs="Times New Roman"/>
          <w:sz w:val="20"/>
        </w:rPr>
        <w:t>Zhenhua Xu</w:t>
      </w:r>
      <w:r>
        <w:rPr>
          <w:rFonts w:ascii="Times New Roman" w:hAnsi="Times New Roman" w:cs="Times New Roman"/>
          <w:sz w:val="20"/>
          <w:vertAlign w:val="superscript"/>
        </w:rPr>
        <w:t>1,2</w:t>
      </w:r>
      <w:r>
        <w:rPr>
          <w:rFonts w:ascii="Times New Roman" w:hAnsi="Times New Roman" w:cs="Times New Roman"/>
          <w:sz w:val="20"/>
        </w:rPr>
        <w:t>, Xinming Zhou</w:t>
      </w:r>
      <w:r>
        <w:rPr>
          <w:rFonts w:ascii="Times New Roman" w:hAnsi="Times New Roman" w:cs="Times New Roman"/>
          <w:sz w:val="20"/>
          <w:vertAlign w:val="superscript"/>
        </w:rPr>
        <w:t>2</w:t>
      </w:r>
      <w:r>
        <w:rPr>
          <w:rFonts w:ascii="Times New Roman" w:hAnsi="Times New Roman" w:cs="Times New Roman"/>
          <w:sz w:val="20"/>
        </w:rPr>
        <w:t xml:space="preserve">, </w:t>
      </w:r>
      <w:r>
        <w:rPr>
          <w:rFonts w:hint="eastAsia" w:ascii="Times New Roman" w:hAnsi="Times New Roman" w:cs="Times New Roman"/>
          <w:sz w:val="20"/>
          <w:lang w:val="en-US" w:eastAsia="zh-CN"/>
        </w:rPr>
        <w:t>Xiaohui Li</w:t>
      </w:r>
      <w:r>
        <w:rPr>
          <w:rFonts w:hint="eastAsia" w:ascii="Times New Roman" w:hAnsi="Times New Roman" w:cs="Times New Roman"/>
          <w:sz w:val="20"/>
          <w:vertAlign w:val="superscript"/>
          <w:lang w:val="en-US" w:eastAsia="zh-CN"/>
        </w:rPr>
        <w:t>1</w:t>
      </w:r>
      <w:r>
        <w:rPr>
          <w:rFonts w:hint="eastAsia" w:ascii="Times New Roman" w:hAnsi="Times New Roman" w:cs="Times New Roman"/>
          <w:sz w:val="20"/>
          <w:lang w:val="en-US" w:eastAsia="zh-CN"/>
        </w:rPr>
        <w:t xml:space="preserve">, </w:t>
      </w:r>
      <w:r>
        <w:rPr>
          <w:rFonts w:ascii="Times New Roman" w:hAnsi="Times New Roman" w:cs="Times New Roman"/>
          <w:sz w:val="20"/>
        </w:rPr>
        <w:t>Handong Li,</w:t>
      </w:r>
      <w:r>
        <w:rPr>
          <w:rFonts w:ascii="Times New Roman" w:hAnsi="Times New Roman" w:cs="Times New Roman"/>
          <w:sz w:val="20"/>
          <w:vertAlign w:val="superscript"/>
        </w:rPr>
        <w:t>3</w:t>
      </w:r>
      <w:r>
        <w:rPr>
          <w:rFonts w:ascii="Times New Roman" w:hAnsi="Times New Roman" w:cs="Times New Roman"/>
          <w:sz w:val="20"/>
        </w:rPr>
        <w:t xml:space="preserve"> Hassan Algadi,</w:t>
      </w:r>
      <w:r>
        <w:rPr>
          <w:rFonts w:ascii="Times New Roman" w:hAnsi="Times New Roman" w:cs="Times New Roman"/>
          <w:sz w:val="20"/>
          <w:vertAlign w:val="superscript"/>
        </w:rPr>
        <w:t>4,5</w:t>
      </w:r>
      <w:r>
        <w:rPr>
          <w:rFonts w:hint="eastAsia" w:ascii="Times New Roman" w:hAnsi="Times New Roman" w:cs="Times New Roman"/>
          <w:sz w:val="20"/>
        </w:rPr>
        <w:t xml:space="preserve"> </w:t>
      </w:r>
      <w:r>
        <w:rPr>
          <w:rFonts w:ascii="Times New Roman" w:hAnsi="Times New Roman" w:cs="Times New Roman"/>
          <w:sz w:val="20"/>
        </w:rPr>
        <w:t>Putao Zhang</w:t>
      </w:r>
      <w:r>
        <w:rPr>
          <w:rFonts w:ascii="Times New Roman" w:hAnsi="Times New Roman" w:cs="Times New Roman"/>
          <w:sz w:val="20"/>
          <w:vertAlign w:val="superscript"/>
        </w:rPr>
        <w:t>1</w:t>
      </w:r>
      <w:r>
        <w:rPr>
          <w:rFonts w:ascii="Times New Roman" w:hAnsi="Times New Roman" w:cs="Times New Roman"/>
          <w:color w:val="0000FF"/>
          <w:sz w:val="20"/>
        </w:rPr>
        <w:t>*</w:t>
      </w:r>
    </w:p>
    <w:p>
      <w:pPr>
        <w:suppressAutoHyphens/>
        <w:adjustRightInd w:val="0"/>
        <w:snapToGrid w:val="0"/>
        <w:spacing w:after="96" w:afterLines="40" w:line="264" w:lineRule="auto"/>
        <w:rPr>
          <w:rFonts w:ascii="Times New Roman" w:hAnsi="Times New Roman" w:eastAsia="MS Mincho" w:cs="Times New Roman"/>
          <w:bCs/>
          <w:sz w:val="20"/>
          <w:szCs w:val="21"/>
          <w:lang w:eastAsia="ar-SA"/>
        </w:rPr>
      </w:pPr>
      <w:r>
        <w:rPr>
          <w:rFonts w:ascii="Times New Roman" w:hAnsi="Times New Roman" w:eastAsia="MS Mincho" w:cs="Times New Roman"/>
          <w:bCs/>
          <w:sz w:val="20"/>
          <w:szCs w:val="21"/>
          <w:vertAlign w:val="superscript"/>
          <w:lang w:eastAsia="ar-SA"/>
        </w:rPr>
        <w:t>1</w:t>
      </w:r>
      <w:r>
        <w:rPr>
          <w:rFonts w:ascii="Times New Roman" w:hAnsi="Times New Roman" w:eastAsia="MS Mincho" w:cs="Times New Roman"/>
          <w:bCs/>
          <w:sz w:val="20"/>
          <w:szCs w:val="21"/>
          <w:lang w:eastAsia="ar-SA"/>
        </w:rPr>
        <w:t>Key Laboratory of Photovoltaic Materials, Henan University, Kaifeng, Henan, 475004, China</w:t>
      </w:r>
    </w:p>
    <w:p>
      <w:pPr>
        <w:suppressAutoHyphens/>
        <w:adjustRightInd w:val="0"/>
        <w:snapToGrid w:val="0"/>
        <w:spacing w:after="96" w:afterLines="40" w:line="264" w:lineRule="auto"/>
        <w:rPr>
          <w:rFonts w:ascii="Times New Roman" w:hAnsi="Times New Roman" w:eastAsia="Times New Roman" w:cs="Times New Roman"/>
          <w:bCs/>
          <w:sz w:val="20"/>
          <w:szCs w:val="20"/>
        </w:rPr>
      </w:pPr>
      <w:r>
        <w:rPr>
          <w:rFonts w:ascii="Times New Roman" w:hAnsi="Times New Roman" w:eastAsia="Times New Roman" w:cs="Times New Roman"/>
          <w:bCs/>
          <w:sz w:val="20"/>
          <w:szCs w:val="20"/>
          <w:vertAlign w:val="superscript"/>
        </w:rPr>
        <w:t>2</w:t>
      </w:r>
      <w:r>
        <w:rPr>
          <w:rFonts w:ascii="Times New Roman" w:hAnsi="Times New Roman" w:eastAsia="Times New Roman" w:cs="Times New Roman"/>
          <w:bCs/>
          <w:sz w:val="20"/>
          <w:szCs w:val="20"/>
        </w:rPr>
        <w:t>Institute of New Energy Technology, College of Information Science and Technology, Jinan University, Guangzhou, 510632, China</w:t>
      </w:r>
    </w:p>
    <w:p>
      <w:pPr>
        <w:suppressAutoHyphens/>
        <w:adjustRightInd w:val="0"/>
        <w:snapToGrid w:val="0"/>
        <w:spacing w:after="96" w:afterLines="40" w:line="264" w:lineRule="auto"/>
        <w:rPr>
          <w:rFonts w:ascii="Times New Roman" w:hAnsi="Times New Roman" w:eastAsia="MS Mincho" w:cs="Times New Roman"/>
          <w:bCs/>
          <w:sz w:val="20"/>
          <w:szCs w:val="21"/>
          <w:lang w:eastAsia="ar-SA"/>
        </w:rPr>
      </w:pPr>
      <w:r>
        <w:rPr>
          <w:rFonts w:ascii="Times New Roman" w:hAnsi="Times New Roman" w:eastAsia="Times New Roman" w:cs="Times New Roman"/>
          <w:bCs/>
          <w:sz w:val="20"/>
          <w:szCs w:val="20"/>
          <w:vertAlign w:val="superscript"/>
        </w:rPr>
        <w:t>3</w:t>
      </w:r>
      <w:r>
        <w:rPr>
          <w:rFonts w:ascii="Times New Roman" w:hAnsi="Times New Roman" w:eastAsia="Times New Roman" w:cs="Times New Roman"/>
          <w:bCs/>
          <w:sz w:val="20"/>
          <w:szCs w:val="20"/>
        </w:rPr>
        <w:t xml:space="preserve"> School of Engineering, Newcastle University, </w:t>
      </w:r>
      <w:r>
        <w:rPr>
          <w:rFonts w:ascii="Times New Roman" w:hAnsi="Times New Roman" w:eastAsia="MS Mincho" w:cs="Times New Roman"/>
          <w:bCs/>
          <w:sz w:val="20"/>
          <w:szCs w:val="21"/>
          <w:lang w:eastAsia="ar-SA"/>
        </w:rPr>
        <w:t>Newcastle upon Tyne, UK</w:t>
      </w:r>
    </w:p>
    <w:p>
      <w:pPr>
        <w:suppressAutoHyphens/>
        <w:adjustRightInd w:val="0"/>
        <w:snapToGrid w:val="0"/>
        <w:spacing w:after="96" w:afterLines="40" w:line="264" w:lineRule="auto"/>
        <w:rPr>
          <w:rFonts w:ascii="Times New Roman" w:hAnsi="Times New Roman" w:eastAsia="MS Mincho" w:cs="Times New Roman"/>
          <w:bCs/>
          <w:sz w:val="20"/>
          <w:szCs w:val="21"/>
          <w:lang w:eastAsia="ar-SA"/>
        </w:rPr>
      </w:pPr>
      <w:r>
        <w:rPr>
          <w:rFonts w:ascii="Times New Roman" w:hAnsi="Times New Roman" w:eastAsia="MS Mincho" w:cs="Times New Roman"/>
          <w:bCs/>
          <w:sz w:val="20"/>
          <w:szCs w:val="21"/>
          <w:vertAlign w:val="superscript"/>
          <w:lang w:eastAsia="ar-SA"/>
        </w:rPr>
        <w:t>4</w:t>
      </w:r>
      <w:r>
        <w:rPr>
          <w:rFonts w:ascii="Times New Roman" w:hAnsi="Times New Roman" w:eastAsia="MS Mincho" w:cs="Times New Roman"/>
          <w:bCs/>
          <w:sz w:val="20"/>
          <w:szCs w:val="21"/>
          <w:lang w:eastAsia="ar-SA"/>
        </w:rPr>
        <w:t xml:space="preserve"> Department of Electrical Engineering, Faculty of Engineering, Najran University, Najran, 11001, Saudi Arabia </w:t>
      </w:r>
    </w:p>
    <w:p>
      <w:pPr>
        <w:suppressAutoHyphens/>
        <w:adjustRightInd w:val="0"/>
        <w:snapToGrid w:val="0"/>
        <w:spacing w:after="96" w:afterLines="40" w:line="264" w:lineRule="auto"/>
        <w:rPr>
          <w:rFonts w:ascii="Times New Roman" w:hAnsi="Times New Roman" w:eastAsia="MS Mincho" w:cs="Times New Roman"/>
          <w:bCs/>
          <w:sz w:val="20"/>
          <w:szCs w:val="21"/>
          <w:lang w:val="en-US" w:eastAsia="ar-SA"/>
        </w:rPr>
      </w:pPr>
      <w:r>
        <w:rPr>
          <w:rFonts w:ascii="Times New Roman" w:hAnsi="Times New Roman" w:eastAsia="MS Mincho" w:cs="Times New Roman"/>
          <w:bCs/>
          <w:sz w:val="20"/>
          <w:szCs w:val="21"/>
          <w:vertAlign w:val="superscript"/>
          <w:lang w:val="en-US" w:eastAsia="ar-SA"/>
        </w:rPr>
        <w:t xml:space="preserve">5 </w:t>
      </w:r>
      <w:r>
        <w:rPr>
          <w:rFonts w:ascii="Times New Roman" w:hAnsi="Times New Roman" w:eastAsia="MS Mincho" w:cs="Times New Roman"/>
          <w:bCs/>
          <w:sz w:val="20"/>
          <w:szCs w:val="21"/>
          <w:lang w:val="en-US" w:eastAsia="ar-SA"/>
        </w:rPr>
        <w:t xml:space="preserve">College of Materials Science and Engineering, Taiyuan University of Science and Technology, Taiyuan, 030024, China </w:t>
      </w:r>
    </w:p>
    <w:p>
      <w:pPr>
        <w:spacing w:before="240" w:after="240" w:line="360" w:lineRule="auto"/>
        <w:rPr>
          <w:rFonts w:ascii="Times New Roman" w:hAnsi="Times New Roman" w:cs="Times New Roman"/>
          <w:b/>
          <w:bCs/>
          <w:sz w:val="30"/>
          <w:szCs w:val="30"/>
        </w:rPr>
      </w:pPr>
      <w:r>
        <w:rPr>
          <w:rFonts w:hint="eastAsia" w:ascii="Times New Roman" w:hAnsi="Times New Roman" w:eastAsia="宋体" w:cs="Times New Roman"/>
          <w:bCs/>
          <w:sz w:val="20"/>
          <w:szCs w:val="20"/>
          <w:vertAlign w:val="superscript"/>
        </w:rPr>
        <w:t xml:space="preserve"> </w:t>
      </w:r>
      <w:r>
        <w:rPr>
          <w:rFonts w:hint="eastAsia" w:ascii="Times New Roman" w:hAnsi="Times New Roman" w:cs="Times New Roman"/>
          <w:b/>
          <w:bCs/>
          <w:sz w:val="30"/>
          <w:szCs w:val="30"/>
        </w:rPr>
        <w:t>E</w:t>
      </w:r>
      <w:r>
        <w:rPr>
          <w:rFonts w:ascii="Times New Roman" w:hAnsi="Times New Roman" w:cs="Times New Roman"/>
          <w:b/>
          <w:bCs/>
          <w:sz w:val="30"/>
          <w:szCs w:val="30"/>
        </w:rPr>
        <w:t>xperimental Section</w:t>
      </w:r>
    </w:p>
    <w:p>
      <w:pPr>
        <w:widowControl/>
        <w:spacing w:line="480" w:lineRule="auto"/>
        <w:jc w:val="left"/>
        <w:rPr>
          <w:rFonts w:ascii="Times New Roman" w:hAnsi="Times New Roman"/>
        </w:rPr>
      </w:pPr>
      <w:r>
        <w:rPr>
          <w:rFonts w:ascii="Times New Roman" w:hAnsi="Times New Roman" w:eastAsia="Times New Roman"/>
          <w:i/>
          <w:color w:val="000000"/>
          <w:kern w:val="0"/>
          <w:sz w:val="24"/>
        </w:rPr>
        <w:t xml:space="preserve">Materials </w:t>
      </w:r>
    </w:p>
    <w:p>
      <w:pPr>
        <w:widowControl/>
        <w:spacing w:before="240" w:line="480" w:lineRule="auto"/>
        <w:rPr>
          <w:rFonts w:ascii="Times New Roman" w:hAnsi="Times New Roman"/>
          <w:color w:val="000000"/>
          <w:kern w:val="0"/>
          <w:sz w:val="24"/>
        </w:rPr>
      </w:pPr>
      <w:r>
        <w:rPr>
          <w:rFonts w:ascii="Times New Roman" w:hAnsi="Times New Roman"/>
          <w:color w:val="000000"/>
          <w:kern w:val="0"/>
          <w:sz w:val="24"/>
        </w:rPr>
        <w:t>Chlorobenzene (CB),</w:t>
      </w:r>
      <w:r>
        <w:rPr>
          <w:rFonts w:hint="eastAsia" w:ascii="Times New Roman" w:hAnsi="Times New Roman"/>
          <w:color w:val="000000"/>
          <w:kern w:val="0"/>
          <w:sz w:val="24"/>
        </w:rPr>
        <w:t xml:space="preserve"> </w:t>
      </w:r>
      <w:r>
        <w:rPr>
          <w:rFonts w:ascii="Times New Roman" w:hAnsi="Times New Roman"/>
          <w:color w:val="000000"/>
          <w:kern w:val="0"/>
          <w:sz w:val="24"/>
        </w:rPr>
        <w:t>4-tert-butylpyridine (t-BP), and lithium bis (trifluoromethylsulfonyl) imide salt (Li-TFSI) were purchased from Sigma Aldrich. Lead (II) iodide (PbI</w:t>
      </w:r>
      <w:r>
        <w:rPr>
          <w:rFonts w:ascii="Times New Roman" w:hAnsi="Times New Roman"/>
          <w:color w:val="000000"/>
          <w:kern w:val="0"/>
          <w:sz w:val="24"/>
          <w:vertAlign w:val="subscript"/>
        </w:rPr>
        <w:t>2</w:t>
      </w:r>
      <w:r>
        <w:rPr>
          <w:rFonts w:ascii="Times New Roman" w:hAnsi="Times New Roman"/>
          <w:color w:val="000000"/>
          <w:kern w:val="0"/>
          <w:sz w:val="24"/>
        </w:rPr>
        <w:t>, 99.98%), lead bromide (PbBr</w:t>
      </w:r>
      <w:r>
        <w:rPr>
          <w:rFonts w:ascii="Times New Roman" w:hAnsi="Times New Roman"/>
          <w:color w:val="000000"/>
          <w:kern w:val="0"/>
          <w:sz w:val="24"/>
          <w:vertAlign w:val="subscript"/>
        </w:rPr>
        <w:t>2</w:t>
      </w:r>
      <w:r>
        <w:rPr>
          <w:rFonts w:ascii="Times New Roman" w:hAnsi="Times New Roman"/>
          <w:color w:val="000000"/>
          <w:kern w:val="0"/>
          <w:sz w:val="24"/>
        </w:rPr>
        <w:t>, 99.5%),</w:t>
      </w:r>
      <w:r>
        <w:rPr>
          <w:rFonts w:ascii="Times New Roman" w:hAnsi="Times New Roman"/>
          <w:color w:val="000000"/>
          <w:kern w:val="0"/>
          <w:sz w:val="24"/>
          <w:vertAlign w:val="subscript"/>
        </w:rPr>
        <w:t xml:space="preserve"> </w:t>
      </w:r>
      <w:r>
        <w:rPr>
          <w:rFonts w:ascii="Times New Roman" w:hAnsi="Times New Roman"/>
          <w:color w:val="000000"/>
          <w:kern w:val="0"/>
          <w:sz w:val="24"/>
        </w:rPr>
        <w:t>SnO</w:t>
      </w:r>
      <w:r>
        <w:rPr>
          <w:rFonts w:ascii="Times New Roman" w:hAnsi="Times New Roman"/>
          <w:color w:val="000000"/>
          <w:kern w:val="0"/>
          <w:sz w:val="16"/>
          <w:szCs w:val="16"/>
        </w:rPr>
        <w:t xml:space="preserve">2 </w:t>
      </w:r>
      <w:r>
        <w:rPr>
          <w:rFonts w:ascii="Times New Roman" w:hAnsi="Times New Roman"/>
          <w:color w:val="000000"/>
          <w:kern w:val="0"/>
          <w:sz w:val="24"/>
        </w:rPr>
        <w:t>colloid precursor (15 wt% in water) and isonicotinic acid hydrazide (INHA, 99.5%) were purchased from Alfa Aesar.</w:t>
      </w:r>
      <w:r>
        <w:rPr>
          <w:rFonts w:hint="eastAsia" w:ascii="Times New Roman" w:hAnsi="Times New Roman"/>
          <w:color w:val="000000"/>
          <w:kern w:val="0"/>
          <w:sz w:val="24"/>
        </w:rPr>
        <w:t xml:space="preserve"> PEAI, </w:t>
      </w:r>
      <w:r>
        <w:rPr>
          <w:rFonts w:ascii="Times New Roman" w:hAnsi="Times New Roman"/>
          <w:color w:val="000000"/>
          <w:kern w:val="0"/>
          <w:sz w:val="24"/>
        </w:rPr>
        <w:t xml:space="preserve">Formamidinium iodide (FAI), methylammonium bromide (MABr), and cesium iodide (CsI, 99.9%), N, N-dimethylformamide (DMF, 99.8%), dimethyl sulfoxide (DMSO, 99.9%) and ITO glass were obtained from Liaoning Youxuan New Energy Technology Co., Ltd. 2,2′,7,7′-tetrakis(N, N-dipmethoxyphenylamine)-9,9′-spirobifluorene (Spiro-OMeTAD) was purchased from Xi’an Polymer Light Technology Corp. All chemicals were used without any further purification process. </w:t>
      </w:r>
    </w:p>
    <w:p>
      <w:pPr>
        <w:widowControl/>
        <w:spacing w:before="240" w:line="480" w:lineRule="auto"/>
        <w:jc w:val="left"/>
        <w:rPr>
          <w:rFonts w:ascii="Times New Roman" w:hAnsi="Times New Roman" w:eastAsia="Times New Roman"/>
          <w:i/>
          <w:color w:val="000000"/>
          <w:kern w:val="0"/>
          <w:sz w:val="24"/>
        </w:rPr>
      </w:pPr>
      <w:r>
        <w:rPr>
          <w:rFonts w:ascii="Times New Roman" w:hAnsi="Times New Roman" w:eastAsia="Times New Roman"/>
          <w:i/>
          <w:color w:val="000000"/>
          <w:kern w:val="0"/>
          <w:sz w:val="24"/>
        </w:rPr>
        <w:t>Device Fabrication</w:t>
      </w:r>
    </w:p>
    <w:p>
      <w:pPr>
        <w:widowControl/>
        <w:spacing w:line="468" w:lineRule="auto"/>
        <w:rPr>
          <w:rFonts w:ascii="Times New Roman" w:hAnsi="Times New Roman"/>
        </w:rPr>
      </w:pPr>
      <w:r>
        <w:rPr>
          <w:rFonts w:ascii="Times New Roman" w:hAnsi="Times New Roman"/>
          <w:color w:val="000000"/>
          <w:kern w:val="0"/>
          <w:sz w:val="24"/>
        </w:rPr>
        <w:t>The ITO glass was cleaned by ultra-sonication in detergent, deionized water, acetone, and isopropyl alcohol, sequentially, for 15 min each. After dried by air</w:t>
      </w:r>
      <w:r>
        <w:rPr>
          <w:rFonts w:ascii="Times New Roman" w:hAnsi="Times New Roman"/>
          <w:color w:val="000000"/>
          <w:kern w:val="0"/>
          <w:sz w:val="16"/>
          <w:szCs w:val="16"/>
        </w:rPr>
        <w:t xml:space="preserve"> </w:t>
      </w:r>
      <w:r>
        <w:rPr>
          <w:rFonts w:ascii="Times New Roman" w:hAnsi="Times New Roman"/>
          <w:color w:val="000000"/>
          <w:kern w:val="0"/>
          <w:sz w:val="24"/>
        </w:rPr>
        <w:t>blowing, the cleaned ITO substrates were treated with plasma for 15 min to remove organic residues. Then the prepared SnO</w:t>
      </w:r>
      <w:r>
        <w:rPr>
          <w:rFonts w:ascii="Times New Roman" w:hAnsi="Times New Roman"/>
          <w:color w:val="000000"/>
          <w:kern w:val="0"/>
          <w:sz w:val="16"/>
          <w:szCs w:val="16"/>
        </w:rPr>
        <w:t xml:space="preserve">2 </w:t>
      </w:r>
      <w:r>
        <w:rPr>
          <w:rFonts w:ascii="Times New Roman" w:hAnsi="Times New Roman"/>
          <w:color w:val="000000"/>
          <w:kern w:val="0"/>
          <w:sz w:val="24"/>
        </w:rPr>
        <w:t>precursor (diluted by water with SnO</w:t>
      </w:r>
      <w:r>
        <w:rPr>
          <w:rFonts w:ascii="Times New Roman" w:hAnsi="Times New Roman"/>
          <w:color w:val="000000"/>
          <w:kern w:val="0"/>
          <w:sz w:val="16"/>
          <w:szCs w:val="16"/>
        </w:rPr>
        <w:t>2</w:t>
      </w:r>
      <w:r>
        <w:rPr>
          <w:rFonts w:ascii="Times New Roman" w:hAnsi="Times New Roman"/>
          <w:color w:val="000000"/>
          <w:kern w:val="0"/>
          <w:sz w:val="24"/>
        </w:rPr>
        <w:t>/H</w:t>
      </w:r>
      <w:r>
        <w:rPr>
          <w:rFonts w:ascii="Times New Roman" w:hAnsi="Times New Roman"/>
          <w:color w:val="000000"/>
          <w:kern w:val="0"/>
          <w:sz w:val="16"/>
          <w:szCs w:val="16"/>
        </w:rPr>
        <w:t>2</w:t>
      </w:r>
      <w:r>
        <w:rPr>
          <w:rFonts w:ascii="Times New Roman" w:hAnsi="Times New Roman"/>
          <w:color w:val="000000"/>
          <w:kern w:val="0"/>
          <w:sz w:val="24"/>
        </w:rPr>
        <w:t>O=1/2, v/v) was spin-coated onto the ITO substrate at 5000 rpm for 30 s, followed by thermal annealing at 150 °C for 30 min in ambient air. The cooled ITO/SnO</w:t>
      </w:r>
      <w:r>
        <w:rPr>
          <w:rFonts w:ascii="Times New Roman" w:hAnsi="Times New Roman"/>
          <w:color w:val="000000"/>
          <w:kern w:val="0"/>
          <w:sz w:val="24"/>
          <w:vertAlign w:val="subscript"/>
        </w:rPr>
        <w:t>2</w:t>
      </w:r>
      <w:r>
        <w:rPr>
          <w:rFonts w:ascii="Times New Roman" w:hAnsi="Times New Roman"/>
          <w:color w:val="000000"/>
          <w:kern w:val="0"/>
          <w:sz w:val="24"/>
        </w:rPr>
        <w:t xml:space="preserve"> films were soaked into 0.1 M INHA aqueous solution for 10 minutes followed by washing with deionized water and blow-drying. The film was heated for 30 min on a 100 °C hot plate. The SnO</w:t>
      </w:r>
      <w:r>
        <w:rPr>
          <w:rFonts w:ascii="Times New Roman" w:hAnsi="Times New Roman"/>
          <w:color w:val="000000"/>
          <w:kern w:val="0"/>
          <w:sz w:val="24"/>
          <w:vertAlign w:val="subscript"/>
        </w:rPr>
        <w:t>2</w:t>
      </w:r>
      <w:r>
        <w:rPr>
          <w:rFonts w:ascii="Times New Roman" w:hAnsi="Times New Roman"/>
          <w:color w:val="000000"/>
          <w:kern w:val="0"/>
          <w:sz w:val="24"/>
        </w:rPr>
        <w:t xml:space="preserve"> and SnO</w:t>
      </w:r>
      <w:r>
        <w:rPr>
          <w:rFonts w:ascii="Times New Roman" w:hAnsi="Times New Roman"/>
          <w:color w:val="000000"/>
          <w:kern w:val="0"/>
          <w:sz w:val="24"/>
          <w:vertAlign w:val="subscript"/>
        </w:rPr>
        <w:t>2</w:t>
      </w:r>
      <w:r>
        <w:rPr>
          <w:rFonts w:ascii="Times New Roman" w:hAnsi="Times New Roman"/>
          <w:color w:val="000000"/>
          <w:kern w:val="0"/>
          <w:sz w:val="24"/>
        </w:rPr>
        <w:t>/INHA</w:t>
      </w:r>
      <w:r>
        <w:rPr>
          <w:rFonts w:ascii="Times New Roman" w:hAnsi="Times New Roman"/>
          <w:color w:val="000000"/>
          <w:kern w:val="0"/>
          <w:sz w:val="16"/>
          <w:szCs w:val="16"/>
        </w:rPr>
        <w:t xml:space="preserve"> </w:t>
      </w:r>
      <w:r>
        <w:rPr>
          <w:rFonts w:ascii="Times New Roman" w:hAnsi="Times New Roman"/>
          <w:color w:val="000000"/>
          <w:kern w:val="0"/>
          <w:sz w:val="24"/>
        </w:rPr>
        <w:t xml:space="preserve">films were treated with plasma for 15 min before deposition of perovskite film. 70 μL of </w:t>
      </w:r>
      <w:r>
        <w:rPr>
          <w:rStyle w:val="11"/>
          <w:rFonts w:ascii="Times New Roman" w:hAnsi="Times New Roman" w:eastAsia="等线"/>
          <w:sz w:val="24"/>
        </w:rPr>
        <w:t xml:space="preserve">mix-cation </w:t>
      </w:r>
      <w:r>
        <w:rPr>
          <w:rFonts w:ascii="Times New Roman" w:hAnsi="Times New Roman"/>
          <w:color w:val="000000"/>
          <w:kern w:val="0"/>
          <w:sz w:val="24"/>
        </w:rPr>
        <w:t>perovskite precursor with 1.12 mol of PbI</w:t>
      </w:r>
      <w:r>
        <w:rPr>
          <w:rFonts w:ascii="Times New Roman" w:hAnsi="Times New Roman"/>
          <w:color w:val="000000"/>
          <w:kern w:val="0"/>
          <w:sz w:val="24"/>
          <w:vertAlign w:val="subscript"/>
        </w:rPr>
        <w:t>2</w:t>
      </w:r>
      <w:r>
        <w:rPr>
          <w:rFonts w:ascii="Times New Roman" w:hAnsi="Times New Roman"/>
          <w:color w:val="000000"/>
          <w:kern w:val="0"/>
          <w:sz w:val="24"/>
        </w:rPr>
        <w:t>, 0.2 mol of PbBr</w:t>
      </w:r>
      <w:r>
        <w:rPr>
          <w:rFonts w:ascii="Times New Roman" w:hAnsi="Times New Roman"/>
          <w:color w:val="000000"/>
          <w:kern w:val="0"/>
          <w:sz w:val="24"/>
          <w:vertAlign w:val="subscript"/>
        </w:rPr>
        <w:t>2</w:t>
      </w:r>
      <w:r>
        <w:rPr>
          <w:rFonts w:ascii="Times New Roman" w:hAnsi="Times New Roman"/>
          <w:color w:val="000000"/>
          <w:kern w:val="0"/>
          <w:sz w:val="24"/>
        </w:rPr>
        <w:t>, 0.2 mol of MABr</w:t>
      </w:r>
      <w:r>
        <w:rPr>
          <w:rFonts w:hint="eastAsia" w:ascii="Times New Roman" w:hAnsi="Times New Roman"/>
          <w:color w:val="000000"/>
          <w:kern w:val="0"/>
          <w:sz w:val="24"/>
        </w:rPr>
        <w:t>,</w:t>
      </w:r>
      <w:r>
        <w:rPr>
          <w:rFonts w:ascii="Times New Roman" w:hAnsi="Times New Roman"/>
          <w:color w:val="000000"/>
          <w:kern w:val="0"/>
          <w:sz w:val="24"/>
        </w:rPr>
        <w:t xml:space="preserve"> 0.05 M CsI, and 1.1 mol of FAI were dissolved in 1 mL mixed solvent of DMF and DMSO (DMF/DMSO=4/1, v/v) solvent was then spin-coated onto ITO/SnO</w:t>
      </w:r>
      <w:r>
        <w:rPr>
          <w:rFonts w:ascii="Times New Roman" w:hAnsi="Times New Roman"/>
          <w:color w:val="000000"/>
          <w:kern w:val="0"/>
          <w:sz w:val="24"/>
          <w:vertAlign w:val="subscript"/>
        </w:rPr>
        <w:t>2</w:t>
      </w:r>
      <w:r>
        <w:rPr>
          <w:rFonts w:ascii="Times New Roman" w:hAnsi="Times New Roman"/>
          <w:color w:val="000000"/>
          <w:kern w:val="0"/>
          <w:sz w:val="16"/>
          <w:szCs w:val="16"/>
        </w:rPr>
        <w:t xml:space="preserve"> </w:t>
      </w:r>
      <w:r>
        <w:rPr>
          <w:rFonts w:ascii="Times New Roman" w:hAnsi="Times New Roman"/>
          <w:color w:val="000000"/>
          <w:kern w:val="0"/>
          <w:sz w:val="24"/>
        </w:rPr>
        <w:t>by two consecutive spin-coating steps (1000 rpm 5 s and 5000 rpm 20 s). During the spin-coating process, 120 μL of CB was poured onto the perovskite film at 15 s. Then the perovskite film was annealed at 60 ℃ for 10 min and 100 ℃ for 40 min.</w:t>
      </w:r>
      <w:r>
        <w:rPr>
          <w:rFonts w:hint="eastAsia" w:ascii="Times New Roman" w:hAnsi="Times New Roman"/>
          <w:color w:val="000000"/>
          <w:kern w:val="0"/>
          <w:sz w:val="24"/>
        </w:rPr>
        <w:t xml:space="preserve"> PE</w:t>
      </w:r>
      <w:r>
        <w:rPr>
          <w:rFonts w:ascii="Times New Roman" w:hAnsi="Times New Roman"/>
          <w:color w:val="000000"/>
          <w:kern w:val="0"/>
          <w:sz w:val="24"/>
        </w:rPr>
        <w:t>AI</w:t>
      </w:r>
      <w:r>
        <w:rPr>
          <w:rFonts w:hint="eastAsia" w:ascii="Times New Roman" w:hAnsi="Times New Roman"/>
          <w:color w:val="000000"/>
          <w:kern w:val="0"/>
          <w:sz w:val="24"/>
        </w:rPr>
        <w:t>/</w:t>
      </w:r>
      <w:r>
        <w:rPr>
          <w:rFonts w:ascii="Times New Roman" w:hAnsi="Times New Roman"/>
          <w:color w:val="000000"/>
          <w:kern w:val="0"/>
          <w:sz w:val="24"/>
        </w:rPr>
        <w:t>IPA</w:t>
      </w:r>
      <w:r>
        <w:rPr>
          <w:rFonts w:hint="eastAsia" w:ascii="Times New Roman" w:hAnsi="Times New Roman"/>
          <w:color w:val="000000"/>
          <w:kern w:val="0"/>
          <w:sz w:val="24"/>
        </w:rPr>
        <w:t xml:space="preserve"> </w:t>
      </w:r>
      <w:r>
        <w:rPr>
          <w:rFonts w:ascii="Times New Roman" w:hAnsi="Times New Roman"/>
          <w:color w:val="000000"/>
          <w:kern w:val="0"/>
          <w:sz w:val="24"/>
        </w:rPr>
        <w:t>solution</w:t>
      </w:r>
      <w:r>
        <w:rPr>
          <w:rFonts w:hint="eastAsia" w:ascii="Times New Roman" w:hAnsi="Times New Roman"/>
          <w:color w:val="000000"/>
          <w:kern w:val="0"/>
          <w:sz w:val="24"/>
        </w:rPr>
        <w:t xml:space="preserve"> (5 mg mL</w:t>
      </w:r>
      <w:r>
        <w:rPr>
          <w:rFonts w:hint="eastAsia" w:ascii="Times New Roman" w:hAnsi="Times New Roman"/>
          <w:color w:val="000000"/>
          <w:kern w:val="0"/>
          <w:sz w:val="24"/>
          <w:vertAlign w:val="superscript"/>
        </w:rPr>
        <w:t>-1</w:t>
      </w:r>
      <w:r>
        <w:rPr>
          <w:rFonts w:hint="eastAsia" w:ascii="Times New Roman" w:hAnsi="Times New Roman"/>
          <w:color w:val="000000"/>
          <w:kern w:val="0"/>
          <w:sz w:val="24"/>
        </w:rPr>
        <w:t>)</w:t>
      </w:r>
      <w:r>
        <w:rPr>
          <w:rFonts w:ascii="Times New Roman" w:hAnsi="Times New Roman"/>
          <w:color w:val="000000"/>
          <w:kern w:val="0"/>
          <w:sz w:val="24"/>
        </w:rPr>
        <w:t xml:space="preserve"> was spin-coated at 4000 rpm for 20</w:t>
      </w:r>
      <w:r>
        <w:rPr>
          <w:rFonts w:hint="eastAsia" w:ascii="Times New Roman" w:hAnsi="Times New Roman"/>
          <w:color w:val="000000"/>
          <w:kern w:val="0"/>
          <w:sz w:val="24"/>
        </w:rPr>
        <w:t xml:space="preserve"> </w:t>
      </w:r>
      <w:r>
        <w:rPr>
          <w:rFonts w:ascii="Times New Roman" w:hAnsi="Times New Roman"/>
          <w:color w:val="000000"/>
          <w:kern w:val="0"/>
          <w:sz w:val="24"/>
        </w:rPr>
        <w:t>s on</w:t>
      </w:r>
      <w:r>
        <w:rPr>
          <w:rFonts w:hint="eastAsia" w:ascii="Times New Roman" w:hAnsi="Times New Roman"/>
          <w:color w:val="000000"/>
          <w:kern w:val="0"/>
          <w:sz w:val="24"/>
        </w:rPr>
        <w:t xml:space="preserve"> </w:t>
      </w:r>
      <w:r>
        <w:rPr>
          <w:rFonts w:ascii="Times New Roman" w:hAnsi="Times New Roman"/>
          <w:color w:val="000000"/>
          <w:kern w:val="0"/>
          <w:sz w:val="24"/>
        </w:rPr>
        <w:t xml:space="preserve">perovskite films and dried on a hot plate at 100 </w:t>
      </w:r>
      <w:r>
        <w:rPr>
          <w:rFonts w:ascii="Times New Roman" w:hAnsi="Times New Roman"/>
          <w:color w:val="000000"/>
          <w:kern w:val="0"/>
          <w:sz w:val="24"/>
          <w:vertAlign w:val="superscript"/>
        </w:rPr>
        <w:t>o</w:t>
      </w:r>
      <w:r>
        <w:rPr>
          <w:rFonts w:ascii="Times New Roman" w:hAnsi="Times New Roman"/>
          <w:color w:val="000000"/>
          <w:kern w:val="0"/>
          <w:sz w:val="24"/>
        </w:rPr>
        <w:t xml:space="preserve">C for 10 min. The hole transporting layer (HTL) was deposited onto the top of the perovskite film by 4000 rpm for 30 s with the composition of 72.3 mg Spiro-OMeTAD, 28.8 µL 4-tertbutylpyridine, 17.5 µL bis(trifluoromethane) sulfonimide lithium salt (Li-TFSI) stock solution (520 mg Li-TFSI in 1 mL acetonitrile) and 1 mL CB. Finally, 100 nm of Ag was thermally evaporated as a counter electrode. </w:t>
      </w:r>
    </w:p>
    <w:p>
      <w:pPr>
        <w:widowControl/>
        <w:spacing w:before="240" w:line="480" w:lineRule="auto"/>
        <w:jc w:val="left"/>
        <w:rPr>
          <w:rFonts w:ascii="Times New Roman" w:hAnsi="Times New Roman" w:eastAsia="Times New Roman"/>
          <w:i/>
          <w:color w:val="000000"/>
          <w:kern w:val="0"/>
          <w:sz w:val="24"/>
        </w:rPr>
      </w:pPr>
      <w:r>
        <w:rPr>
          <w:rFonts w:ascii="Times New Roman" w:hAnsi="Times New Roman" w:eastAsia="Times New Roman"/>
          <w:i/>
          <w:color w:val="000000"/>
          <w:kern w:val="0"/>
          <w:sz w:val="24"/>
        </w:rPr>
        <w:t xml:space="preserve">Characterizations and measurements </w:t>
      </w:r>
    </w:p>
    <w:p>
      <w:pPr>
        <w:widowControl/>
        <w:spacing w:line="468" w:lineRule="auto"/>
        <w:rPr>
          <w:rFonts w:ascii="Times New Roman" w:hAnsi="Times New Roman"/>
          <w:color w:val="000000"/>
          <w:kern w:val="0"/>
          <w:sz w:val="24"/>
        </w:rPr>
      </w:pPr>
      <w:r>
        <w:rPr>
          <w:rFonts w:ascii="Times New Roman" w:hAnsi="Times New Roman"/>
          <w:color w:val="000000"/>
          <w:kern w:val="0"/>
          <w:sz w:val="24"/>
        </w:rPr>
        <w:t>The crystallization of prepared films was obtained with X-ray diffraction (Bruker D8 Advance) (</w:t>
      </w:r>
      <w:r>
        <w:rPr>
          <w:rFonts w:ascii="Times New Roman" w:hAnsi="Times New Roman"/>
          <w:sz w:val="24"/>
        </w:rPr>
        <w:t>Cu Kα radiation (λ=1.5418 Å), 45 kV and 200 mA)</w:t>
      </w:r>
      <w:r>
        <w:rPr>
          <w:rFonts w:ascii="Times New Roman" w:hAnsi="Times New Roman"/>
          <w:color w:val="000000"/>
          <w:kern w:val="0"/>
          <w:sz w:val="24"/>
        </w:rPr>
        <w:t>. X-ray photoelectron spectroscopy (XPS) measurement was carried out by Axix Ultra spectrometer (Kratox) with 12 kV aluminum Ka X-ray. Fourier transform infrared (FTIR) spectroscopy was conducted in the infrared spectrometer (Vertex 70) and the film samples were baked under infrared lamp before testing. The morphology, grain size of perovskite films and device cross section were obtained with a field emission scanning electron microscope (FE-SEM, JSM-7001F). The roughness of the samples was measured by AFM. The steady-state PL and time-resolved PL (TRPL) decay were measured by an integrated confocal microscopy system (Tau-3-P) with a laser excitation source. The current-voltage (J-V) curves were measured with a solar simulator (94043A-S) and a Keithley 2400 source meter. The intensity of light irradiation was calibrated with a standard Si photodetector, and adjusted to 1 sun light intensity (100 mW·cm</w:t>
      </w:r>
      <w:r>
        <w:rPr>
          <w:rFonts w:ascii="Times New Roman" w:hAnsi="Times New Roman"/>
          <w:color w:val="000000"/>
          <w:kern w:val="0"/>
          <w:sz w:val="24"/>
          <w:vertAlign w:val="superscript"/>
        </w:rPr>
        <w:t xml:space="preserve">-2 </w:t>
      </w:r>
      <w:r>
        <w:rPr>
          <w:rFonts w:ascii="Times New Roman" w:hAnsi="Times New Roman"/>
          <w:color w:val="000000"/>
          <w:kern w:val="0"/>
          <w:sz w:val="24"/>
        </w:rPr>
        <w:t>AM1.5G). The electrochemical impedance spectrum (EIS) analysis was performed using an electrochemical measurement system (IM6 Zahner) in the dark conditions at an applied bias of 0.6 V (10</w:t>
      </w:r>
      <w:r>
        <w:rPr>
          <w:rFonts w:ascii="Times New Roman" w:hAnsi="Times New Roman"/>
          <w:color w:val="000000"/>
          <w:kern w:val="0"/>
          <w:sz w:val="24"/>
          <w:vertAlign w:val="superscript"/>
        </w:rPr>
        <w:t>5</w:t>
      </w:r>
      <w:r>
        <w:rPr>
          <w:rFonts w:ascii="Times New Roman" w:hAnsi="Times New Roman"/>
          <w:color w:val="000000"/>
          <w:kern w:val="0"/>
          <w:sz w:val="24"/>
        </w:rPr>
        <w:t>~10</w:t>
      </w:r>
      <w:r>
        <w:rPr>
          <w:rFonts w:ascii="Times New Roman" w:hAnsi="Times New Roman"/>
          <w:color w:val="000000"/>
          <w:kern w:val="0"/>
          <w:sz w:val="24"/>
          <w:vertAlign w:val="superscript"/>
        </w:rPr>
        <w:t>-1</w:t>
      </w:r>
      <w:r>
        <w:rPr>
          <w:rFonts w:ascii="Times New Roman" w:hAnsi="Times New Roman"/>
          <w:color w:val="000000"/>
          <w:kern w:val="0"/>
          <w:sz w:val="24"/>
        </w:rPr>
        <w:t xml:space="preserve"> Hz).</w:t>
      </w:r>
    </w:p>
    <w:p>
      <w:pPr>
        <w:widowControl/>
        <w:spacing w:line="468" w:lineRule="auto"/>
      </w:pPr>
      <w:r>
        <w:rPr>
          <w:rFonts w:ascii="Times New Roman" w:hAnsi="Times New Roman"/>
          <w:color w:val="000000"/>
          <w:kern w:val="0"/>
          <w:sz w:val="24"/>
        </w:rPr>
        <w:t>DFT calculation:</w:t>
      </w:r>
      <w:r>
        <w:t xml:space="preserve"> </w:t>
      </w:r>
      <w:r>
        <w:rPr>
          <w:rFonts w:ascii="Times New Roman" w:hAnsi="Times New Roman"/>
          <w:color w:val="000000"/>
          <w:kern w:val="0"/>
          <w:sz w:val="24"/>
        </w:rPr>
        <w:t>All density functional theory calculations are conducted using the Vienna Ab-initio Simulation Package (VASP) within the framework of the generalized gradient approximation (GGA) with the Perdew-Burke Ernzerhof (PBE) functional.</w:t>
      </w:r>
      <w:r>
        <w:rPr>
          <w:rFonts w:ascii="Times New Roman" w:hAnsi="Times New Roman"/>
          <w:color w:val="000000"/>
          <w:kern w:val="0"/>
          <w:sz w:val="24"/>
          <w:vertAlign w:val="superscript"/>
        </w:rPr>
        <w:t xml:space="preserve">[1-2] </w:t>
      </w:r>
      <w:r>
        <w:rPr>
          <w:rFonts w:ascii="Times New Roman" w:hAnsi="Times New Roman"/>
          <w:color w:val="000000"/>
          <w:kern w:val="0"/>
          <w:sz w:val="24"/>
        </w:rPr>
        <w:t xml:space="preserve"> In order to simplify the calculation, atomic ratio (FA/MA and I/Br) in perovskite crystals have been treated approximately. Considering the small content of Cs, Cs atoms are not included in the model. </w:t>
      </w:r>
    </w:p>
    <w:p>
      <w:pPr>
        <w:spacing w:before="240" w:after="240"/>
        <w:rPr>
          <w:rFonts w:ascii="Times New Roman" w:hAnsi="Times New Roman" w:cs="Times New Roman"/>
          <w:b/>
          <w:bCs/>
          <w:sz w:val="30"/>
          <w:szCs w:val="30"/>
        </w:rPr>
      </w:pPr>
      <w:r>
        <w:rPr>
          <w:rFonts w:hint="eastAsia" w:ascii="Times New Roman" w:hAnsi="Times New Roman" w:cs="Times New Roman"/>
          <w:b/>
          <w:bCs/>
          <w:sz w:val="30"/>
          <w:szCs w:val="30"/>
        </w:rPr>
        <w:t>A</w:t>
      </w:r>
      <w:r>
        <w:rPr>
          <w:rFonts w:ascii="Times New Roman" w:hAnsi="Times New Roman" w:cs="Times New Roman"/>
          <w:b/>
          <w:bCs/>
          <w:sz w:val="30"/>
          <w:szCs w:val="30"/>
        </w:rPr>
        <w:t>dditional data and results.</w:t>
      </w:r>
    </w:p>
    <w:p>
      <w:pPr>
        <w:jc w:val="center"/>
      </w:pPr>
      <w:r>
        <w:rPr>
          <w:lang w:val="en-GB"/>
        </w:rPr>
        <w:object>
          <v:shape id="_x0000_i1025" o:spt="75" type="#_x0000_t75" style="height:177.85pt;width:253.6pt;" o:ole="t" filled="f" o:preferrelative="t" stroked="f" coordsize="21600,21600">
            <v:path/>
            <v:fill on="f" focussize="0,0"/>
            <v:stroke on="f" joinstyle="miter"/>
            <v:imagedata r:id="rId5" o:title=""/>
            <o:lock v:ext="edit" aspectratio="t"/>
            <w10:wrap type="none"/>
            <w10:anchorlock/>
          </v:shape>
          <o:OLEObject Type="Embed" ProgID="Origin95.Graph" ShapeID="_x0000_i1025" DrawAspect="Content" ObjectID="_1468075725" r:id="rId4">
            <o:LockedField>false</o:LockedField>
          </o:OLEObject>
        </w:object>
      </w:r>
    </w:p>
    <w:p>
      <w:pPr>
        <w:spacing w:line="360" w:lineRule="auto"/>
        <w:rPr>
          <w:rFonts w:ascii="Times New Roman" w:hAnsi="Times New Roman" w:cs="Times New Roman"/>
          <w:sz w:val="24"/>
          <w:szCs w:val="28"/>
        </w:rPr>
      </w:pPr>
      <w:bookmarkStart w:id="0" w:name="_Hlk69391222"/>
      <w:r>
        <w:rPr>
          <w:rFonts w:ascii="Times New Roman" w:hAnsi="Times New Roman" w:cs="Times New Roman"/>
          <w:b/>
          <w:bCs/>
          <w:sz w:val="24"/>
          <w:szCs w:val="28"/>
        </w:rPr>
        <w:t>Figure</w:t>
      </w:r>
      <w:r>
        <w:rPr>
          <w:rFonts w:ascii="Times New Roman" w:hAnsi="Times New Roman" w:cs="Times New Roman"/>
          <w:sz w:val="24"/>
          <w:szCs w:val="28"/>
        </w:rPr>
        <w:t xml:space="preserve"> S1. FTIR spectra of INHA molecular. </w:t>
      </w:r>
    </w:p>
    <w:p>
      <w:pPr>
        <w:widowControl/>
        <w:spacing w:after="160" w:line="259" w:lineRule="auto"/>
        <w:jc w:val="left"/>
        <w:rPr>
          <w:rFonts w:ascii="Times New Roman" w:hAnsi="Times New Roman" w:cs="Times New Roman"/>
          <w:sz w:val="24"/>
          <w:szCs w:val="28"/>
        </w:rPr>
      </w:pPr>
      <w:r>
        <w:rPr>
          <w:rFonts w:ascii="Times New Roman" w:hAnsi="Times New Roman" w:cs="Times New Roman"/>
          <w:sz w:val="24"/>
          <w:szCs w:val="28"/>
        </w:rPr>
        <w:br w:type="page"/>
      </w:r>
    </w:p>
    <w:p>
      <w:pPr>
        <w:spacing w:line="360" w:lineRule="auto"/>
        <w:rPr>
          <w:rFonts w:ascii="Times New Roman" w:hAnsi="Times New Roman" w:cs="Times New Roman"/>
          <w:sz w:val="24"/>
          <w:szCs w:val="28"/>
        </w:rPr>
      </w:pPr>
    </w:p>
    <w:p>
      <w:pPr>
        <w:spacing w:line="360" w:lineRule="auto"/>
        <w:jc w:val="center"/>
        <w:rPr>
          <w:rFonts w:ascii="Times New Roman" w:hAnsi="Times New Roman" w:cs="Times New Roman"/>
          <w:sz w:val="24"/>
          <w:szCs w:val="28"/>
        </w:rPr>
      </w:pPr>
      <w:r>
        <w:rPr>
          <w:rFonts w:ascii="Times New Roman" w:hAnsi="Times New Roman" w:cs="Times New Roman"/>
          <w:sz w:val="24"/>
          <w:szCs w:val="28"/>
        </w:rPr>
        <w:drawing>
          <wp:inline distT="0" distB="0" distL="0" distR="0">
            <wp:extent cx="5338445" cy="37242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344163" cy="3728458"/>
                    </a:xfrm>
                    <a:prstGeom prst="rect">
                      <a:avLst/>
                    </a:prstGeom>
                    <a:noFill/>
                  </pic:spPr>
                </pic:pic>
              </a:graphicData>
            </a:graphic>
          </wp:inline>
        </w:drawing>
      </w:r>
    </w:p>
    <w:bookmarkEnd w:id="0"/>
    <w:p>
      <w:pPr>
        <w:spacing w:line="360" w:lineRule="auto"/>
        <w:rPr>
          <w:rFonts w:ascii="Times New Roman" w:hAnsi="Times New Roman" w:cs="Times New Roman"/>
          <w:sz w:val="24"/>
          <w:szCs w:val="28"/>
        </w:rPr>
      </w:pPr>
      <w:r>
        <w:rPr>
          <w:rFonts w:ascii="Times New Roman" w:hAnsi="Times New Roman" w:cs="Times New Roman"/>
          <w:b/>
          <w:bCs/>
          <w:sz w:val="24"/>
          <w:szCs w:val="28"/>
        </w:rPr>
        <w:t>Figure</w:t>
      </w:r>
      <w:r>
        <w:rPr>
          <w:rFonts w:ascii="Times New Roman" w:hAnsi="Times New Roman" w:cs="Times New Roman"/>
          <w:sz w:val="24"/>
          <w:szCs w:val="28"/>
        </w:rPr>
        <w:t xml:space="preserve"> S2. (a) XPS spectra </w:t>
      </w:r>
      <w:r>
        <w:rPr>
          <w:rFonts w:hint="eastAsia" w:ascii="Times New Roman" w:hAnsi="Times New Roman" w:cs="Times New Roman"/>
          <w:sz w:val="24"/>
          <w:szCs w:val="28"/>
        </w:rPr>
        <w:t>of</w:t>
      </w:r>
      <w:r>
        <w:rPr>
          <w:rFonts w:ascii="Times New Roman" w:hAnsi="Times New Roman" w:cs="Times New Roman"/>
          <w:sz w:val="24"/>
          <w:szCs w:val="28"/>
        </w:rPr>
        <w:t xml:space="preserve"> control SnO</w:t>
      </w:r>
      <w:r>
        <w:rPr>
          <w:rFonts w:ascii="Times New Roman" w:hAnsi="Times New Roman" w:cs="Times New Roman"/>
          <w:sz w:val="24"/>
          <w:szCs w:val="28"/>
          <w:vertAlign w:val="subscript"/>
        </w:rPr>
        <w:t>2</w:t>
      </w:r>
      <w:r>
        <w:rPr>
          <w:rFonts w:ascii="Times New Roman" w:hAnsi="Times New Roman" w:cs="Times New Roman"/>
          <w:sz w:val="24"/>
          <w:szCs w:val="28"/>
        </w:rPr>
        <w:t xml:space="preserve"> electron transport layer and INHA-modified layer (b), (c), and (d) The N 1s, Sn 3d, and O1s perovskite of variant layers. There was N peaks in INHA-modified SnO</w:t>
      </w:r>
      <w:r>
        <w:rPr>
          <w:rFonts w:ascii="Times New Roman" w:hAnsi="Times New Roman" w:cs="Times New Roman"/>
          <w:sz w:val="24"/>
          <w:szCs w:val="28"/>
          <w:vertAlign w:val="subscript"/>
        </w:rPr>
        <w:t xml:space="preserve">2 </w:t>
      </w:r>
      <w:r>
        <w:rPr>
          <w:rFonts w:ascii="Times New Roman" w:hAnsi="Times New Roman" w:cs="Times New Roman"/>
          <w:sz w:val="24"/>
          <w:szCs w:val="28"/>
        </w:rPr>
        <w:t>layer, which indicated INHA located on SnO</w:t>
      </w:r>
      <w:r>
        <w:rPr>
          <w:rFonts w:ascii="Times New Roman" w:hAnsi="Times New Roman" w:cs="Times New Roman"/>
          <w:sz w:val="24"/>
          <w:szCs w:val="28"/>
          <w:vertAlign w:val="subscript"/>
        </w:rPr>
        <w:t>2</w:t>
      </w:r>
      <w:r>
        <w:rPr>
          <w:rFonts w:ascii="Times New Roman" w:hAnsi="Times New Roman" w:cs="Times New Roman"/>
          <w:sz w:val="24"/>
          <w:szCs w:val="28"/>
        </w:rPr>
        <w:t xml:space="preserve"> substrate.</w:t>
      </w:r>
    </w:p>
    <w:p>
      <w:pPr>
        <w:widowControl/>
        <w:spacing w:after="160" w:line="259" w:lineRule="auto"/>
        <w:jc w:val="left"/>
        <w:rPr>
          <w:rFonts w:ascii="Times New Roman" w:hAnsi="Times New Roman" w:cs="Times New Roman"/>
          <w:sz w:val="24"/>
          <w:szCs w:val="28"/>
        </w:rPr>
      </w:pPr>
      <w:r>
        <w:rPr>
          <w:rFonts w:ascii="Times New Roman" w:hAnsi="Times New Roman" w:cs="Times New Roman"/>
          <w:sz w:val="24"/>
          <w:szCs w:val="28"/>
        </w:rPr>
        <w:br w:type="page"/>
      </w:r>
    </w:p>
    <w:p>
      <w:pPr>
        <w:spacing w:line="360" w:lineRule="auto"/>
        <w:rPr>
          <w:rFonts w:ascii="Times New Roman" w:hAnsi="Times New Roman" w:cs="Times New Roman"/>
          <w:sz w:val="24"/>
          <w:szCs w:val="28"/>
        </w:rPr>
      </w:pPr>
    </w:p>
    <w:p>
      <w:pPr>
        <w:spacing w:line="360" w:lineRule="auto"/>
        <w:ind w:firstLine="420"/>
        <w:rPr>
          <w:rFonts w:ascii="Times New Roman" w:hAnsi="Times New Roman" w:cs="Times New Roman"/>
          <w:color w:val="FF0000"/>
          <w:sz w:val="24"/>
          <w:szCs w:val="28"/>
        </w:rPr>
      </w:pPr>
      <w:r>
        <w:rPr>
          <w:rFonts w:ascii="Times New Roman" w:hAnsi="Times New Roman" w:cs="Times New Roman"/>
          <w:color w:val="FF0000"/>
          <w:sz w:val="24"/>
          <w:szCs w:val="28"/>
        </w:rPr>
        <w:drawing>
          <wp:inline distT="0" distB="0" distL="0" distR="0">
            <wp:extent cx="5244465" cy="18973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7" cstate="print">
                      <a:extLst>
                        <a:ext uri="{28A0092B-C50C-407E-A947-70E740481C1C}">
                          <a14:useLocalDpi xmlns:a14="http://schemas.microsoft.com/office/drawing/2010/main" val="0"/>
                        </a:ext>
                      </a:extLst>
                    </a:blip>
                    <a:srcRect l="2976"/>
                    <a:stretch>
                      <a:fillRect/>
                    </a:stretch>
                  </pic:blipFill>
                  <pic:spPr>
                    <a:xfrm>
                      <a:off x="0" y="0"/>
                      <a:ext cx="5261963" cy="1903662"/>
                    </a:xfrm>
                    <a:prstGeom prst="rect">
                      <a:avLst/>
                    </a:prstGeom>
                    <a:noFill/>
                    <a:ln>
                      <a:noFill/>
                    </a:ln>
                  </pic:spPr>
                </pic:pic>
              </a:graphicData>
            </a:graphic>
          </wp:inline>
        </w:drawing>
      </w:r>
    </w:p>
    <w:p/>
    <w:p>
      <w:pPr>
        <w:spacing w:line="360" w:lineRule="auto"/>
        <w:rPr>
          <w:rFonts w:ascii="Times New Roman" w:hAnsi="Times New Roman" w:cs="Times New Roman"/>
          <w:sz w:val="24"/>
          <w:szCs w:val="28"/>
        </w:rPr>
      </w:pPr>
      <w:r>
        <w:rPr>
          <w:rFonts w:ascii="Times New Roman" w:hAnsi="Times New Roman" w:cs="Times New Roman"/>
          <w:b/>
          <w:bCs/>
          <w:sz w:val="24"/>
          <w:szCs w:val="28"/>
        </w:rPr>
        <w:t>Figure</w:t>
      </w:r>
      <w:r>
        <w:rPr>
          <w:rFonts w:ascii="Times New Roman" w:hAnsi="Times New Roman" w:cs="Times New Roman"/>
          <w:sz w:val="24"/>
          <w:szCs w:val="28"/>
        </w:rPr>
        <w:t xml:space="preserve"> S</w:t>
      </w:r>
      <w:r>
        <w:rPr>
          <w:rFonts w:hint="eastAsia" w:ascii="Times New Roman" w:hAnsi="Times New Roman" w:cs="Times New Roman"/>
          <w:sz w:val="24"/>
          <w:szCs w:val="28"/>
        </w:rPr>
        <w:t>3</w:t>
      </w:r>
      <w:r>
        <w:rPr>
          <w:rFonts w:ascii="Times New Roman" w:hAnsi="Times New Roman" w:cs="Times New Roman"/>
          <w:sz w:val="24"/>
          <w:szCs w:val="28"/>
        </w:rPr>
        <w:t xml:space="preserve">. (a) and (b) The control perovskite film and INHA-modified film in SEM images, where the grainsize become larger with the increased functional group </w:t>
      </w:r>
    </w:p>
    <w:p>
      <w:r>
        <w:rPr>
          <w:rFonts w:ascii="Times New Roman" w:hAnsi="Times New Roman" w:cs="Times New Roman"/>
          <w:sz w:val="24"/>
          <w:szCs w:val="28"/>
        </w:rPr>
        <w:br w:type="page"/>
      </w:r>
      <w:r>
        <w:drawing>
          <wp:inline distT="0" distB="0" distL="0" distR="0">
            <wp:extent cx="5143500" cy="435673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148730" cy="4361390"/>
                    </a:xfrm>
                    <a:prstGeom prst="rect">
                      <a:avLst/>
                    </a:prstGeom>
                    <a:noFill/>
                  </pic:spPr>
                </pic:pic>
              </a:graphicData>
            </a:graphic>
          </wp:inline>
        </w:drawing>
      </w:r>
    </w:p>
    <w:p>
      <w:pPr>
        <w:spacing w:line="480" w:lineRule="auto"/>
        <w:rPr>
          <w:rFonts w:ascii="Times New Roman" w:hAnsi="Times New Roman" w:cs="Times New Roman"/>
          <w:sz w:val="24"/>
          <w:szCs w:val="28"/>
        </w:rPr>
      </w:pPr>
      <w:r>
        <w:rPr>
          <w:rFonts w:ascii="Times New Roman" w:hAnsi="Times New Roman" w:cs="Times New Roman"/>
          <w:b/>
          <w:bCs/>
          <w:sz w:val="24"/>
          <w:szCs w:val="28"/>
        </w:rPr>
        <w:t>Figure</w:t>
      </w:r>
      <w:r>
        <w:rPr>
          <w:rFonts w:ascii="Times New Roman" w:hAnsi="Times New Roman" w:cs="Times New Roman"/>
          <w:sz w:val="24"/>
          <w:szCs w:val="28"/>
        </w:rPr>
        <w:t xml:space="preserve"> S</w:t>
      </w:r>
      <w:r>
        <w:rPr>
          <w:rFonts w:hint="eastAsia" w:ascii="Times New Roman" w:hAnsi="Times New Roman" w:cs="Times New Roman"/>
          <w:sz w:val="24"/>
          <w:szCs w:val="28"/>
        </w:rPr>
        <w:t>4</w:t>
      </w:r>
      <w:r>
        <w:rPr>
          <w:rFonts w:ascii="Times New Roman" w:hAnsi="Times New Roman" w:cs="Times New Roman"/>
          <w:sz w:val="24"/>
          <w:szCs w:val="28"/>
        </w:rPr>
        <w:t xml:space="preserve">. </w:t>
      </w:r>
      <w:r>
        <w:rPr>
          <w:rFonts w:ascii="Times New Roman" w:hAnsi="Times New Roman" w:cs="Times New Roman"/>
          <w:sz w:val="24"/>
          <w:szCs w:val="24"/>
        </w:rPr>
        <w:t xml:space="preserve">(a), (b) AFM images of the control and the optimal INHA-modified films. (c) and (d) The AFM contour of the corresponding layers. </w:t>
      </w:r>
    </w:p>
    <w:p>
      <w:pPr>
        <w:widowControl/>
        <w:spacing w:after="160" w:line="259" w:lineRule="auto"/>
        <w:jc w:val="left"/>
        <w:rPr>
          <w:rFonts w:ascii="Times New Roman" w:hAnsi="Times New Roman" w:cs="Times New Roman"/>
          <w:sz w:val="24"/>
          <w:szCs w:val="28"/>
        </w:rPr>
      </w:pPr>
    </w:p>
    <w:p>
      <w:pPr>
        <w:widowControl/>
        <w:spacing w:after="160" w:line="259" w:lineRule="auto"/>
        <w:jc w:val="left"/>
        <w:rPr>
          <w:rFonts w:ascii="Times New Roman" w:hAnsi="Times New Roman" w:cs="Times New Roman"/>
          <w:sz w:val="24"/>
          <w:szCs w:val="28"/>
        </w:rPr>
      </w:pPr>
    </w:p>
    <w:p>
      <w:pPr>
        <w:widowControl/>
        <w:spacing w:after="160" w:line="259" w:lineRule="auto"/>
        <w:jc w:val="left"/>
        <w:rPr>
          <w:rFonts w:ascii="Times New Roman" w:hAnsi="Times New Roman" w:cs="Times New Roman"/>
          <w:sz w:val="24"/>
          <w:szCs w:val="28"/>
        </w:rPr>
      </w:pPr>
    </w:p>
    <w:p>
      <w:pPr>
        <w:widowControl/>
        <w:spacing w:after="160" w:line="259" w:lineRule="auto"/>
        <w:jc w:val="left"/>
        <w:rPr>
          <w:rFonts w:ascii="Times New Roman" w:hAnsi="Times New Roman" w:cs="Times New Roman"/>
          <w:sz w:val="24"/>
          <w:szCs w:val="28"/>
        </w:rPr>
      </w:pPr>
    </w:p>
    <w:p>
      <w:pPr>
        <w:widowControl/>
        <w:spacing w:after="160" w:line="259" w:lineRule="auto"/>
        <w:jc w:val="left"/>
        <w:rPr>
          <w:rFonts w:ascii="Times New Roman" w:hAnsi="Times New Roman" w:cs="Times New Roman"/>
          <w:sz w:val="24"/>
          <w:szCs w:val="28"/>
        </w:rPr>
      </w:pPr>
    </w:p>
    <w:p>
      <w:pPr>
        <w:jc w:val="center"/>
      </w:pPr>
      <w:r>
        <w:drawing>
          <wp:inline distT="0" distB="0" distL="0" distR="0">
            <wp:extent cx="5400675" cy="2269490"/>
            <wp:effectExtent l="0" t="0" r="0" b="165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407888" cy="2272507"/>
                    </a:xfrm>
                    <a:prstGeom prst="rect">
                      <a:avLst/>
                    </a:prstGeom>
                    <a:noFill/>
                  </pic:spPr>
                </pic:pic>
              </a:graphicData>
            </a:graphic>
          </wp:inline>
        </w:drawing>
      </w:r>
    </w:p>
    <w:p>
      <w:pPr>
        <w:spacing w:line="480" w:lineRule="auto"/>
        <w:rPr>
          <w:rFonts w:ascii="Times New Roman" w:hAnsi="Times New Roman" w:cs="Times New Roman"/>
          <w:sz w:val="24"/>
          <w:szCs w:val="28"/>
        </w:rPr>
      </w:pPr>
      <w:r>
        <w:rPr>
          <w:rFonts w:ascii="Times New Roman" w:hAnsi="Times New Roman" w:cs="Times New Roman"/>
          <w:b/>
          <w:bCs/>
          <w:sz w:val="24"/>
          <w:szCs w:val="28"/>
        </w:rPr>
        <w:t>Figure</w:t>
      </w:r>
      <w:r>
        <w:rPr>
          <w:rFonts w:ascii="Times New Roman" w:hAnsi="Times New Roman" w:cs="Times New Roman"/>
          <w:sz w:val="24"/>
          <w:szCs w:val="28"/>
        </w:rPr>
        <w:t xml:space="preserve"> S</w:t>
      </w:r>
      <w:r>
        <w:rPr>
          <w:rFonts w:hint="eastAsia" w:ascii="Times New Roman" w:hAnsi="Times New Roman" w:cs="Times New Roman"/>
          <w:sz w:val="24"/>
          <w:szCs w:val="28"/>
        </w:rPr>
        <w:t>5</w:t>
      </w:r>
      <w:r>
        <w:rPr>
          <w:rFonts w:ascii="Times New Roman" w:hAnsi="Times New Roman" w:cs="Times New Roman"/>
          <w:sz w:val="24"/>
          <w:szCs w:val="28"/>
        </w:rPr>
        <w:t>. UV-vis absorption and (b) XRD pattern</w:t>
      </w:r>
      <w:r>
        <w:rPr>
          <w:rFonts w:hint="eastAsia" w:ascii="Times New Roman" w:hAnsi="Times New Roman" w:cs="Times New Roman"/>
          <w:sz w:val="24"/>
          <w:szCs w:val="28"/>
        </w:rPr>
        <w:t>s</w:t>
      </w:r>
      <w:r>
        <w:rPr>
          <w:rFonts w:ascii="Times New Roman" w:hAnsi="Times New Roman" w:cs="Times New Roman"/>
          <w:sz w:val="24"/>
          <w:szCs w:val="28"/>
        </w:rPr>
        <w:t xml:space="preserve"> of the control </w:t>
      </w:r>
      <w:r>
        <w:rPr>
          <w:rFonts w:hint="eastAsia" w:ascii="Times New Roman" w:hAnsi="Times New Roman" w:cs="Times New Roman"/>
          <w:sz w:val="24"/>
          <w:szCs w:val="28"/>
        </w:rPr>
        <w:t>perov</w:t>
      </w:r>
      <w:r>
        <w:rPr>
          <w:rFonts w:ascii="Times New Roman" w:hAnsi="Times New Roman" w:cs="Times New Roman"/>
          <w:sz w:val="24"/>
          <w:szCs w:val="28"/>
        </w:rPr>
        <w:t xml:space="preserve">skite film and optimal INHA-SAM modified film. </w:t>
      </w:r>
    </w:p>
    <w:p>
      <w:pPr>
        <w:widowControl/>
        <w:spacing w:after="160" w:line="259" w:lineRule="auto"/>
        <w:jc w:val="left"/>
        <w:rPr>
          <w:rFonts w:ascii="Times New Roman" w:hAnsi="Times New Roman" w:cs="Times New Roman"/>
          <w:sz w:val="24"/>
          <w:szCs w:val="28"/>
        </w:rPr>
      </w:pPr>
      <w:r>
        <w:rPr>
          <w:rFonts w:ascii="Times New Roman" w:hAnsi="Times New Roman" w:cs="Times New Roman"/>
          <w:sz w:val="24"/>
          <w:szCs w:val="28"/>
        </w:rPr>
        <w:br w:type="page"/>
      </w:r>
    </w:p>
    <w:p>
      <w:pPr>
        <w:spacing w:line="360" w:lineRule="auto"/>
        <w:rPr>
          <w:rFonts w:ascii="Times New Roman" w:hAnsi="Times New Roman" w:cs="Times New Roman"/>
          <w:sz w:val="24"/>
          <w:szCs w:val="28"/>
        </w:rPr>
      </w:pPr>
    </w:p>
    <w:p>
      <w:pPr>
        <w:spacing w:line="360" w:lineRule="auto"/>
        <w:jc w:val="center"/>
        <w:rPr>
          <w:rFonts w:ascii="Times New Roman" w:hAnsi="Times New Roman" w:cs="Times New Roman"/>
          <w:sz w:val="24"/>
          <w:szCs w:val="28"/>
        </w:rPr>
      </w:pPr>
      <w:r>
        <w:rPr>
          <w:rFonts w:ascii="Times New Roman" w:hAnsi="Times New Roman" w:cs="Times New Roman"/>
          <w:sz w:val="24"/>
          <w:szCs w:val="28"/>
        </w:rPr>
        <w:drawing>
          <wp:inline distT="0" distB="0" distL="0" distR="0">
            <wp:extent cx="3843655" cy="2766695"/>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847507" cy="2769870"/>
                    </a:xfrm>
                    <a:prstGeom prst="rect">
                      <a:avLst/>
                    </a:prstGeom>
                    <a:noFill/>
                  </pic:spPr>
                </pic:pic>
              </a:graphicData>
            </a:graphic>
          </wp:inline>
        </w:drawing>
      </w:r>
    </w:p>
    <w:p>
      <w:pPr>
        <w:spacing w:line="360" w:lineRule="auto"/>
        <w:rPr>
          <w:rFonts w:ascii="Times New Roman" w:hAnsi="Times New Roman" w:cs="Times New Roman"/>
          <w:sz w:val="24"/>
          <w:szCs w:val="28"/>
        </w:rPr>
      </w:pPr>
      <w:r>
        <w:rPr>
          <w:rFonts w:ascii="Times New Roman" w:hAnsi="Times New Roman" w:cs="Times New Roman"/>
          <w:b/>
          <w:bCs/>
          <w:sz w:val="24"/>
          <w:szCs w:val="28"/>
        </w:rPr>
        <w:t>Figure</w:t>
      </w:r>
      <w:r>
        <w:rPr>
          <w:rFonts w:ascii="Times New Roman" w:hAnsi="Times New Roman" w:cs="Times New Roman"/>
          <w:sz w:val="24"/>
          <w:szCs w:val="28"/>
        </w:rPr>
        <w:t xml:space="preserve"> S</w:t>
      </w:r>
      <w:r>
        <w:rPr>
          <w:rFonts w:hint="eastAsia" w:ascii="Times New Roman" w:hAnsi="Times New Roman" w:cs="Times New Roman"/>
          <w:sz w:val="24"/>
          <w:szCs w:val="28"/>
        </w:rPr>
        <w:t>6</w:t>
      </w:r>
      <w:r>
        <w:rPr>
          <w:rFonts w:ascii="Times New Roman" w:hAnsi="Times New Roman" w:cs="Times New Roman"/>
          <w:sz w:val="24"/>
          <w:szCs w:val="28"/>
        </w:rPr>
        <w:t xml:space="preserve">. </w:t>
      </w:r>
      <w:r>
        <w:rPr>
          <w:rFonts w:hint="eastAsia" w:ascii="Times New Roman" w:hAnsi="Times New Roman" w:cs="Times New Roman"/>
          <w:sz w:val="24"/>
          <w:szCs w:val="24"/>
        </w:rPr>
        <w:t>The</w:t>
      </w:r>
      <w:r>
        <w:rPr>
          <w:rFonts w:ascii="Times New Roman" w:hAnsi="Times New Roman" w:cs="Times New Roman"/>
          <w:sz w:val="24"/>
          <w:szCs w:val="24"/>
        </w:rPr>
        <w:t xml:space="preserve"> cross-view of a completed perovskite solar devices.</w:t>
      </w: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rPr>
          <w:rFonts w:ascii="Times New Roman" w:hAnsi="Times New Roman" w:cs="Times New Roman"/>
          <w:sz w:val="24"/>
          <w:szCs w:val="28"/>
        </w:rPr>
      </w:pPr>
      <w:r>
        <w:drawing>
          <wp:inline distT="0" distB="0" distL="114300" distR="114300">
            <wp:extent cx="3771900" cy="2895600"/>
            <wp:effectExtent l="0" t="0" r="0" b="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11" cstate="print"/>
                    <a:stretch>
                      <a:fillRect/>
                    </a:stretch>
                  </pic:blipFill>
                  <pic:spPr>
                    <a:xfrm>
                      <a:off x="0" y="0"/>
                      <a:ext cx="3771900" cy="2895600"/>
                    </a:xfrm>
                    <a:prstGeom prst="rect">
                      <a:avLst/>
                    </a:prstGeom>
                    <a:noFill/>
                    <a:ln>
                      <a:noFill/>
                    </a:ln>
                  </pic:spPr>
                </pic:pic>
              </a:graphicData>
            </a:graphic>
          </wp:inline>
        </w:drawing>
      </w:r>
    </w:p>
    <w:p>
      <w:pPr>
        <w:spacing w:line="360" w:lineRule="auto"/>
        <w:rPr>
          <w:rFonts w:ascii="Times New Roman" w:hAnsi="Times New Roman" w:cs="Times New Roman"/>
          <w:sz w:val="24"/>
          <w:szCs w:val="28"/>
        </w:rPr>
      </w:pPr>
      <w:r>
        <w:rPr>
          <w:rFonts w:ascii="Times New Roman" w:hAnsi="Times New Roman" w:cs="Times New Roman"/>
          <w:b/>
          <w:bCs/>
          <w:sz w:val="24"/>
          <w:szCs w:val="28"/>
        </w:rPr>
        <w:t>Figure</w:t>
      </w:r>
      <w:r>
        <w:rPr>
          <w:rFonts w:ascii="Times New Roman" w:hAnsi="Times New Roman" w:cs="Times New Roman"/>
          <w:sz w:val="24"/>
          <w:szCs w:val="28"/>
        </w:rPr>
        <w:t xml:space="preserve"> S</w:t>
      </w:r>
      <w:r>
        <w:rPr>
          <w:rFonts w:hint="eastAsia" w:ascii="Times New Roman" w:hAnsi="Times New Roman" w:cs="Times New Roman"/>
          <w:sz w:val="24"/>
          <w:szCs w:val="28"/>
        </w:rPr>
        <w:t>7</w:t>
      </w:r>
      <w:r>
        <w:rPr>
          <w:rFonts w:ascii="Times New Roman" w:hAnsi="Times New Roman" w:cs="Times New Roman"/>
          <w:sz w:val="24"/>
          <w:szCs w:val="28"/>
        </w:rPr>
        <w:t xml:space="preserve">. The distribution of </w:t>
      </w:r>
      <w:r>
        <w:rPr>
          <w:rFonts w:ascii="Times New Roman" w:hAnsi="Times New Roman" w:cs="Times New Roman"/>
          <w:i/>
          <w:iCs/>
          <w:sz w:val="24"/>
          <w:szCs w:val="28"/>
        </w:rPr>
        <w:t>PCE</w:t>
      </w:r>
      <w:r>
        <w:rPr>
          <w:rFonts w:ascii="Times New Roman" w:hAnsi="Times New Roman" w:cs="Times New Roman"/>
          <w:sz w:val="24"/>
          <w:szCs w:val="28"/>
        </w:rPr>
        <w:t xml:space="preserve">s for </w:t>
      </w:r>
      <w:r>
        <w:rPr>
          <w:rFonts w:hint="eastAsia" w:ascii="Times New Roman" w:hAnsi="Times New Roman" w:cs="Times New Roman"/>
          <w:sz w:val="24"/>
          <w:szCs w:val="28"/>
        </w:rPr>
        <w:t>3</w:t>
      </w:r>
      <w:r>
        <w:rPr>
          <w:rFonts w:ascii="Times New Roman" w:hAnsi="Times New Roman" w:cs="Times New Roman"/>
          <w:sz w:val="24"/>
          <w:szCs w:val="28"/>
        </w:rPr>
        <w:t xml:space="preserve">0 independent devices based on </w:t>
      </w:r>
      <w:r>
        <w:rPr>
          <w:rFonts w:hint="eastAsia" w:ascii="Times New Roman" w:hAnsi="Times New Roman" w:cs="Times New Roman"/>
          <w:sz w:val="24"/>
          <w:szCs w:val="28"/>
        </w:rPr>
        <w:t xml:space="preserve">control and </w:t>
      </w:r>
      <w:r>
        <w:rPr>
          <w:rFonts w:ascii="Times New Roman" w:hAnsi="Times New Roman" w:cs="Times New Roman"/>
          <w:sz w:val="24"/>
          <w:szCs w:val="24"/>
        </w:rPr>
        <w:t xml:space="preserve">INHA-modified </w:t>
      </w:r>
      <w:r>
        <w:rPr>
          <w:rFonts w:hint="eastAsia" w:ascii="Times New Roman" w:hAnsi="Times New Roman" w:cs="Times New Roman"/>
          <w:sz w:val="24"/>
          <w:szCs w:val="24"/>
        </w:rPr>
        <w:t>ETL</w:t>
      </w:r>
      <w:r>
        <w:rPr>
          <w:rFonts w:ascii="Times New Roman" w:hAnsi="Times New Roman" w:cs="Times New Roman"/>
          <w:sz w:val="24"/>
          <w:szCs w:val="24"/>
        </w:rPr>
        <w:t xml:space="preserve">. </w:t>
      </w: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sz w:val="24"/>
          <w:szCs w:val="28"/>
        </w:rPr>
      </w:pPr>
      <w:r>
        <w:rPr>
          <w:rFonts w:hint="eastAsia" w:ascii="Times New Roman" w:hAnsi="Times New Roman" w:cs="Times New Roman"/>
          <w:b/>
          <w:bCs/>
          <w:sz w:val="24"/>
          <w:szCs w:val="28"/>
        </w:rPr>
        <w:t xml:space="preserve">Table S1. </w:t>
      </w:r>
      <w:r>
        <w:rPr>
          <w:rFonts w:hint="eastAsia" w:ascii="Times New Roman" w:hAnsi="Times New Roman" w:cs="Times New Roman"/>
          <w:sz w:val="24"/>
          <w:szCs w:val="28"/>
        </w:rPr>
        <w:t xml:space="preserve">Detailed performance parameters of devices based on control and </w:t>
      </w:r>
      <w:r>
        <w:rPr>
          <w:rFonts w:ascii="Times New Roman" w:hAnsi="Times New Roman" w:cs="Times New Roman"/>
          <w:sz w:val="24"/>
          <w:szCs w:val="24"/>
        </w:rPr>
        <w:t xml:space="preserve">INHA-modified </w:t>
      </w:r>
      <w:r>
        <w:rPr>
          <w:rFonts w:hint="eastAsia" w:ascii="Times New Roman" w:hAnsi="Times New Roman" w:cs="Times New Roman"/>
          <w:sz w:val="24"/>
          <w:szCs w:val="24"/>
        </w:rPr>
        <w:t>ETL</w:t>
      </w:r>
      <w:r>
        <w:rPr>
          <w:rFonts w:ascii="Times New Roman" w:hAnsi="Times New Roman" w:cs="Times New Roman"/>
          <w:sz w:val="24"/>
          <w:szCs w:val="24"/>
        </w:rPr>
        <w:t>.</w:t>
      </w:r>
    </w:p>
    <w:tbl>
      <w:tblPr>
        <w:tblStyle w:val="6"/>
        <w:tblpPr w:leftFromText="180" w:rightFromText="180" w:vertAnchor="text" w:horzAnchor="page" w:tblpX="1756" w:tblpY="468"/>
        <w:tblOverlap w:val="never"/>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930"/>
        <w:gridCol w:w="1639"/>
        <w:gridCol w:w="1688"/>
        <w:gridCol w:w="1612"/>
        <w:gridCol w:w="1653"/>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024" w:type="dxa"/>
          </w:tcPr>
          <w:p>
            <w:pPr>
              <w:pStyle w:val="4"/>
              <w:jc w:val="center"/>
              <w:rPr>
                <w:color w:val="000000"/>
                <w:sz w:val="36"/>
                <w:szCs w:val="36"/>
              </w:rPr>
            </w:pPr>
            <w:r>
              <w:rPr>
                <w:rFonts w:hint="eastAsia" w:ascii="Times New Roman" w:hAnsi="Times New Roman" w:cs="Times New Roman" w:eastAsiaTheme="minorEastAsia"/>
                <w:b/>
                <w:bCs/>
                <w:kern w:val="2"/>
                <w:szCs w:val="28"/>
              </w:rPr>
              <w:t>Type</w:t>
            </w:r>
          </w:p>
        </w:tc>
        <w:tc>
          <w:tcPr>
            <w:tcW w:w="1704" w:type="dxa"/>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V</w:t>
            </w:r>
            <w:r>
              <w:rPr>
                <w:rFonts w:hint="eastAsia" w:ascii="Times New Roman" w:hAnsi="Times New Roman" w:cs="Times New Roman"/>
                <w:b/>
                <w:bCs/>
                <w:sz w:val="24"/>
                <w:szCs w:val="28"/>
                <w:vertAlign w:val="subscript"/>
              </w:rPr>
              <w:t>OC</w:t>
            </w:r>
            <w:r>
              <w:rPr>
                <w:rFonts w:hint="eastAsia" w:ascii="Times New Roman" w:hAnsi="Times New Roman" w:cs="Times New Roman"/>
                <w:b/>
                <w:bCs/>
                <w:sz w:val="24"/>
                <w:szCs w:val="28"/>
              </w:rPr>
              <w:t>(V)</w:t>
            </w:r>
          </w:p>
        </w:tc>
        <w:tc>
          <w:tcPr>
            <w:tcW w:w="1704" w:type="dxa"/>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J</w:t>
            </w:r>
            <w:r>
              <w:rPr>
                <w:rFonts w:hint="eastAsia" w:ascii="Times New Roman" w:hAnsi="Times New Roman" w:cs="Times New Roman"/>
                <w:b/>
                <w:bCs/>
                <w:sz w:val="24"/>
                <w:szCs w:val="28"/>
                <w:vertAlign w:val="subscript"/>
              </w:rPr>
              <w:t>SC</w:t>
            </w:r>
            <w:r>
              <w:rPr>
                <w:rFonts w:hint="eastAsia" w:ascii="Times New Roman" w:hAnsi="Times New Roman" w:cs="Times New Roman"/>
                <w:b/>
                <w:bCs/>
                <w:sz w:val="24"/>
                <w:szCs w:val="28"/>
              </w:rPr>
              <w:t>(mA/cm</w:t>
            </w:r>
            <w:r>
              <w:rPr>
                <w:rFonts w:hint="eastAsia" w:ascii="Times New Roman" w:hAnsi="Times New Roman" w:cs="Times New Roman"/>
                <w:b/>
                <w:bCs/>
                <w:sz w:val="24"/>
                <w:szCs w:val="28"/>
                <w:vertAlign w:val="superscript"/>
              </w:rPr>
              <w:t>2</w:t>
            </w:r>
            <w:r>
              <w:rPr>
                <w:rFonts w:hint="eastAsia" w:ascii="Times New Roman" w:hAnsi="Times New Roman" w:cs="Times New Roman"/>
                <w:b/>
                <w:bCs/>
                <w:sz w:val="24"/>
                <w:szCs w:val="28"/>
              </w:rPr>
              <w:t>)</w:t>
            </w:r>
          </w:p>
        </w:tc>
        <w:tc>
          <w:tcPr>
            <w:tcW w:w="1705" w:type="dxa"/>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FF</w:t>
            </w:r>
          </w:p>
        </w:tc>
        <w:tc>
          <w:tcPr>
            <w:tcW w:w="1705" w:type="dxa"/>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PCE(%)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024" w:type="dxa"/>
            <w:tcBorders>
              <w:bottom w:val="nil"/>
            </w:tcBorders>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control (RS)</w:t>
            </w:r>
          </w:p>
        </w:tc>
        <w:tc>
          <w:tcPr>
            <w:tcW w:w="1704" w:type="dxa"/>
            <w:tcBorders>
              <w:bottom w:val="nil"/>
            </w:tcBorders>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1.12</w:t>
            </w:r>
          </w:p>
        </w:tc>
        <w:tc>
          <w:tcPr>
            <w:tcW w:w="1704" w:type="dxa"/>
            <w:tcBorders>
              <w:bottom w:val="nil"/>
            </w:tcBorders>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21.92</w:t>
            </w:r>
          </w:p>
        </w:tc>
        <w:tc>
          <w:tcPr>
            <w:tcW w:w="1705" w:type="dxa"/>
            <w:tcBorders>
              <w:bottom w:val="nil"/>
            </w:tcBorders>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0.74</w:t>
            </w:r>
          </w:p>
        </w:tc>
        <w:tc>
          <w:tcPr>
            <w:tcW w:w="1705" w:type="dxa"/>
            <w:tcBorders>
              <w:bottom w:val="nil"/>
            </w:tcBorders>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18.17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024" w:type="dxa"/>
            <w:tcBorders>
              <w:top w:val="nil"/>
              <w:bottom w:val="nil"/>
            </w:tcBorders>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control (FS)</w:t>
            </w:r>
          </w:p>
        </w:tc>
        <w:tc>
          <w:tcPr>
            <w:tcW w:w="1704" w:type="dxa"/>
            <w:tcBorders>
              <w:top w:val="nil"/>
              <w:bottom w:val="nil"/>
            </w:tcBorders>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1.09</w:t>
            </w:r>
          </w:p>
        </w:tc>
        <w:tc>
          <w:tcPr>
            <w:tcW w:w="1704" w:type="dxa"/>
            <w:tcBorders>
              <w:top w:val="nil"/>
              <w:bottom w:val="nil"/>
            </w:tcBorders>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21.79</w:t>
            </w:r>
          </w:p>
        </w:tc>
        <w:tc>
          <w:tcPr>
            <w:tcW w:w="1705" w:type="dxa"/>
            <w:tcBorders>
              <w:top w:val="nil"/>
              <w:bottom w:val="nil"/>
            </w:tcBorders>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0.72</w:t>
            </w:r>
          </w:p>
        </w:tc>
        <w:tc>
          <w:tcPr>
            <w:tcW w:w="1705" w:type="dxa"/>
            <w:tcBorders>
              <w:top w:val="nil"/>
              <w:bottom w:val="nil"/>
            </w:tcBorders>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17.10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024" w:type="dxa"/>
            <w:tcBorders>
              <w:top w:val="nil"/>
              <w:bottom w:val="nil"/>
            </w:tcBorders>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with INAH (RS)</w:t>
            </w:r>
          </w:p>
        </w:tc>
        <w:tc>
          <w:tcPr>
            <w:tcW w:w="1704" w:type="dxa"/>
            <w:tcBorders>
              <w:top w:val="nil"/>
              <w:bottom w:val="nil"/>
            </w:tcBorders>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1.17</w:t>
            </w:r>
          </w:p>
        </w:tc>
        <w:tc>
          <w:tcPr>
            <w:tcW w:w="1704" w:type="dxa"/>
            <w:tcBorders>
              <w:top w:val="nil"/>
              <w:bottom w:val="nil"/>
            </w:tcBorders>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23.15</w:t>
            </w:r>
          </w:p>
        </w:tc>
        <w:tc>
          <w:tcPr>
            <w:tcW w:w="1705" w:type="dxa"/>
            <w:tcBorders>
              <w:top w:val="nil"/>
              <w:bottom w:val="nil"/>
            </w:tcBorders>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0.78</w:t>
            </w:r>
          </w:p>
        </w:tc>
        <w:tc>
          <w:tcPr>
            <w:tcW w:w="1705" w:type="dxa"/>
            <w:tcBorders>
              <w:top w:val="nil"/>
              <w:bottom w:val="nil"/>
            </w:tcBorders>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21.12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024" w:type="dxa"/>
            <w:tcBorders>
              <w:top w:val="nil"/>
            </w:tcBorders>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with INAH (FS)</w:t>
            </w:r>
          </w:p>
        </w:tc>
        <w:tc>
          <w:tcPr>
            <w:tcW w:w="1704" w:type="dxa"/>
            <w:tcBorders>
              <w:top w:val="nil"/>
            </w:tcBorders>
          </w:tcPr>
          <w:p>
            <w:pPr>
              <w:spacing w:line="360" w:lineRule="auto"/>
              <w:jc w:val="center"/>
              <w:rPr>
                <w:rFonts w:hint="eastAsia" w:ascii="Times New Roman" w:hAnsi="Times New Roman" w:cs="Times New Roman" w:eastAsiaTheme="minorEastAsia"/>
                <w:b/>
                <w:bCs/>
                <w:sz w:val="24"/>
                <w:szCs w:val="28"/>
                <w:lang w:eastAsia="zh-CN"/>
              </w:rPr>
            </w:pPr>
            <w:r>
              <w:rPr>
                <w:rFonts w:hint="eastAsia" w:ascii="Times New Roman" w:hAnsi="Times New Roman" w:cs="Times New Roman"/>
                <w:b/>
                <w:bCs/>
                <w:sz w:val="24"/>
                <w:szCs w:val="28"/>
              </w:rPr>
              <w:t>1.1</w:t>
            </w:r>
            <w:r>
              <w:rPr>
                <w:rFonts w:hint="eastAsia" w:ascii="Times New Roman" w:hAnsi="Times New Roman" w:cs="Times New Roman"/>
                <w:b/>
                <w:bCs/>
                <w:sz w:val="24"/>
                <w:szCs w:val="28"/>
                <w:lang w:val="en-US" w:eastAsia="zh-CN"/>
              </w:rPr>
              <w:t>4</w:t>
            </w:r>
          </w:p>
        </w:tc>
        <w:tc>
          <w:tcPr>
            <w:tcW w:w="1704" w:type="dxa"/>
            <w:tcBorders>
              <w:top w:val="nil"/>
            </w:tcBorders>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23.06</w:t>
            </w:r>
          </w:p>
        </w:tc>
        <w:tc>
          <w:tcPr>
            <w:tcW w:w="1705" w:type="dxa"/>
            <w:tcBorders>
              <w:top w:val="nil"/>
            </w:tcBorders>
          </w:tcPr>
          <w:p>
            <w:pPr>
              <w:spacing w:line="360" w:lineRule="auto"/>
              <w:jc w:val="center"/>
              <w:rPr>
                <w:rFonts w:ascii="Times New Roman" w:hAnsi="Times New Roman" w:cs="Times New Roman"/>
                <w:b/>
                <w:bCs/>
                <w:sz w:val="24"/>
                <w:szCs w:val="28"/>
              </w:rPr>
            </w:pPr>
            <w:r>
              <w:rPr>
                <w:rFonts w:hint="eastAsia" w:ascii="Times New Roman" w:hAnsi="Times New Roman" w:cs="Times New Roman"/>
                <w:b/>
                <w:bCs/>
                <w:sz w:val="24"/>
                <w:szCs w:val="28"/>
              </w:rPr>
              <w:t>0.75</w:t>
            </w:r>
          </w:p>
        </w:tc>
        <w:tc>
          <w:tcPr>
            <w:tcW w:w="1705" w:type="dxa"/>
            <w:tcBorders>
              <w:top w:val="nil"/>
            </w:tcBorders>
          </w:tcPr>
          <w:p>
            <w:pPr>
              <w:spacing w:line="360" w:lineRule="auto"/>
              <w:jc w:val="center"/>
              <w:rPr>
                <w:rFonts w:hint="default" w:ascii="Times New Roman" w:hAnsi="Times New Roman" w:cs="Times New Roman" w:eastAsiaTheme="minorEastAsia"/>
                <w:b/>
                <w:bCs/>
                <w:sz w:val="24"/>
                <w:szCs w:val="28"/>
                <w:lang w:val="en-US" w:eastAsia="zh-CN"/>
              </w:rPr>
            </w:pPr>
            <w:r>
              <w:rPr>
                <w:rFonts w:hint="eastAsia" w:ascii="Times New Roman" w:hAnsi="Times New Roman" w:cs="Times New Roman"/>
                <w:b/>
                <w:bCs/>
                <w:sz w:val="24"/>
                <w:szCs w:val="28"/>
              </w:rPr>
              <w:t>19.</w:t>
            </w:r>
            <w:r>
              <w:rPr>
                <w:rFonts w:hint="eastAsia" w:ascii="Times New Roman" w:hAnsi="Times New Roman" w:cs="Times New Roman"/>
                <w:b/>
                <w:bCs/>
                <w:sz w:val="24"/>
                <w:szCs w:val="28"/>
                <w:lang w:val="en-US" w:eastAsia="zh-CN"/>
              </w:rPr>
              <w:t>71</w:t>
            </w:r>
          </w:p>
        </w:tc>
      </w:tr>
    </w:tbl>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b/>
          <w:bCs/>
          <w:sz w:val="24"/>
          <w:szCs w:val="28"/>
        </w:rPr>
      </w:pPr>
    </w:p>
    <w:p>
      <w:pPr>
        <w:spacing w:line="360" w:lineRule="auto"/>
        <w:rPr>
          <w:rFonts w:ascii="Times New Roman" w:hAnsi="Times New Roman" w:cs="Times New Roman"/>
          <w:sz w:val="24"/>
          <w:szCs w:val="28"/>
        </w:rPr>
      </w:pPr>
      <w:r>
        <w:rPr>
          <w:rFonts w:ascii="Times New Roman" w:hAnsi="Times New Roman" w:cs="Times New Roman"/>
          <w:b/>
          <w:bCs/>
          <w:sz w:val="24"/>
          <w:szCs w:val="28"/>
        </w:rPr>
        <w:t xml:space="preserve">Equation 1. </w:t>
      </w:r>
      <w:r>
        <w:rPr>
          <w:rFonts w:hint="eastAsia" w:ascii="Times New Roman" w:hAnsi="Times New Roman" w:cs="Times New Roman"/>
          <w:sz w:val="24"/>
          <w:szCs w:val="28"/>
        </w:rPr>
        <w:t>T</w:t>
      </w:r>
      <w:r>
        <w:rPr>
          <w:rFonts w:ascii="Times New Roman" w:hAnsi="Times New Roman" w:cs="Times New Roman"/>
          <w:sz w:val="24"/>
          <w:szCs w:val="28"/>
        </w:rPr>
        <w:t>he dependence of V</w:t>
      </w:r>
      <w:r>
        <w:rPr>
          <w:rFonts w:hint="eastAsia" w:ascii="Times New Roman" w:hAnsi="Times New Roman" w:cs="Times New Roman"/>
          <w:sz w:val="24"/>
          <w:szCs w:val="28"/>
          <w:vertAlign w:val="subscript"/>
        </w:rPr>
        <w:t>OC</w:t>
      </w:r>
      <w:r>
        <w:rPr>
          <w:rFonts w:ascii="Times New Roman" w:hAnsi="Times New Roman" w:cs="Times New Roman"/>
          <w:sz w:val="24"/>
          <w:szCs w:val="28"/>
        </w:rPr>
        <w:t xml:space="preserve"> on the light intensity:</w:t>
      </w:r>
    </w:p>
    <w:p>
      <w:pPr>
        <w:spacing w:line="360" w:lineRule="auto"/>
        <w:rPr>
          <w:rFonts w:ascii="Times New Roman" w:hAnsi="Times New Roman" w:cs="Times New Roman"/>
          <w:b/>
          <w:bCs/>
          <w:sz w:val="24"/>
          <w:szCs w:val="28"/>
        </w:rPr>
      </w:pPr>
      <w:r>
        <w:rPr>
          <w:rFonts w:hint="eastAsia" w:ascii="Times New Roman" w:hAnsi="Times New Roman" w:cs="Times New Roman"/>
          <w:b/>
          <w:bCs/>
          <w:i/>
          <w:iCs/>
          <w:sz w:val="24"/>
          <w:szCs w:val="28"/>
        </w:rPr>
        <w:t>V</w:t>
      </w:r>
      <w:r>
        <w:rPr>
          <w:rFonts w:ascii="Times New Roman" w:hAnsi="Times New Roman" w:cs="Times New Roman"/>
          <w:b/>
          <w:bCs/>
          <w:i/>
          <w:iCs/>
          <w:sz w:val="24"/>
          <w:szCs w:val="28"/>
          <w:vertAlign w:val="subscript"/>
        </w:rPr>
        <w:t>OC</w:t>
      </w:r>
      <w:r>
        <w:rPr>
          <w:rFonts w:ascii="Times New Roman" w:hAnsi="Times New Roman" w:cs="Times New Roman"/>
          <w:b/>
          <w:bCs/>
          <w:sz w:val="24"/>
          <w:szCs w:val="28"/>
        </w:rPr>
        <w:t xml:space="preserve"> = nkT ln(</w:t>
      </w:r>
      <w:r>
        <w:rPr>
          <w:rFonts w:ascii="Times New Roman" w:hAnsi="Times New Roman" w:cs="Times New Roman"/>
          <w:b/>
          <w:bCs/>
          <w:i/>
          <w:iCs/>
          <w:sz w:val="24"/>
          <w:szCs w:val="28"/>
        </w:rPr>
        <w:t>I</w:t>
      </w:r>
      <w:r>
        <w:rPr>
          <w:rFonts w:ascii="Times New Roman" w:hAnsi="Times New Roman" w:cs="Times New Roman"/>
          <w:b/>
          <w:bCs/>
          <w:sz w:val="24"/>
          <w:szCs w:val="28"/>
        </w:rPr>
        <w:t>)/e + constant</w:t>
      </w:r>
    </w:p>
    <w:p>
      <w:pPr>
        <w:spacing w:line="360" w:lineRule="auto"/>
        <w:rPr>
          <w:rFonts w:ascii="Times New Roman" w:hAnsi="Times New Roman" w:cs="Times New Roman"/>
          <w:sz w:val="24"/>
          <w:szCs w:val="28"/>
        </w:rPr>
      </w:pPr>
      <w:r>
        <w:rPr>
          <w:rFonts w:hint="eastAsia" w:ascii="Times New Roman" w:hAnsi="Times New Roman" w:cs="Times New Roman"/>
          <w:sz w:val="24"/>
          <w:szCs w:val="28"/>
        </w:rPr>
        <w:t>W</w:t>
      </w:r>
      <w:r>
        <w:rPr>
          <w:rFonts w:ascii="Times New Roman" w:hAnsi="Times New Roman" w:cs="Times New Roman"/>
          <w:sz w:val="24"/>
          <w:szCs w:val="28"/>
        </w:rPr>
        <w:t xml:space="preserve">here k is the Boltzmann constant, T is the absolute temperature, e is the elementary charge, </w:t>
      </w:r>
      <w:r>
        <w:rPr>
          <w:rFonts w:ascii="Times New Roman" w:hAnsi="Times New Roman" w:cs="Times New Roman"/>
          <w:i/>
          <w:iCs/>
          <w:sz w:val="24"/>
          <w:szCs w:val="28"/>
        </w:rPr>
        <w:t>I</w:t>
      </w:r>
      <w:r>
        <w:rPr>
          <w:rFonts w:ascii="Times New Roman" w:hAnsi="Times New Roman" w:cs="Times New Roman"/>
          <w:sz w:val="24"/>
          <w:szCs w:val="28"/>
        </w:rPr>
        <w:t xml:space="preserve"> is the light intensity</w:t>
      </w:r>
      <w:r>
        <w:rPr>
          <w:rFonts w:hint="eastAsia" w:ascii="Times New Roman" w:hAnsi="Times New Roman" w:cs="Times New Roman"/>
          <w:sz w:val="24"/>
          <w:szCs w:val="28"/>
        </w:rPr>
        <w:t xml:space="preserve"> </w:t>
      </w:r>
      <w:r>
        <w:rPr>
          <w:rFonts w:ascii="Times New Roman" w:hAnsi="Times New Roman" w:cs="Times New Roman"/>
          <w:sz w:val="24"/>
          <w:szCs w:val="28"/>
        </w:rPr>
        <w:t>normalized to 1 sun, and ideality factor n can be measured by different intensities.</w:t>
      </w:r>
    </w:p>
    <w:p>
      <w:pPr>
        <w:spacing w:line="360" w:lineRule="auto"/>
        <w:rPr>
          <w:rFonts w:ascii="Times New Roman" w:hAnsi="Times New Roman" w:cs="Times New Roman"/>
          <w:sz w:val="24"/>
          <w:szCs w:val="28"/>
        </w:rPr>
      </w:pPr>
    </w:p>
    <w:p>
      <w:pPr>
        <w:spacing w:line="360" w:lineRule="auto"/>
        <w:rPr>
          <w:rFonts w:ascii="Times New Roman" w:hAnsi="Times New Roman" w:cs="Times New Roman"/>
          <w:sz w:val="24"/>
          <w:szCs w:val="28"/>
        </w:rPr>
      </w:pPr>
      <w:r>
        <w:rPr>
          <w:rFonts w:ascii="Times New Roman" w:hAnsi="Times New Roman" w:cs="Times New Roman"/>
          <w:b/>
          <w:bCs/>
          <w:sz w:val="24"/>
          <w:szCs w:val="28"/>
        </w:rPr>
        <w:t xml:space="preserve">Equation 2. </w:t>
      </w:r>
      <w:r>
        <w:rPr>
          <w:rFonts w:ascii="Times New Roman" w:hAnsi="Times New Roman" w:cs="Times New Roman"/>
          <w:sz w:val="24"/>
          <w:szCs w:val="28"/>
        </w:rPr>
        <w:t xml:space="preserve">Simulation the TPV by Origin (Origin 8.5 vision) simulation equation ExpDecay 2. </w:t>
      </w:r>
    </w:p>
    <w:p>
      <w:pPr>
        <w:spacing w:line="360" w:lineRule="auto"/>
        <w:rPr>
          <w:rFonts w:ascii="Times New Roman" w:hAnsi="Times New Roman" w:cs="Times New Roman"/>
          <w:b/>
          <w:bCs/>
          <w:sz w:val="24"/>
          <w:szCs w:val="28"/>
          <w:lang w:val="de-DE"/>
        </w:rPr>
      </w:pPr>
      <w:r>
        <w:rPr>
          <w:rFonts w:ascii="Times New Roman" w:hAnsi="Times New Roman" w:cs="Times New Roman"/>
          <w:b/>
          <w:bCs/>
          <w:sz w:val="24"/>
          <w:szCs w:val="28"/>
          <w:lang w:val="de-DE"/>
        </w:rPr>
        <w:t>f (t) = Ai</w:t>
      </w:r>
      <w:r>
        <w:rPr>
          <w:b/>
          <w:bCs/>
          <w:sz w:val="32"/>
          <w:szCs w:val="18"/>
        </w:rPr>
        <w:sym w:font="Symbol" w:char="F0E5"/>
      </w:r>
      <w:r>
        <w:rPr>
          <w:rFonts w:ascii="Times New Roman" w:hAnsi="Times New Roman" w:cs="Times New Roman"/>
          <w:b/>
          <w:bCs/>
          <w:sz w:val="24"/>
          <w:szCs w:val="28"/>
          <w:lang w:val="de-DE"/>
        </w:rPr>
        <w:t xml:space="preserve"> exp (-t/</w:t>
      </w:r>
      <w:r>
        <w:rPr>
          <w:rFonts w:ascii="Times New Roman" w:hAnsi="Times New Roman" w:cs="Times New Roman"/>
          <w:b/>
          <w:bCs/>
          <w:sz w:val="24"/>
          <w:szCs w:val="28"/>
        </w:rPr>
        <w:t>τ</w:t>
      </w:r>
      <w:r>
        <w:rPr>
          <w:rFonts w:ascii="Times New Roman" w:hAnsi="Times New Roman" w:cs="Times New Roman"/>
          <w:b/>
          <w:bCs/>
          <w:sz w:val="24"/>
          <w:szCs w:val="28"/>
          <w:vertAlign w:val="subscript"/>
          <w:lang w:val="de-DE"/>
        </w:rPr>
        <w:t>i</w:t>
      </w:r>
      <w:r>
        <w:rPr>
          <w:rFonts w:ascii="Times New Roman" w:hAnsi="Times New Roman" w:cs="Times New Roman"/>
          <w:b/>
          <w:bCs/>
          <w:sz w:val="24"/>
          <w:szCs w:val="28"/>
          <w:lang w:val="de-DE"/>
        </w:rPr>
        <w:t>) +K</w:t>
      </w:r>
    </w:p>
    <w:p>
      <w:pPr>
        <w:spacing w:line="360" w:lineRule="auto"/>
        <w:rPr>
          <w:rFonts w:ascii="Times New Roman" w:hAnsi="Times New Roman" w:cs="Times New Roman"/>
          <w:sz w:val="24"/>
          <w:szCs w:val="28"/>
        </w:rPr>
      </w:pPr>
      <w:r>
        <w:rPr>
          <w:rFonts w:ascii="Times New Roman" w:hAnsi="Times New Roman" w:cs="Times New Roman"/>
          <w:sz w:val="24"/>
          <w:szCs w:val="28"/>
        </w:rPr>
        <w:t>where Ai is the decay amplitude, τ</w:t>
      </w:r>
      <w:r>
        <w:rPr>
          <w:rFonts w:ascii="Times New Roman" w:hAnsi="Times New Roman" w:cs="Times New Roman"/>
          <w:sz w:val="24"/>
          <w:szCs w:val="28"/>
          <w:vertAlign w:val="subscript"/>
        </w:rPr>
        <w:t>i</w:t>
      </w:r>
      <w:r>
        <w:rPr>
          <w:rFonts w:ascii="Times New Roman" w:hAnsi="Times New Roman" w:cs="Times New Roman"/>
          <w:sz w:val="24"/>
          <w:szCs w:val="28"/>
        </w:rPr>
        <w:t xml:space="preserve"> is the decay time, and K is a constant for the baseline offset.</w:t>
      </w:r>
    </w:p>
    <w:p>
      <w:pPr>
        <w:spacing w:line="360" w:lineRule="auto"/>
        <w:rPr>
          <w:rFonts w:ascii="Times New Roman" w:hAnsi="Times New Roman" w:cs="Times New Roman"/>
          <w:sz w:val="24"/>
          <w:szCs w:val="28"/>
        </w:rPr>
      </w:pPr>
    </w:p>
    <w:p>
      <w:pPr>
        <w:spacing w:line="360" w:lineRule="auto"/>
        <w:rPr>
          <w:rFonts w:ascii="Times New Roman" w:hAnsi="Times New Roman" w:cs="Times New Roman"/>
          <w:szCs w:val="28"/>
        </w:rPr>
      </w:pPr>
    </w:p>
    <w:p>
      <w:pPr>
        <w:widowControl/>
        <w:spacing w:line="480" w:lineRule="auto"/>
        <w:rPr>
          <w:rFonts w:ascii="Times New Roman" w:hAnsi="Times New Roman"/>
          <w:color w:val="000000"/>
          <w:kern w:val="0"/>
          <w:sz w:val="22"/>
          <w:szCs w:val="21"/>
        </w:rPr>
      </w:pPr>
      <w:r>
        <w:rPr>
          <w:rFonts w:ascii="Times New Roman" w:hAnsi="Times New Roman"/>
          <w:color w:val="000000"/>
          <w:kern w:val="0"/>
          <w:sz w:val="22"/>
          <w:szCs w:val="21"/>
        </w:rPr>
        <w:t xml:space="preserve">[1] G. Kresse, J. Hafner. Phys. Rev. B. 1993, 47, 558-561. </w:t>
      </w:r>
    </w:p>
    <w:p>
      <w:pPr>
        <w:widowControl/>
        <w:spacing w:line="480" w:lineRule="auto"/>
      </w:pPr>
      <w:r>
        <w:rPr>
          <w:rFonts w:ascii="Times New Roman" w:hAnsi="Times New Roman"/>
          <w:color w:val="000000"/>
          <w:kern w:val="0"/>
          <w:sz w:val="22"/>
          <w:szCs w:val="21"/>
        </w:rPr>
        <w:t>[2] J. P. Perdew, K.Burke, Ernzerhof, M. Phys. Rev. Lett. 1996, 77, 3865-3868.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bordersDoNotSurroundHeader w:val="1"/>
  <w:bordersDoNotSurroundFooter w:val="1"/>
  <w:documentProtection w:enforcement="0"/>
  <w:defaultTabStop w:val="720"/>
  <w:noPunctuationKerning w:val="1"/>
  <w:characterSpacingControl w:val="doNotCompress"/>
  <w:compat>
    <w:doNotExpandShiftReturn/>
    <w:useFELayout/>
    <w:compatSetting w:name="compatibilityMode" w:uri="http://schemas.microsoft.com/office/word" w:val="12"/>
  </w:compat>
  <w:docVars>
    <w:docVar w:name="commondata" w:val="eyJoZGlkIjoiNGEzN2ZkNDYwYmU1NDgzYWMyOTE2MTU1OTAzOWY1OWYifQ=="/>
  </w:docVars>
  <w:rsids>
    <w:rsidRoot w:val="00B50F66"/>
    <w:rsid w:val="00306CF2"/>
    <w:rsid w:val="00395900"/>
    <w:rsid w:val="003E11A3"/>
    <w:rsid w:val="003E4914"/>
    <w:rsid w:val="004107A0"/>
    <w:rsid w:val="004B0428"/>
    <w:rsid w:val="005B55CA"/>
    <w:rsid w:val="005C38C5"/>
    <w:rsid w:val="006B6698"/>
    <w:rsid w:val="0070584B"/>
    <w:rsid w:val="00787638"/>
    <w:rsid w:val="00810D1E"/>
    <w:rsid w:val="00830BE3"/>
    <w:rsid w:val="0090138A"/>
    <w:rsid w:val="00997A76"/>
    <w:rsid w:val="009C0272"/>
    <w:rsid w:val="009D4A88"/>
    <w:rsid w:val="00A379C4"/>
    <w:rsid w:val="00A678DF"/>
    <w:rsid w:val="00A769AA"/>
    <w:rsid w:val="00AD40F0"/>
    <w:rsid w:val="00B50F66"/>
    <w:rsid w:val="00B86C9E"/>
    <w:rsid w:val="00BB2A41"/>
    <w:rsid w:val="00BB503C"/>
    <w:rsid w:val="00BC3862"/>
    <w:rsid w:val="00BE1534"/>
    <w:rsid w:val="00BE4567"/>
    <w:rsid w:val="00C605B4"/>
    <w:rsid w:val="00CA22F6"/>
    <w:rsid w:val="00CD7FC0"/>
    <w:rsid w:val="00CE0080"/>
    <w:rsid w:val="00D11332"/>
    <w:rsid w:val="00D44D41"/>
    <w:rsid w:val="00DC0ED6"/>
    <w:rsid w:val="00DD0DBC"/>
    <w:rsid w:val="00DE0AF3"/>
    <w:rsid w:val="00DF7526"/>
    <w:rsid w:val="00E02C8D"/>
    <w:rsid w:val="00EE578D"/>
    <w:rsid w:val="00EF27E9"/>
    <w:rsid w:val="00F247A2"/>
    <w:rsid w:val="00F24989"/>
    <w:rsid w:val="00FC0AC4"/>
    <w:rsid w:val="00FE7D1A"/>
    <w:rsid w:val="02AB0F32"/>
    <w:rsid w:val="03065EF4"/>
    <w:rsid w:val="092549C8"/>
    <w:rsid w:val="0A6B4264"/>
    <w:rsid w:val="105C6AB1"/>
    <w:rsid w:val="122844CC"/>
    <w:rsid w:val="1E252779"/>
    <w:rsid w:val="218A0EFA"/>
    <w:rsid w:val="222778AF"/>
    <w:rsid w:val="290D4568"/>
    <w:rsid w:val="2B0E4F59"/>
    <w:rsid w:val="2E936DCA"/>
    <w:rsid w:val="2F3F2FC6"/>
    <w:rsid w:val="303A20E7"/>
    <w:rsid w:val="31776FA0"/>
    <w:rsid w:val="351849C1"/>
    <w:rsid w:val="35976DB6"/>
    <w:rsid w:val="38835C96"/>
    <w:rsid w:val="3BBA4C15"/>
    <w:rsid w:val="3D682D68"/>
    <w:rsid w:val="3E842AD7"/>
    <w:rsid w:val="3F0062A9"/>
    <w:rsid w:val="403458EB"/>
    <w:rsid w:val="42B76B01"/>
    <w:rsid w:val="47A27E2C"/>
    <w:rsid w:val="48415807"/>
    <w:rsid w:val="4FCC68FC"/>
    <w:rsid w:val="515D3B3F"/>
    <w:rsid w:val="54FF38A7"/>
    <w:rsid w:val="5AD41578"/>
    <w:rsid w:val="5C186ED1"/>
    <w:rsid w:val="5E4D2094"/>
    <w:rsid w:val="6A794DAE"/>
    <w:rsid w:val="6D3721AA"/>
    <w:rsid w:val="6EA528AE"/>
    <w:rsid w:val="710D6510"/>
    <w:rsid w:val="73E86D65"/>
    <w:rsid w:val="75767270"/>
    <w:rsid w:val="773D55E5"/>
    <w:rsid w:val="77DD01E9"/>
    <w:rsid w:val="78B96EEE"/>
    <w:rsid w:val="7A1B0F8E"/>
    <w:rsid w:val="7E2B7832"/>
    <w:rsid w:val="7F0574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pPr>
      <w:widowControl w:val="0"/>
      <w:jc w:val="both"/>
    </w:pPr>
    <w:rPr>
      <w:kern w:val="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unhideWhenUsed/>
    <w:qFormat/>
    <w:uiPriority w:val="99"/>
    <w:rPr>
      <w:color w:val="0563C1" w:themeColor="hyperlink"/>
      <w:u w:val="single"/>
    </w:rPr>
  </w:style>
  <w:style w:type="character" w:customStyle="1" w:styleId="9">
    <w:name w:val="页眉 Char"/>
    <w:basedOn w:val="7"/>
    <w:link w:val="3"/>
    <w:qFormat/>
    <w:uiPriority w:val="99"/>
    <w:rPr>
      <w:kern w:val="2"/>
      <w:sz w:val="18"/>
      <w:szCs w:val="18"/>
      <w:lang w:val="en-US"/>
    </w:rPr>
  </w:style>
  <w:style w:type="character" w:customStyle="1" w:styleId="10">
    <w:name w:val="页脚 Char"/>
    <w:basedOn w:val="7"/>
    <w:link w:val="2"/>
    <w:qFormat/>
    <w:uiPriority w:val="99"/>
    <w:rPr>
      <w:kern w:val="2"/>
      <w:sz w:val="18"/>
      <w:szCs w:val="18"/>
      <w:lang w:val="en-US"/>
    </w:rPr>
  </w:style>
  <w:style w:type="character" w:customStyle="1" w:styleId="11">
    <w:name w:val="font21"/>
    <w:basedOn w:val="7"/>
    <w:qFormat/>
    <w:uiPriority w:val="0"/>
    <w:rPr>
      <w:color w:val="000000"/>
    </w:rPr>
  </w:style>
  <w:style w:type="paragraph" w:customStyle="1" w:styleId="12">
    <w:name w:val="RSC H01 Paper Title"/>
    <w:basedOn w:val="1"/>
    <w:next w:val="1"/>
    <w:link w:val="13"/>
    <w:qFormat/>
    <w:uiPriority w:val="0"/>
    <w:pPr>
      <w:tabs>
        <w:tab w:val="left" w:pos="284"/>
      </w:tabs>
      <w:spacing w:before="400" w:after="160"/>
    </w:pPr>
    <w:rPr>
      <w:rFonts w:cs="Times New Roman"/>
      <w:b/>
      <w:sz w:val="29"/>
      <w:szCs w:val="32"/>
    </w:rPr>
  </w:style>
  <w:style w:type="character" w:customStyle="1" w:styleId="13">
    <w:name w:val="RSC H01 Paper Title Char"/>
    <w:basedOn w:val="7"/>
    <w:link w:val="12"/>
    <w:qFormat/>
    <w:uiPriority w:val="0"/>
    <w:rPr>
      <w:rFonts w:asciiTheme="minorHAnsi" w:hAnsiTheme="minorHAnsi" w:eastAsiaTheme="minorEastAsia"/>
      <w:b/>
      <w:kern w:val="2"/>
      <w:sz w:val="29"/>
      <w:szCs w:val="32"/>
      <w:lang w:eastAsia="zh-CN"/>
    </w:rPr>
  </w:style>
  <w:style w:type="paragraph" w:customStyle="1" w:styleId="14">
    <w:name w:val="RSC B01 ART Abstract"/>
    <w:basedOn w:val="1"/>
    <w:qFormat/>
    <w:uiPriority w:val="0"/>
    <w:pPr>
      <w:spacing w:line="240" w:lineRule="exact"/>
      <w:jc w:val="both"/>
    </w:pPr>
    <w:rPr>
      <w:sz w:val="16"/>
      <w:lang w:eastAsia="en-GB"/>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7.emf"/><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1066</Words>
  <Characters>5838</Characters>
  <Lines>47</Lines>
  <Paragraphs>13</Paragraphs>
  <TotalTime>2</TotalTime>
  <ScaleCrop>false</ScaleCrop>
  <LinksUpToDate>false</LinksUpToDate>
  <CharactersWithSpaces>6863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2021-12-10T08:39:00Z</dcterms:created>
  <dc:creator>XU Yile</dc:creator>
  <cp:lastModifiedBy>张普涛</cp:lastModifiedBy>
  <dcterms:modified xsi:type="dcterms:W3CDTF">2022-11-28T01:31:46Z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40D1F7028EC4419CB90BA3D3286ABF05</vt:lpwstr>
  </property>
</Properties>
</file>