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E95B0C" w14:textId="77777777" w:rsidR="005A5C01" w:rsidRDefault="008C226D">
      <w:pPr>
        <w:jc w:val="center"/>
        <w:rPr>
          <w:rFonts w:ascii="Times New Roman" w:hAnsi="Times New Roman" w:cs="Times New Roman"/>
          <w:szCs w:val="21"/>
        </w:rPr>
      </w:pPr>
      <w:r>
        <w:rPr>
          <w:rFonts w:ascii="Times New Roman" w:hAnsi="Times New Roman" w:cs="Times New Roman"/>
          <w:szCs w:val="21"/>
        </w:rPr>
        <w:t xml:space="preserve">Table 1: </w:t>
      </w:r>
      <w:r>
        <w:rPr>
          <w:rFonts w:ascii="Times New Roman" w:hAnsi="Times New Roman" w:cs="Times New Roman"/>
          <w:szCs w:val="21"/>
        </w:rPr>
        <w:t>Characteristics of the included cohort studies and RCTs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5"/>
        <w:gridCol w:w="576"/>
        <w:gridCol w:w="902"/>
        <w:gridCol w:w="701"/>
        <w:gridCol w:w="732"/>
        <w:gridCol w:w="732"/>
        <w:gridCol w:w="765"/>
        <w:gridCol w:w="768"/>
        <w:gridCol w:w="680"/>
        <w:gridCol w:w="658"/>
        <w:gridCol w:w="629"/>
        <w:gridCol w:w="592"/>
        <w:gridCol w:w="649"/>
        <w:gridCol w:w="720"/>
        <w:gridCol w:w="848"/>
        <w:gridCol w:w="1372"/>
        <w:gridCol w:w="1185"/>
        <w:gridCol w:w="760"/>
      </w:tblGrid>
      <w:tr w:rsidR="005A5C01" w14:paraId="1B3E1B5B" w14:textId="77777777">
        <w:tc>
          <w:tcPr>
            <w:tcW w:w="319" w:type="pct"/>
            <w:vMerge w:val="restart"/>
            <w:tcBorders>
              <w:top w:val="single" w:sz="4" w:space="0" w:color="auto"/>
            </w:tcBorders>
            <w:vAlign w:val="center"/>
          </w:tcPr>
          <w:p w14:paraId="3A56CD7A"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First Author and Year</w:t>
            </w:r>
          </w:p>
        </w:tc>
        <w:tc>
          <w:tcPr>
            <w:tcW w:w="203" w:type="pct"/>
            <w:vMerge w:val="restart"/>
            <w:tcBorders>
              <w:top w:val="single" w:sz="4" w:space="0" w:color="auto"/>
            </w:tcBorders>
            <w:vAlign w:val="center"/>
          </w:tcPr>
          <w:p w14:paraId="2F158D4D"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hint="eastAsia"/>
                <w:b/>
                <w:bCs/>
                <w:sz w:val="15"/>
                <w:szCs w:val="15"/>
              </w:rPr>
              <w:t>S</w:t>
            </w:r>
            <w:r>
              <w:rPr>
                <w:rFonts w:ascii="Times New Roman" w:hAnsi="Times New Roman" w:cs="Times New Roman"/>
                <w:b/>
                <w:bCs/>
                <w:sz w:val="15"/>
                <w:szCs w:val="15"/>
              </w:rPr>
              <w:t>tudy Design</w:t>
            </w:r>
          </w:p>
        </w:tc>
        <w:tc>
          <w:tcPr>
            <w:tcW w:w="318" w:type="pct"/>
            <w:vMerge w:val="restart"/>
            <w:tcBorders>
              <w:top w:val="single" w:sz="4" w:space="0" w:color="auto"/>
            </w:tcBorders>
            <w:shd w:val="clear" w:color="auto" w:fill="auto"/>
            <w:vAlign w:val="center"/>
          </w:tcPr>
          <w:p w14:paraId="68DA7D7D"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Geographical Location</w:t>
            </w:r>
          </w:p>
        </w:tc>
        <w:tc>
          <w:tcPr>
            <w:tcW w:w="247" w:type="pct"/>
            <w:vMerge w:val="restart"/>
            <w:tcBorders>
              <w:top w:val="single" w:sz="4" w:space="0" w:color="auto"/>
            </w:tcBorders>
            <w:shd w:val="clear" w:color="auto" w:fill="auto"/>
            <w:vAlign w:val="center"/>
          </w:tcPr>
          <w:p w14:paraId="210D1F4B"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Funding Sources</w:t>
            </w:r>
          </w:p>
        </w:tc>
        <w:tc>
          <w:tcPr>
            <w:tcW w:w="258" w:type="pct"/>
            <w:vMerge w:val="restart"/>
            <w:tcBorders>
              <w:top w:val="single" w:sz="4" w:space="0" w:color="auto"/>
            </w:tcBorders>
            <w:shd w:val="clear" w:color="auto" w:fill="auto"/>
            <w:vAlign w:val="center"/>
          </w:tcPr>
          <w:p w14:paraId="0F7655E4"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D</w:t>
            </w:r>
            <w:r>
              <w:rPr>
                <w:rFonts w:ascii="Times New Roman" w:hAnsi="Times New Roman" w:cs="Times New Roman" w:hint="eastAsia"/>
                <w:b/>
                <w:bCs/>
                <w:sz w:val="15"/>
                <w:szCs w:val="15"/>
              </w:rPr>
              <w:t xml:space="preserve">uration of </w:t>
            </w:r>
            <w:r>
              <w:rPr>
                <w:rFonts w:ascii="Times New Roman" w:hAnsi="Times New Roman" w:cs="Times New Roman"/>
                <w:b/>
                <w:bCs/>
                <w:sz w:val="15"/>
                <w:szCs w:val="15"/>
              </w:rPr>
              <w:t>A</w:t>
            </w:r>
            <w:r>
              <w:rPr>
                <w:rFonts w:ascii="Times New Roman" w:hAnsi="Times New Roman" w:cs="Times New Roman" w:hint="eastAsia"/>
                <w:b/>
                <w:bCs/>
                <w:sz w:val="15"/>
                <w:szCs w:val="15"/>
              </w:rPr>
              <w:t>llocation</w:t>
            </w:r>
          </w:p>
        </w:tc>
        <w:tc>
          <w:tcPr>
            <w:tcW w:w="258" w:type="pct"/>
            <w:vMerge w:val="restart"/>
            <w:tcBorders>
              <w:top w:val="single" w:sz="4" w:space="0" w:color="auto"/>
            </w:tcBorders>
            <w:shd w:val="clear" w:color="auto" w:fill="auto"/>
            <w:vAlign w:val="center"/>
          </w:tcPr>
          <w:p w14:paraId="49C9D6E8"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Race</w:t>
            </w:r>
          </w:p>
        </w:tc>
        <w:tc>
          <w:tcPr>
            <w:tcW w:w="270" w:type="pct"/>
            <w:vMerge w:val="restart"/>
            <w:tcBorders>
              <w:top w:val="single" w:sz="4" w:space="0" w:color="auto"/>
            </w:tcBorders>
            <w:shd w:val="clear" w:color="auto" w:fill="auto"/>
            <w:vAlign w:val="center"/>
          </w:tcPr>
          <w:p w14:paraId="5F465C45"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Cancer</w:t>
            </w:r>
          </w:p>
        </w:tc>
        <w:tc>
          <w:tcPr>
            <w:tcW w:w="271" w:type="pct"/>
            <w:vMerge w:val="restart"/>
            <w:tcBorders>
              <w:top w:val="single" w:sz="4" w:space="0" w:color="auto"/>
            </w:tcBorders>
            <w:shd w:val="clear" w:color="auto" w:fill="auto"/>
            <w:vAlign w:val="center"/>
          </w:tcPr>
          <w:p w14:paraId="294EA2AD"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Duration of Treatment</w:t>
            </w:r>
          </w:p>
        </w:tc>
        <w:tc>
          <w:tcPr>
            <w:tcW w:w="240" w:type="pct"/>
            <w:vMerge w:val="restart"/>
            <w:tcBorders>
              <w:top w:val="single" w:sz="4" w:space="0" w:color="auto"/>
            </w:tcBorders>
          </w:tcPr>
          <w:p w14:paraId="48C397FF"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Duration of Follow-up</w:t>
            </w:r>
          </w:p>
        </w:tc>
        <w:tc>
          <w:tcPr>
            <w:tcW w:w="232" w:type="pct"/>
            <w:vMerge w:val="restart"/>
            <w:tcBorders>
              <w:top w:val="single" w:sz="4" w:space="0" w:color="auto"/>
            </w:tcBorders>
            <w:shd w:val="clear" w:color="auto" w:fill="auto"/>
            <w:vAlign w:val="center"/>
          </w:tcPr>
          <w:p w14:paraId="12AAE09D"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Number</w:t>
            </w:r>
          </w:p>
          <w:p w14:paraId="4077ABBF"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hint="eastAsia"/>
                <w:b/>
                <w:bCs/>
                <w:sz w:val="15"/>
                <w:szCs w:val="15"/>
              </w:rPr>
              <w:t>(</w:t>
            </w:r>
            <w:r>
              <w:rPr>
                <w:rFonts w:ascii="Times New Roman" w:hAnsi="Times New Roman" w:cs="Times New Roman"/>
                <w:b/>
                <w:bCs/>
                <w:sz w:val="15"/>
                <w:szCs w:val="15"/>
              </w:rPr>
              <w:t>T/C)</w:t>
            </w:r>
          </w:p>
        </w:tc>
        <w:tc>
          <w:tcPr>
            <w:tcW w:w="431" w:type="pct"/>
            <w:gridSpan w:val="2"/>
            <w:tcBorders>
              <w:top w:val="single" w:sz="4" w:space="0" w:color="auto"/>
            </w:tcBorders>
            <w:shd w:val="clear" w:color="auto" w:fill="auto"/>
            <w:vAlign w:val="center"/>
          </w:tcPr>
          <w:p w14:paraId="4A048784"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Mean Age</w:t>
            </w:r>
          </w:p>
          <w:p w14:paraId="2ACFB795"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(years)</w:t>
            </w:r>
          </w:p>
        </w:tc>
        <w:tc>
          <w:tcPr>
            <w:tcW w:w="483" w:type="pct"/>
            <w:gridSpan w:val="2"/>
            <w:tcBorders>
              <w:top w:val="single" w:sz="4" w:space="0" w:color="auto"/>
            </w:tcBorders>
            <w:vAlign w:val="center"/>
          </w:tcPr>
          <w:p w14:paraId="7DC2A6CB"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Sex</w:t>
            </w:r>
          </w:p>
          <w:p w14:paraId="2F85A784"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(male/female)</w:t>
            </w:r>
          </w:p>
        </w:tc>
        <w:tc>
          <w:tcPr>
            <w:tcW w:w="299" w:type="pct"/>
            <w:vMerge w:val="restart"/>
            <w:tcBorders>
              <w:top w:val="single" w:sz="4" w:space="0" w:color="auto"/>
            </w:tcBorders>
            <w:vAlign w:val="center"/>
          </w:tcPr>
          <w:p w14:paraId="357850D7"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Anthracyclines</w:t>
            </w:r>
          </w:p>
        </w:tc>
        <w:tc>
          <w:tcPr>
            <w:tcW w:w="484" w:type="pct"/>
            <w:vMerge w:val="restart"/>
            <w:tcBorders>
              <w:top w:val="single" w:sz="4" w:space="0" w:color="auto"/>
            </w:tcBorders>
            <w:vAlign w:val="center"/>
          </w:tcPr>
          <w:p w14:paraId="63C2126F"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hint="eastAsia"/>
                <w:b/>
                <w:bCs/>
                <w:sz w:val="15"/>
                <w:szCs w:val="15"/>
              </w:rPr>
              <w:t>T</w:t>
            </w:r>
            <w:r>
              <w:rPr>
                <w:rFonts w:ascii="Times New Roman" w:hAnsi="Times New Roman" w:cs="Times New Roman"/>
                <w:b/>
                <w:bCs/>
                <w:sz w:val="15"/>
                <w:szCs w:val="15"/>
              </w:rPr>
              <w:t>reatment</w:t>
            </w:r>
          </w:p>
        </w:tc>
        <w:tc>
          <w:tcPr>
            <w:tcW w:w="418" w:type="pct"/>
            <w:vMerge w:val="restart"/>
            <w:tcBorders>
              <w:top w:val="single" w:sz="4" w:space="0" w:color="auto"/>
            </w:tcBorders>
            <w:vAlign w:val="center"/>
          </w:tcPr>
          <w:p w14:paraId="274A0D5C"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hint="eastAsia"/>
                <w:b/>
                <w:bCs/>
                <w:sz w:val="15"/>
                <w:szCs w:val="15"/>
              </w:rPr>
              <w:t>C</w:t>
            </w:r>
            <w:r>
              <w:rPr>
                <w:rFonts w:ascii="Times New Roman" w:hAnsi="Times New Roman" w:cs="Times New Roman"/>
                <w:b/>
                <w:bCs/>
                <w:sz w:val="15"/>
                <w:szCs w:val="15"/>
              </w:rPr>
              <w:t>ontrol</w:t>
            </w:r>
          </w:p>
        </w:tc>
        <w:tc>
          <w:tcPr>
            <w:tcW w:w="268" w:type="pct"/>
            <w:vMerge w:val="restart"/>
            <w:tcBorders>
              <w:top w:val="single" w:sz="4" w:space="0" w:color="auto"/>
            </w:tcBorders>
            <w:vAlign w:val="center"/>
          </w:tcPr>
          <w:p w14:paraId="5EEF3E83"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hint="eastAsia"/>
                <w:b/>
                <w:bCs/>
                <w:sz w:val="15"/>
                <w:szCs w:val="15"/>
              </w:rPr>
              <w:t>Quality Scores</w:t>
            </w:r>
            <w:r>
              <w:rPr>
                <w:rFonts w:ascii="Times New Roman" w:hAnsi="Times New Roman" w:cs="Times New Roman"/>
                <w:b/>
                <w:bCs/>
                <w:sz w:val="15"/>
                <w:szCs w:val="15"/>
              </w:rPr>
              <w:t>*</w:t>
            </w:r>
          </w:p>
        </w:tc>
      </w:tr>
      <w:tr w:rsidR="005A5C01" w14:paraId="0C48F1C2" w14:textId="77777777">
        <w:tc>
          <w:tcPr>
            <w:tcW w:w="319" w:type="pct"/>
            <w:vMerge/>
            <w:tcBorders>
              <w:bottom w:val="single" w:sz="4" w:space="0" w:color="auto"/>
            </w:tcBorders>
            <w:vAlign w:val="center"/>
          </w:tcPr>
          <w:p w14:paraId="38AC3DE3" w14:textId="77777777" w:rsidR="005A5C01" w:rsidRDefault="005A5C01">
            <w:pPr>
              <w:spacing w:line="160" w:lineRule="exact"/>
              <w:jc w:val="center"/>
              <w:rPr>
                <w:rFonts w:ascii="Times New Roman" w:hAnsi="Times New Roman" w:cs="Times New Roman"/>
                <w:b/>
                <w:bCs/>
                <w:sz w:val="15"/>
                <w:szCs w:val="15"/>
              </w:rPr>
            </w:pPr>
          </w:p>
        </w:tc>
        <w:tc>
          <w:tcPr>
            <w:tcW w:w="203" w:type="pct"/>
            <w:vMerge/>
            <w:tcBorders>
              <w:bottom w:val="single" w:sz="4" w:space="0" w:color="auto"/>
            </w:tcBorders>
            <w:vAlign w:val="center"/>
          </w:tcPr>
          <w:p w14:paraId="42CF0069" w14:textId="77777777" w:rsidR="005A5C01" w:rsidRDefault="005A5C01">
            <w:pPr>
              <w:spacing w:line="160" w:lineRule="exact"/>
              <w:jc w:val="center"/>
              <w:rPr>
                <w:rFonts w:ascii="Times New Roman" w:hAnsi="Times New Roman" w:cs="Times New Roman"/>
                <w:b/>
                <w:bCs/>
                <w:sz w:val="15"/>
                <w:szCs w:val="15"/>
              </w:rPr>
            </w:pPr>
          </w:p>
        </w:tc>
        <w:tc>
          <w:tcPr>
            <w:tcW w:w="318" w:type="pct"/>
            <w:vMerge/>
            <w:tcBorders>
              <w:bottom w:val="single" w:sz="4" w:space="0" w:color="auto"/>
            </w:tcBorders>
            <w:shd w:val="clear" w:color="auto" w:fill="auto"/>
            <w:vAlign w:val="center"/>
          </w:tcPr>
          <w:p w14:paraId="1A4F98E9" w14:textId="77777777" w:rsidR="005A5C01" w:rsidRDefault="005A5C01">
            <w:pPr>
              <w:spacing w:line="160" w:lineRule="exact"/>
              <w:jc w:val="center"/>
              <w:rPr>
                <w:rFonts w:ascii="Times New Roman" w:hAnsi="Times New Roman" w:cs="Times New Roman"/>
                <w:b/>
                <w:bCs/>
                <w:sz w:val="15"/>
                <w:szCs w:val="15"/>
              </w:rPr>
            </w:pPr>
          </w:p>
        </w:tc>
        <w:tc>
          <w:tcPr>
            <w:tcW w:w="247" w:type="pct"/>
            <w:vMerge/>
            <w:tcBorders>
              <w:bottom w:val="single" w:sz="4" w:space="0" w:color="auto"/>
            </w:tcBorders>
            <w:shd w:val="clear" w:color="auto" w:fill="auto"/>
            <w:vAlign w:val="center"/>
          </w:tcPr>
          <w:p w14:paraId="7AA9D12C" w14:textId="77777777" w:rsidR="005A5C01" w:rsidRDefault="005A5C01">
            <w:pPr>
              <w:spacing w:line="160" w:lineRule="exact"/>
              <w:jc w:val="center"/>
              <w:rPr>
                <w:rFonts w:ascii="Times New Roman" w:hAnsi="Times New Roman" w:cs="Times New Roman"/>
                <w:b/>
                <w:bCs/>
                <w:sz w:val="15"/>
                <w:szCs w:val="15"/>
              </w:rPr>
            </w:pPr>
          </w:p>
        </w:tc>
        <w:tc>
          <w:tcPr>
            <w:tcW w:w="258" w:type="pct"/>
            <w:vMerge/>
            <w:tcBorders>
              <w:bottom w:val="single" w:sz="4" w:space="0" w:color="auto"/>
            </w:tcBorders>
            <w:shd w:val="clear" w:color="auto" w:fill="auto"/>
            <w:vAlign w:val="center"/>
          </w:tcPr>
          <w:p w14:paraId="5FCA7D78" w14:textId="77777777" w:rsidR="005A5C01" w:rsidRDefault="005A5C01">
            <w:pPr>
              <w:spacing w:line="160" w:lineRule="exact"/>
              <w:jc w:val="center"/>
              <w:rPr>
                <w:rFonts w:ascii="Times New Roman" w:hAnsi="Times New Roman" w:cs="Times New Roman"/>
                <w:b/>
                <w:bCs/>
                <w:sz w:val="15"/>
                <w:szCs w:val="15"/>
              </w:rPr>
            </w:pPr>
          </w:p>
        </w:tc>
        <w:tc>
          <w:tcPr>
            <w:tcW w:w="258" w:type="pct"/>
            <w:vMerge/>
            <w:tcBorders>
              <w:bottom w:val="single" w:sz="4" w:space="0" w:color="auto"/>
            </w:tcBorders>
            <w:shd w:val="clear" w:color="auto" w:fill="auto"/>
            <w:vAlign w:val="center"/>
          </w:tcPr>
          <w:p w14:paraId="763C416D" w14:textId="77777777" w:rsidR="005A5C01" w:rsidRDefault="005A5C01">
            <w:pPr>
              <w:spacing w:line="160" w:lineRule="exact"/>
              <w:jc w:val="center"/>
              <w:rPr>
                <w:rFonts w:ascii="Times New Roman" w:hAnsi="Times New Roman" w:cs="Times New Roman"/>
                <w:b/>
                <w:bCs/>
                <w:sz w:val="15"/>
                <w:szCs w:val="15"/>
              </w:rPr>
            </w:pPr>
          </w:p>
        </w:tc>
        <w:tc>
          <w:tcPr>
            <w:tcW w:w="270" w:type="pct"/>
            <w:vMerge/>
            <w:tcBorders>
              <w:bottom w:val="single" w:sz="4" w:space="0" w:color="auto"/>
            </w:tcBorders>
            <w:shd w:val="clear" w:color="auto" w:fill="auto"/>
            <w:vAlign w:val="center"/>
          </w:tcPr>
          <w:p w14:paraId="00A6F4D4" w14:textId="77777777" w:rsidR="005A5C01" w:rsidRDefault="005A5C01">
            <w:pPr>
              <w:spacing w:line="160" w:lineRule="exact"/>
              <w:jc w:val="center"/>
              <w:rPr>
                <w:rFonts w:ascii="Times New Roman" w:hAnsi="Times New Roman" w:cs="Times New Roman"/>
                <w:b/>
                <w:bCs/>
                <w:sz w:val="15"/>
                <w:szCs w:val="15"/>
              </w:rPr>
            </w:pPr>
          </w:p>
        </w:tc>
        <w:tc>
          <w:tcPr>
            <w:tcW w:w="271" w:type="pct"/>
            <w:vMerge/>
            <w:tcBorders>
              <w:bottom w:val="single" w:sz="4" w:space="0" w:color="auto"/>
            </w:tcBorders>
            <w:shd w:val="clear" w:color="auto" w:fill="auto"/>
            <w:vAlign w:val="center"/>
          </w:tcPr>
          <w:p w14:paraId="200B10CE" w14:textId="77777777" w:rsidR="005A5C01" w:rsidRDefault="005A5C01">
            <w:pPr>
              <w:spacing w:line="160" w:lineRule="exact"/>
              <w:jc w:val="center"/>
              <w:rPr>
                <w:rFonts w:ascii="Times New Roman" w:hAnsi="Times New Roman" w:cs="Times New Roman"/>
                <w:b/>
                <w:bCs/>
                <w:sz w:val="15"/>
                <w:szCs w:val="15"/>
              </w:rPr>
            </w:pPr>
          </w:p>
        </w:tc>
        <w:tc>
          <w:tcPr>
            <w:tcW w:w="240" w:type="pct"/>
            <w:vMerge/>
            <w:tcBorders>
              <w:bottom w:val="single" w:sz="4" w:space="0" w:color="auto"/>
            </w:tcBorders>
          </w:tcPr>
          <w:p w14:paraId="6390739F" w14:textId="77777777" w:rsidR="005A5C01" w:rsidRDefault="005A5C01">
            <w:pPr>
              <w:spacing w:line="160" w:lineRule="exact"/>
              <w:jc w:val="center"/>
              <w:rPr>
                <w:rFonts w:ascii="Times New Roman" w:hAnsi="Times New Roman" w:cs="Times New Roman"/>
                <w:b/>
                <w:bCs/>
                <w:sz w:val="15"/>
                <w:szCs w:val="15"/>
              </w:rPr>
            </w:pPr>
          </w:p>
        </w:tc>
        <w:tc>
          <w:tcPr>
            <w:tcW w:w="232" w:type="pct"/>
            <w:vMerge/>
            <w:tcBorders>
              <w:bottom w:val="single" w:sz="4" w:space="0" w:color="auto"/>
            </w:tcBorders>
            <w:shd w:val="clear" w:color="auto" w:fill="auto"/>
            <w:vAlign w:val="center"/>
          </w:tcPr>
          <w:p w14:paraId="37B0765D" w14:textId="77777777" w:rsidR="005A5C01" w:rsidRDefault="005A5C01">
            <w:pPr>
              <w:spacing w:line="160" w:lineRule="exact"/>
              <w:jc w:val="center"/>
              <w:rPr>
                <w:rFonts w:ascii="Times New Roman" w:hAnsi="Times New Roman" w:cs="Times New Roman"/>
                <w:b/>
                <w:bCs/>
                <w:sz w:val="15"/>
                <w:szCs w:val="15"/>
              </w:rPr>
            </w:pPr>
          </w:p>
        </w:tc>
        <w:tc>
          <w:tcPr>
            <w:tcW w:w="222" w:type="pct"/>
            <w:tcBorders>
              <w:bottom w:val="single" w:sz="4" w:space="0" w:color="auto"/>
            </w:tcBorders>
            <w:shd w:val="clear" w:color="auto" w:fill="auto"/>
            <w:vAlign w:val="center"/>
          </w:tcPr>
          <w:p w14:paraId="07B9969F"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T</w:t>
            </w:r>
          </w:p>
        </w:tc>
        <w:tc>
          <w:tcPr>
            <w:tcW w:w="209" w:type="pct"/>
            <w:tcBorders>
              <w:bottom w:val="single" w:sz="4" w:space="0" w:color="auto"/>
            </w:tcBorders>
            <w:shd w:val="clear" w:color="auto" w:fill="auto"/>
            <w:vAlign w:val="center"/>
          </w:tcPr>
          <w:p w14:paraId="75D3F427"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C</w:t>
            </w:r>
          </w:p>
        </w:tc>
        <w:tc>
          <w:tcPr>
            <w:tcW w:w="229" w:type="pct"/>
            <w:tcBorders>
              <w:bottom w:val="single" w:sz="4" w:space="0" w:color="auto"/>
            </w:tcBorders>
            <w:shd w:val="clear" w:color="auto" w:fill="auto"/>
            <w:vAlign w:val="center"/>
          </w:tcPr>
          <w:p w14:paraId="5F4A6451"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T</w:t>
            </w:r>
          </w:p>
        </w:tc>
        <w:tc>
          <w:tcPr>
            <w:tcW w:w="254" w:type="pct"/>
            <w:tcBorders>
              <w:bottom w:val="single" w:sz="4" w:space="0" w:color="auto"/>
            </w:tcBorders>
            <w:shd w:val="clear" w:color="auto" w:fill="auto"/>
            <w:vAlign w:val="center"/>
          </w:tcPr>
          <w:p w14:paraId="43F763D9" w14:textId="77777777" w:rsidR="005A5C01" w:rsidRDefault="008C226D">
            <w:pPr>
              <w:spacing w:line="160" w:lineRule="exact"/>
              <w:jc w:val="center"/>
              <w:rPr>
                <w:rFonts w:ascii="Times New Roman" w:hAnsi="Times New Roman" w:cs="Times New Roman"/>
                <w:b/>
                <w:bCs/>
                <w:sz w:val="15"/>
                <w:szCs w:val="15"/>
              </w:rPr>
            </w:pPr>
            <w:r>
              <w:rPr>
                <w:rFonts w:ascii="Times New Roman" w:hAnsi="Times New Roman" w:cs="Times New Roman"/>
                <w:b/>
                <w:bCs/>
                <w:sz w:val="15"/>
                <w:szCs w:val="15"/>
              </w:rPr>
              <w:t>C</w:t>
            </w:r>
          </w:p>
        </w:tc>
        <w:tc>
          <w:tcPr>
            <w:tcW w:w="299" w:type="pct"/>
            <w:vMerge/>
            <w:tcBorders>
              <w:bottom w:val="single" w:sz="4" w:space="0" w:color="auto"/>
            </w:tcBorders>
          </w:tcPr>
          <w:p w14:paraId="04BE4F4E" w14:textId="77777777" w:rsidR="005A5C01" w:rsidRDefault="005A5C01">
            <w:pPr>
              <w:spacing w:line="160" w:lineRule="exact"/>
              <w:jc w:val="center"/>
              <w:rPr>
                <w:rFonts w:ascii="Times New Roman" w:hAnsi="Times New Roman" w:cs="Times New Roman"/>
                <w:b/>
                <w:bCs/>
                <w:sz w:val="15"/>
                <w:szCs w:val="15"/>
              </w:rPr>
            </w:pPr>
          </w:p>
        </w:tc>
        <w:tc>
          <w:tcPr>
            <w:tcW w:w="484" w:type="pct"/>
            <w:vMerge/>
            <w:tcBorders>
              <w:bottom w:val="single" w:sz="4" w:space="0" w:color="auto"/>
            </w:tcBorders>
            <w:vAlign w:val="center"/>
          </w:tcPr>
          <w:p w14:paraId="13F52427" w14:textId="77777777" w:rsidR="005A5C01" w:rsidRDefault="005A5C01">
            <w:pPr>
              <w:spacing w:line="160" w:lineRule="exact"/>
              <w:jc w:val="center"/>
              <w:rPr>
                <w:rFonts w:ascii="Times New Roman" w:hAnsi="Times New Roman" w:cs="Times New Roman"/>
                <w:b/>
                <w:bCs/>
                <w:sz w:val="15"/>
                <w:szCs w:val="15"/>
              </w:rPr>
            </w:pPr>
          </w:p>
        </w:tc>
        <w:tc>
          <w:tcPr>
            <w:tcW w:w="418" w:type="pct"/>
            <w:vMerge/>
            <w:tcBorders>
              <w:bottom w:val="single" w:sz="4" w:space="0" w:color="auto"/>
            </w:tcBorders>
            <w:vAlign w:val="center"/>
          </w:tcPr>
          <w:p w14:paraId="3E78A437" w14:textId="77777777" w:rsidR="005A5C01" w:rsidRDefault="005A5C01">
            <w:pPr>
              <w:spacing w:line="160" w:lineRule="exact"/>
              <w:jc w:val="center"/>
              <w:rPr>
                <w:rFonts w:ascii="Times New Roman" w:hAnsi="Times New Roman" w:cs="Times New Roman"/>
                <w:b/>
                <w:bCs/>
                <w:sz w:val="15"/>
                <w:szCs w:val="15"/>
              </w:rPr>
            </w:pPr>
          </w:p>
        </w:tc>
        <w:tc>
          <w:tcPr>
            <w:tcW w:w="268" w:type="pct"/>
            <w:vMerge/>
            <w:tcBorders>
              <w:bottom w:val="single" w:sz="4" w:space="0" w:color="auto"/>
            </w:tcBorders>
            <w:vAlign w:val="center"/>
          </w:tcPr>
          <w:p w14:paraId="3540A6BA" w14:textId="77777777" w:rsidR="005A5C01" w:rsidRDefault="005A5C01">
            <w:pPr>
              <w:spacing w:line="160" w:lineRule="exact"/>
              <w:jc w:val="center"/>
              <w:rPr>
                <w:rFonts w:ascii="Times New Roman" w:hAnsi="Times New Roman" w:cs="Times New Roman"/>
                <w:b/>
                <w:bCs/>
                <w:sz w:val="15"/>
                <w:szCs w:val="15"/>
              </w:rPr>
            </w:pPr>
          </w:p>
        </w:tc>
      </w:tr>
      <w:tr w:rsidR="005A5C01" w14:paraId="12F58B49" w14:textId="77777777">
        <w:tc>
          <w:tcPr>
            <w:tcW w:w="319" w:type="pct"/>
            <w:tcBorders>
              <w:top w:val="single" w:sz="4" w:space="0" w:color="auto"/>
            </w:tcBorders>
            <w:vAlign w:val="center"/>
          </w:tcPr>
          <w:p w14:paraId="656F5E31"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Valagussa 1994</w:t>
            </w:r>
            <w:r>
              <w:rPr>
                <w:rStyle w:val="EndnoteReference"/>
                <w:rFonts w:ascii="Times New Roman" w:hAnsi="Times New Roman" w:cs="Times New Roman"/>
                <w:sz w:val="11"/>
                <w:szCs w:val="11"/>
              </w:rPr>
              <w:endnoteReference w:id="1"/>
            </w:r>
          </w:p>
        </w:tc>
        <w:tc>
          <w:tcPr>
            <w:tcW w:w="203" w:type="pct"/>
            <w:tcBorders>
              <w:top w:val="single" w:sz="4" w:space="0" w:color="auto"/>
            </w:tcBorders>
            <w:shd w:val="clear" w:color="auto" w:fill="auto"/>
            <w:vAlign w:val="center"/>
          </w:tcPr>
          <w:p w14:paraId="7C7D58E9"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C</w:t>
            </w:r>
            <w:r>
              <w:rPr>
                <w:rFonts w:ascii="Times New Roman" w:hAnsi="Times New Roman" w:cs="Times New Roman"/>
                <w:color w:val="000000"/>
                <w:sz w:val="11"/>
                <w:szCs w:val="11"/>
              </w:rPr>
              <w:t>ohort study</w:t>
            </w:r>
          </w:p>
        </w:tc>
        <w:tc>
          <w:tcPr>
            <w:tcW w:w="318" w:type="pct"/>
            <w:tcBorders>
              <w:top w:val="single" w:sz="4" w:space="0" w:color="auto"/>
            </w:tcBorders>
            <w:shd w:val="clear" w:color="auto" w:fill="auto"/>
            <w:vAlign w:val="center"/>
          </w:tcPr>
          <w:p w14:paraId="6FC8DE0D"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Italy</w:t>
            </w:r>
          </w:p>
        </w:tc>
        <w:tc>
          <w:tcPr>
            <w:tcW w:w="247" w:type="pct"/>
            <w:tcBorders>
              <w:top w:val="single" w:sz="4" w:space="0" w:color="auto"/>
            </w:tcBorders>
            <w:shd w:val="clear" w:color="auto" w:fill="auto"/>
            <w:vAlign w:val="center"/>
          </w:tcPr>
          <w:p w14:paraId="07FB78DC"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58" w:type="pct"/>
            <w:tcBorders>
              <w:top w:val="single" w:sz="4" w:space="0" w:color="auto"/>
            </w:tcBorders>
            <w:shd w:val="clear" w:color="auto" w:fill="auto"/>
            <w:vAlign w:val="center"/>
          </w:tcPr>
          <w:p w14:paraId="55584532"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58" w:type="pct"/>
            <w:tcBorders>
              <w:top w:val="single" w:sz="4" w:space="0" w:color="auto"/>
            </w:tcBorders>
            <w:shd w:val="clear" w:color="auto" w:fill="auto"/>
            <w:vAlign w:val="center"/>
          </w:tcPr>
          <w:p w14:paraId="36636EA0"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70" w:type="pct"/>
            <w:tcBorders>
              <w:top w:val="single" w:sz="4" w:space="0" w:color="auto"/>
            </w:tcBorders>
            <w:shd w:val="clear" w:color="auto" w:fill="auto"/>
            <w:vAlign w:val="center"/>
          </w:tcPr>
          <w:p w14:paraId="1F97B357"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Breast cancer</w:t>
            </w:r>
          </w:p>
        </w:tc>
        <w:tc>
          <w:tcPr>
            <w:tcW w:w="271" w:type="pct"/>
            <w:tcBorders>
              <w:top w:val="single" w:sz="4" w:space="0" w:color="auto"/>
            </w:tcBorders>
            <w:shd w:val="clear" w:color="auto" w:fill="auto"/>
            <w:vAlign w:val="center"/>
          </w:tcPr>
          <w:p w14:paraId="19C7C176"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21-day cycle, 4 cycles</w:t>
            </w:r>
          </w:p>
        </w:tc>
        <w:tc>
          <w:tcPr>
            <w:tcW w:w="240" w:type="pct"/>
            <w:tcBorders>
              <w:top w:val="single" w:sz="4" w:space="0" w:color="auto"/>
            </w:tcBorders>
            <w:shd w:val="clear" w:color="auto" w:fill="auto"/>
            <w:vAlign w:val="center"/>
          </w:tcPr>
          <w:p w14:paraId="1F558FD4"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8 years</w:t>
            </w:r>
          </w:p>
        </w:tc>
        <w:tc>
          <w:tcPr>
            <w:tcW w:w="232" w:type="pct"/>
            <w:tcBorders>
              <w:top w:val="single" w:sz="4" w:space="0" w:color="auto"/>
            </w:tcBorders>
            <w:shd w:val="clear" w:color="auto" w:fill="auto"/>
            <w:vAlign w:val="center"/>
          </w:tcPr>
          <w:p w14:paraId="307B8831"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501/324</w:t>
            </w:r>
          </w:p>
        </w:tc>
        <w:tc>
          <w:tcPr>
            <w:tcW w:w="222" w:type="pct"/>
            <w:tcBorders>
              <w:top w:val="single" w:sz="4" w:space="0" w:color="auto"/>
            </w:tcBorders>
            <w:shd w:val="clear" w:color="auto" w:fill="auto"/>
            <w:vAlign w:val="center"/>
          </w:tcPr>
          <w:p w14:paraId="0E2480EB"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applicable</w:t>
            </w:r>
          </w:p>
        </w:tc>
        <w:tc>
          <w:tcPr>
            <w:tcW w:w="209" w:type="pct"/>
            <w:tcBorders>
              <w:top w:val="single" w:sz="4" w:space="0" w:color="auto"/>
            </w:tcBorders>
            <w:shd w:val="clear" w:color="auto" w:fill="auto"/>
            <w:vAlign w:val="center"/>
          </w:tcPr>
          <w:p w14:paraId="297264EE"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applicable</w:t>
            </w:r>
          </w:p>
        </w:tc>
        <w:tc>
          <w:tcPr>
            <w:tcW w:w="229" w:type="pct"/>
            <w:tcBorders>
              <w:top w:val="single" w:sz="4" w:space="0" w:color="auto"/>
            </w:tcBorders>
            <w:shd w:val="clear" w:color="auto" w:fill="auto"/>
            <w:vAlign w:val="center"/>
          </w:tcPr>
          <w:p w14:paraId="2496C2B9"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0/501</w:t>
            </w:r>
          </w:p>
        </w:tc>
        <w:tc>
          <w:tcPr>
            <w:tcW w:w="254" w:type="pct"/>
            <w:tcBorders>
              <w:top w:val="single" w:sz="4" w:space="0" w:color="auto"/>
            </w:tcBorders>
            <w:shd w:val="clear" w:color="auto" w:fill="auto"/>
            <w:vAlign w:val="center"/>
          </w:tcPr>
          <w:p w14:paraId="46B8F8E4"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0/324</w:t>
            </w:r>
          </w:p>
        </w:tc>
        <w:tc>
          <w:tcPr>
            <w:tcW w:w="299" w:type="pct"/>
            <w:tcBorders>
              <w:top w:val="single" w:sz="4" w:space="0" w:color="auto"/>
            </w:tcBorders>
            <w:shd w:val="clear" w:color="auto" w:fill="auto"/>
            <w:vAlign w:val="center"/>
          </w:tcPr>
          <w:p w14:paraId="413119D2"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Doxorubicin</w:t>
            </w:r>
          </w:p>
        </w:tc>
        <w:tc>
          <w:tcPr>
            <w:tcW w:w="484" w:type="pct"/>
            <w:tcBorders>
              <w:top w:val="single" w:sz="4" w:space="0" w:color="auto"/>
            </w:tcBorders>
            <w:shd w:val="clear" w:color="auto" w:fill="auto"/>
            <w:vAlign w:val="center"/>
          </w:tcPr>
          <w:p w14:paraId="13B862B6"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 xml:space="preserve">Doxorubicin + </w:t>
            </w:r>
            <w:r>
              <w:rPr>
                <w:rFonts w:ascii="Times New Roman" w:hAnsi="Times New Roman" w:cs="Times New Roman"/>
                <w:color w:val="000000"/>
                <w:sz w:val="11"/>
                <w:szCs w:val="11"/>
              </w:rPr>
              <w:t>cyclophosphamide + fluorouracil + methotrexate</w:t>
            </w:r>
          </w:p>
        </w:tc>
        <w:tc>
          <w:tcPr>
            <w:tcW w:w="418" w:type="pct"/>
            <w:tcBorders>
              <w:top w:val="single" w:sz="4" w:space="0" w:color="auto"/>
            </w:tcBorders>
            <w:shd w:val="clear" w:color="auto" w:fill="auto"/>
            <w:vAlign w:val="center"/>
          </w:tcPr>
          <w:p w14:paraId="23AF964B"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Cyclophosphamide + fluorouracil + methotrexate</w:t>
            </w:r>
          </w:p>
        </w:tc>
        <w:tc>
          <w:tcPr>
            <w:tcW w:w="268" w:type="pct"/>
            <w:tcBorders>
              <w:top w:val="single" w:sz="4" w:space="0" w:color="auto"/>
            </w:tcBorders>
            <w:shd w:val="clear" w:color="auto" w:fill="auto"/>
            <w:vAlign w:val="center"/>
          </w:tcPr>
          <w:p w14:paraId="22257B3D"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6</w:t>
            </w:r>
          </w:p>
        </w:tc>
      </w:tr>
      <w:tr w:rsidR="005A5C01" w14:paraId="7F04A6F4" w14:textId="77777777">
        <w:tc>
          <w:tcPr>
            <w:tcW w:w="319" w:type="pct"/>
            <w:vAlign w:val="center"/>
          </w:tcPr>
          <w:p w14:paraId="70ED24DE"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Martoni 1998</w:t>
            </w:r>
            <w:r>
              <w:rPr>
                <w:rStyle w:val="EndnoteReference"/>
                <w:rFonts w:ascii="Times New Roman" w:hAnsi="Times New Roman" w:cs="Times New Roman"/>
                <w:sz w:val="11"/>
                <w:szCs w:val="11"/>
              </w:rPr>
              <w:endnoteReference w:id="2"/>
            </w:r>
          </w:p>
        </w:tc>
        <w:tc>
          <w:tcPr>
            <w:tcW w:w="203" w:type="pct"/>
            <w:shd w:val="clear" w:color="auto" w:fill="auto"/>
            <w:vAlign w:val="center"/>
          </w:tcPr>
          <w:p w14:paraId="54AC3F13"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RCT</w:t>
            </w:r>
          </w:p>
        </w:tc>
        <w:tc>
          <w:tcPr>
            <w:tcW w:w="318" w:type="pct"/>
            <w:shd w:val="clear" w:color="auto" w:fill="auto"/>
            <w:vAlign w:val="center"/>
          </w:tcPr>
          <w:p w14:paraId="6EFCA16D"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Italy</w:t>
            </w:r>
          </w:p>
        </w:tc>
        <w:tc>
          <w:tcPr>
            <w:tcW w:w="247" w:type="pct"/>
            <w:shd w:val="clear" w:color="auto" w:fill="auto"/>
            <w:vAlign w:val="center"/>
          </w:tcPr>
          <w:p w14:paraId="6CC9D785"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Not mentioned</w:t>
            </w:r>
          </w:p>
        </w:tc>
        <w:tc>
          <w:tcPr>
            <w:tcW w:w="258" w:type="pct"/>
            <w:shd w:val="clear" w:color="auto" w:fill="auto"/>
            <w:vAlign w:val="center"/>
          </w:tcPr>
          <w:p w14:paraId="165DEC26"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August 1992 to February 1996</w:t>
            </w:r>
          </w:p>
        </w:tc>
        <w:tc>
          <w:tcPr>
            <w:tcW w:w="258" w:type="pct"/>
            <w:shd w:val="clear" w:color="auto" w:fill="auto"/>
            <w:vAlign w:val="center"/>
          </w:tcPr>
          <w:p w14:paraId="2C3937C3"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Not mentioned</w:t>
            </w:r>
          </w:p>
        </w:tc>
        <w:tc>
          <w:tcPr>
            <w:tcW w:w="270" w:type="pct"/>
            <w:shd w:val="clear" w:color="auto" w:fill="auto"/>
            <w:vAlign w:val="center"/>
          </w:tcPr>
          <w:p w14:paraId="2A1CF208"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Advanced NSCLC</w:t>
            </w:r>
          </w:p>
        </w:tc>
        <w:tc>
          <w:tcPr>
            <w:tcW w:w="271" w:type="pct"/>
            <w:shd w:val="clear" w:color="auto" w:fill="auto"/>
            <w:vAlign w:val="center"/>
          </w:tcPr>
          <w:p w14:paraId="337DED9B"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21-day cycle, 12 cycles</w:t>
            </w:r>
          </w:p>
        </w:tc>
        <w:tc>
          <w:tcPr>
            <w:tcW w:w="240" w:type="pct"/>
            <w:vAlign w:val="center"/>
          </w:tcPr>
          <w:p w14:paraId="01111ED7"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32" w:type="pct"/>
            <w:shd w:val="clear" w:color="auto" w:fill="auto"/>
            <w:vAlign w:val="center"/>
          </w:tcPr>
          <w:p w14:paraId="08D8D52E"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102/110</w:t>
            </w:r>
          </w:p>
        </w:tc>
        <w:tc>
          <w:tcPr>
            <w:tcW w:w="222" w:type="pct"/>
            <w:shd w:val="clear" w:color="auto" w:fill="auto"/>
            <w:vAlign w:val="center"/>
          </w:tcPr>
          <w:p w14:paraId="01770C99"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62</w:t>
            </w:r>
          </w:p>
        </w:tc>
        <w:tc>
          <w:tcPr>
            <w:tcW w:w="209" w:type="pct"/>
            <w:shd w:val="clear" w:color="auto" w:fill="auto"/>
            <w:vAlign w:val="center"/>
          </w:tcPr>
          <w:p w14:paraId="4F2B021D"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61</w:t>
            </w:r>
          </w:p>
        </w:tc>
        <w:tc>
          <w:tcPr>
            <w:tcW w:w="229" w:type="pct"/>
            <w:shd w:val="clear" w:color="auto" w:fill="auto"/>
            <w:vAlign w:val="center"/>
          </w:tcPr>
          <w:p w14:paraId="3FFD0165"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86/16</w:t>
            </w:r>
          </w:p>
        </w:tc>
        <w:tc>
          <w:tcPr>
            <w:tcW w:w="254" w:type="pct"/>
            <w:shd w:val="clear" w:color="auto" w:fill="auto"/>
            <w:vAlign w:val="center"/>
          </w:tcPr>
          <w:p w14:paraId="682B47C5"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93/17</w:t>
            </w:r>
          </w:p>
        </w:tc>
        <w:tc>
          <w:tcPr>
            <w:tcW w:w="299" w:type="pct"/>
            <w:shd w:val="clear" w:color="auto" w:fill="auto"/>
            <w:vAlign w:val="center"/>
          </w:tcPr>
          <w:p w14:paraId="5F6D46BA"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Epirubicin</w:t>
            </w:r>
          </w:p>
        </w:tc>
        <w:tc>
          <w:tcPr>
            <w:tcW w:w="484" w:type="pct"/>
            <w:vAlign w:val="center"/>
          </w:tcPr>
          <w:p w14:paraId="7E3F3890"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Epirubicin</w:t>
            </w:r>
          </w:p>
        </w:tc>
        <w:tc>
          <w:tcPr>
            <w:tcW w:w="418" w:type="pct"/>
            <w:shd w:val="clear" w:color="auto" w:fill="auto"/>
            <w:vAlign w:val="center"/>
          </w:tcPr>
          <w:p w14:paraId="5A69FB33"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Vinorelbine</w:t>
            </w:r>
          </w:p>
        </w:tc>
        <w:tc>
          <w:tcPr>
            <w:tcW w:w="268" w:type="pct"/>
            <w:shd w:val="clear" w:color="auto" w:fill="auto"/>
          </w:tcPr>
          <w:p w14:paraId="2ED6BC5A"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S</w:t>
            </w:r>
            <w:r>
              <w:rPr>
                <w:rFonts w:ascii="Times New Roman" w:hAnsi="Times New Roman" w:cs="Times New Roman"/>
                <w:color w:val="000000"/>
                <w:sz w:val="11"/>
                <w:szCs w:val="11"/>
              </w:rPr>
              <w:t>ome concerns</w:t>
            </w:r>
          </w:p>
        </w:tc>
      </w:tr>
      <w:tr w:rsidR="005A5C01" w14:paraId="5BFF164A" w14:textId="77777777">
        <w:tc>
          <w:tcPr>
            <w:tcW w:w="319" w:type="pct"/>
            <w:vAlign w:val="center"/>
          </w:tcPr>
          <w:p w14:paraId="7085CBCF"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Fargeot 2004</w:t>
            </w:r>
            <w:r>
              <w:rPr>
                <w:rStyle w:val="EndnoteReference"/>
                <w:rFonts w:ascii="Times New Roman" w:hAnsi="Times New Roman" w:cs="Times New Roman"/>
                <w:sz w:val="11"/>
                <w:szCs w:val="11"/>
              </w:rPr>
              <w:endnoteReference w:id="3"/>
            </w:r>
          </w:p>
        </w:tc>
        <w:tc>
          <w:tcPr>
            <w:tcW w:w="203" w:type="pct"/>
            <w:shd w:val="clear" w:color="auto" w:fill="auto"/>
            <w:vAlign w:val="center"/>
          </w:tcPr>
          <w:p w14:paraId="57E8B710"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RCT</w:t>
            </w:r>
          </w:p>
        </w:tc>
        <w:tc>
          <w:tcPr>
            <w:tcW w:w="318" w:type="pct"/>
            <w:shd w:val="clear" w:color="auto" w:fill="auto"/>
            <w:vAlign w:val="center"/>
          </w:tcPr>
          <w:p w14:paraId="15C3CC30"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French</w:t>
            </w:r>
          </w:p>
        </w:tc>
        <w:tc>
          <w:tcPr>
            <w:tcW w:w="247" w:type="pct"/>
            <w:shd w:val="clear" w:color="auto" w:fill="auto"/>
            <w:vAlign w:val="center"/>
          </w:tcPr>
          <w:p w14:paraId="137D0C15"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Pﬁzer, France</w:t>
            </w:r>
          </w:p>
        </w:tc>
        <w:tc>
          <w:tcPr>
            <w:tcW w:w="258" w:type="pct"/>
            <w:shd w:val="clear" w:color="auto" w:fill="auto"/>
            <w:vAlign w:val="center"/>
          </w:tcPr>
          <w:p w14:paraId="3F452F69"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March 1991 to April 2001</w:t>
            </w:r>
          </w:p>
        </w:tc>
        <w:tc>
          <w:tcPr>
            <w:tcW w:w="258" w:type="pct"/>
            <w:shd w:val="clear" w:color="auto" w:fill="auto"/>
            <w:vAlign w:val="center"/>
          </w:tcPr>
          <w:p w14:paraId="5C38A84F"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70" w:type="pct"/>
            <w:shd w:val="clear" w:color="auto" w:fill="auto"/>
            <w:vAlign w:val="center"/>
          </w:tcPr>
          <w:p w14:paraId="049DBE63"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Breast cancer</w:t>
            </w:r>
          </w:p>
        </w:tc>
        <w:tc>
          <w:tcPr>
            <w:tcW w:w="271" w:type="pct"/>
            <w:shd w:val="clear" w:color="auto" w:fill="auto"/>
            <w:vAlign w:val="center"/>
          </w:tcPr>
          <w:p w14:paraId="329D8DB8"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3</w:t>
            </w:r>
            <w:r>
              <w:rPr>
                <w:rFonts w:ascii="Times New Roman" w:hAnsi="Times New Roman" w:cs="Times New Roman"/>
                <w:color w:val="000000"/>
                <w:sz w:val="11"/>
                <w:szCs w:val="11"/>
              </w:rPr>
              <w:t xml:space="preserve"> years</w:t>
            </w:r>
          </w:p>
        </w:tc>
        <w:tc>
          <w:tcPr>
            <w:tcW w:w="240" w:type="pct"/>
            <w:shd w:val="clear" w:color="auto" w:fill="auto"/>
            <w:vAlign w:val="center"/>
          </w:tcPr>
          <w:p w14:paraId="615296B2"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72 months</w:t>
            </w:r>
          </w:p>
        </w:tc>
        <w:tc>
          <w:tcPr>
            <w:tcW w:w="232" w:type="pct"/>
            <w:shd w:val="clear" w:color="auto" w:fill="auto"/>
            <w:vAlign w:val="center"/>
          </w:tcPr>
          <w:p w14:paraId="386C161D"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174/164</w:t>
            </w:r>
          </w:p>
        </w:tc>
        <w:tc>
          <w:tcPr>
            <w:tcW w:w="222" w:type="pct"/>
            <w:shd w:val="clear" w:color="auto" w:fill="auto"/>
            <w:vAlign w:val="center"/>
          </w:tcPr>
          <w:p w14:paraId="25991C25"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69</w:t>
            </w:r>
          </w:p>
        </w:tc>
        <w:tc>
          <w:tcPr>
            <w:tcW w:w="209" w:type="pct"/>
            <w:shd w:val="clear" w:color="auto" w:fill="auto"/>
            <w:vAlign w:val="center"/>
          </w:tcPr>
          <w:p w14:paraId="7DD98776"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69</w:t>
            </w:r>
          </w:p>
        </w:tc>
        <w:tc>
          <w:tcPr>
            <w:tcW w:w="229" w:type="pct"/>
            <w:shd w:val="clear" w:color="auto" w:fill="auto"/>
            <w:vAlign w:val="center"/>
          </w:tcPr>
          <w:p w14:paraId="1D2EB9C6"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0/174</w:t>
            </w:r>
          </w:p>
        </w:tc>
        <w:tc>
          <w:tcPr>
            <w:tcW w:w="254" w:type="pct"/>
            <w:shd w:val="clear" w:color="auto" w:fill="auto"/>
            <w:vAlign w:val="center"/>
          </w:tcPr>
          <w:p w14:paraId="249996CE"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0/164</w:t>
            </w:r>
          </w:p>
        </w:tc>
        <w:tc>
          <w:tcPr>
            <w:tcW w:w="299" w:type="pct"/>
            <w:shd w:val="clear" w:color="auto" w:fill="auto"/>
            <w:vAlign w:val="center"/>
          </w:tcPr>
          <w:p w14:paraId="333B2751"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Epirubicin</w:t>
            </w:r>
          </w:p>
        </w:tc>
        <w:tc>
          <w:tcPr>
            <w:tcW w:w="484" w:type="pct"/>
            <w:vAlign w:val="center"/>
          </w:tcPr>
          <w:p w14:paraId="7F601707"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Epirubicin +</w:t>
            </w:r>
            <w:r>
              <w:t xml:space="preserve"> </w:t>
            </w:r>
            <w:r>
              <w:rPr>
                <w:rFonts w:ascii="Times New Roman" w:hAnsi="Times New Roman" w:cs="Times New Roman"/>
                <w:color w:val="000000"/>
                <w:sz w:val="11"/>
                <w:szCs w:val="11"/>
              </w:rPr>
              <w:t>tamoxifen</w:t>
            </w:r>
          </w:p>
        </w:tc>
        <w:tc>
          <w:tcPr>
            <w:tcW w:w="418" w:type="pct"/>
            <w:shd w:val="clear" w:color="auto" w:fill="auto"/>
            <w:vAlign w:val="center"/>
          </w:tcPr>
          <w:p w14:paraId="2460681F"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Tamoxifen</w:t>
            </w:r>
          </w:p>
        </w:tc>
        <w:tc>
          <w:tcPr>
            <w:tcW w:w="268" w:type="pct"/>
            <w:shd w:val="clear" w:color="auto" w:fill="auto"/>
          </w:tcPr>
          <w:p w14:paraId="21873B6A"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S</w:t>
            </w:r>
            <w:r>
              <w:rPr>
                <w:rFonts w:ascii="Times New Roman" w:hAnsi="Times New Roman" w:cs="Times New Roman"/>
                <w:color w:val="000000"/>
                <w:sz w:val="11"/>
                <w:szCs w:val="11"/>
              </w:rPr>
              <w:t>ome concerns</w:t>
            </w:r>
          </w:p>
        </w:tc>
      </w:tr>
      <w:tr w:rsidR="005A5C01" w14:paraId="16AECEE2" w14:textId="77777777">
        <w:tc>
          <w:tcPr>
            <w:tcW w:w="319" w:type="pct"/>
            <w:vAlign w:val="center"/>
          </w:tcPr>
          <w:p w14:paraId="64070B58"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Owczuk 2004</w:t>
            </w:r>
            <w:r>
              <w:rPr>
                <w:rStyle w:val="EndnoteReference"/>
                <w:rFonts w:ascii="Times New Roman" w:hAnsi="Times New Roman" w:cs="Times New Roman"/>
                <w:sz w:val="11"/>
                <w:szCs w:val="11"/>
              </w:rPr>
              <w:endnoteReference w:id="4"/>
            </w:r>
          </w:p>
        </w:tc>
        <w:tc>
          <w:tcPr>
            <w:tcW w:w="203" w:type="pct"/>
            <w:shd w:val="clear" w:color="auto" w:fill="auto"/>
            <w:vAlign w:val="center"/>
          </w:tcPr>
          <w:p w14:paraId="7D4B0F79"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hint="eastAsia"/>
                <w:color w:val="000000"/>
                <w:sz w:val="11"/>
                <w:szCs w:val="11"/>
              </w:rPr>
              <w:t>C</w:t>
            </w:r>
            <w:r>
              <w:rPr>
                <w:rFonts w:ascii="Times New Roman" w:hAnsi="Times New Roman" w:cs="Times New Roman"/>
                <w:color w:val="000000"/>
                <w:sz w:val="11"/>
                <w:szCs w:val="11"/>
              </w:rPr>
              <w:t>ohort study</w:t>
            </w:r>
          </w:p>
        </w:tc>
        <w:tc>
          <w:tcPr>
            <w:tcW w:w="318" w:type="pct"/>
            <w:shd w:val="clear" w:color="auto" w:fill="auto"/>
            <w:vAlign w:val="center"/>
          </w:tcPr>
          <w:p w14:paraId="439D935C"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Poland</w:t>
            </w:r>
          </w:p>
        </w:tc>
        <w:tc>
          <w:tcPr>
            <w:tcW w:w="247" w:type="pct"/>
            <w:shd w:val="clear" w:color="auto" w:fill="auto"/>
            <w:vAlign w:val="center"/>
          </w:tcPr>
          <w:p w14:paraId="0F2B1AC0"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Not mentioned</w:t>
            </w:r>
          </w:p>
        </w:tc>
        <w:tc>
          <w:tcPr>
            <w:tcW w:w="258" w:type="pct"/>
            <w:shd w:val="clear" w:color="auto" w:fill="auto"/>
            <w:vAlign w:val="center"/>
          </w:tcPr>
          <w:p w14:paraId="03ADE190"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Not mentioned</w:t>
            </w:r>
          </w:p>
        </w:tc>
        <w:tc>
          <w:tcPr>
            <w:tcW w:w="258" w:type="pct"/>
            <w:shd w:val="clear" w:color="auto" w:fill="auto"/>
            <w:vAlign w:val="center"/>
          </w:tcPr>
          <w:p w14:paraId="40B3126D"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Not mentioned</w:t>
            </w:r>
          </w:p>
        </w:tc>
        <w:tc>
          <w:tcPr>
            <w:tcW w:w="270" w:type="pct"/>
            <w:shd w:val="clear" w:color="auto" w:fill="auto"/>
            <w:vAlign w:val="center"/>
          </w:tcPr>
          <w:p w14:paraId="30D6B385"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Breast cancer</w:t>
            </w:r>
          </w:p>
        </w:tc>
        <w:tc>
          <w:tcPr>
            <w:tcW w:w="271" w:type="pct"/>
            <w:shd w:val="clear" w:color="auto" w:fill="auto"/>
            <w:vAlign w:val="center"/>
          </w:tcPr>
          <w:p w14:paraId="37B1B994"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33.1 days</w:t>
            </w:r>
          </w:p>
        </w:tc>
        <w:tc>
          <w:tcPr>
            <w:tcW w:w="240" w:type="pct"/>
            <w:vAlign w:val="center"/>
          </w:tcPr>
          <w:p w14:paraId="38292873"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32" w:type="pct"/>
            <w:shd w:val="clear" w:color="auto" w:fill="auto"/>
            <w:vAlign w:val="center"/>
          </w:tcPr>
          <w:p w14:paraId="1E019AC6"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20/20</w:t>
            </w:r>
          </w:p>
        </w:tc>
        <w:tc>
          <w:tcPr>
            <w:tcW w:w="222" w:type="pct"/>
            <w:shd w:val="clear" w:color="auto" w:fill="auto"/>
            <w:vAlign w:val="center"/>
          </w:tcPr>
          <w:p w14:paraId="3E9B4CFC"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52.2</w:t>
            </w:r>
          </w:p>
        </w:tc>
        <w:tc>
          <w:tcPr>
            <w:tcW w:w="209" w:type="pct"/>
            <w:shd w:val="clear" w:color="auto" w:fill="auto"/>
            <w:vAlign w:val="center"/>
          </w:tcPr>
          <w:p w14:paraId="66E53C15"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52.8</w:t>
            </w:r>
          </w:p>
        </w:tc>
        <w:tc>
          <w:tcPr>
            <w:tcW w:w="229" w:type="pct"/>
            <w:shd w:val="clear" w:color="auto" w:fill="auto"/>
            <w:vAlign w:val="center"/>
          </w:tcPr>
          <w:p w14:paraId="033ED7FC"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0/20</w:t>
            </w:r>
          </w:p>
        </w:tc>
        <w:tc>
          <w:tcPr>
            <w:tcW w:w="254" w:type="pct"/>
            <w:shd w:val="clear" w:color="auto" w:fill="auto"/>
            <w:vAlign w:val="center"/>
          </w:tcPr>
          <w:p w14:paraId="1CF096AC"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0/20</w:t>
            </w:r>
          </w:p>
        </w:tc>
        <w:tc>
          <w:tcPr>
            <w:tcW w:w="299" w:type="pct"/>
            <w:shd w:val="clear" w:color="auto" w:fill="auto"/>
            <w:vAlign w:val="center"/>
          </w:tcPr>
          <w:p w14:paraId="54D0F9D6"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Doxorubicin, epirubicin</w:t>
            </w:r>
          </w:p>
        </w:tc>
        <w:tc>
          <w:tcPr>
            <w:tcW w:w="484" w:type="pct"/>
            <w:vAlign w:val="center"/>
          </w:tcPr>
          <w:p w14:paraId="700D5DCE"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Anthracyclines (</w:t>
            </w:r>
            <w:r>
              <w:rPr>
                <w:rFonts w:ascii="Times New Roman" w:hAnsi="Times New Roman" w:cs="Times New Roman"/>
                <w:color w:val="000000"/>
                <w:sz w:val="11"/>
                <w:szCs w:val="11"/>
              </w:rPr>
              <w:t>doxorubicin, epirubicin)</w:t>
            </w:r>
          </w:p>
        </w:tc>
        <w:tc>
          <w:tcPr>
            <w:tcW w:w="418" w:type="pct"/>
            <w:shd w:val="clear" w:color="auto" w:fill="auto"/>
            <w:vAlign w:val="center"/>
          </w:tcPr>
          <w:p w14:paraId="4BD4AA96"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Nonanthracycline antineoplastic drugs</w:t>
            </w:r>
          </w:p>
        </w:tc>
        <w:tc>
          <w:tcPr>
            <w:tcW w:w="268" w:type="pct"/>
            <w:shd w:val="clear" w:color="auto" w:fill="auto"/>
            <w:vAlign w:val="center"/>
          </w:tcPr>
          <w:p w14:paraId="38A114FC"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6</w:t>
            </w:r>
          </w:p>
        </w:tc>
      </w:tr>
      <w:tr w:rsidR="005A5C01" w14:paraId="4F8E8E81" w14:textId="77777777">
        <w:tc>
          <w:tcPr>
            <w:tcW w:w="319" w:type="pct"/>
            <w:vAlign w:val="center"/>
          </w:tcPr>
          <w:p w14:paraId="4B436494"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Fountzilas 2004</w:t>
            </w:r>
            <w:r>
              <w:rPr>
                <w:rStyle w:val="EndnoteReference"/>
                <w:rFonts w:ascii="Times New Roman" w:hAnsi="Times New Roman" w:cs="Times New Roman"/>
                <w:sz w:val="11"/>
                <w:szCs w:val="11"/>
              </w:rPr>
              <w:endnoteReference w:id="5"/>
            </w:r>
          </w:p>
        </w:tc>
        <w:tc>
          <w:tcPr>
            <w:tcW w:w="203" w:type="pct"/>
            <w:shd w:val="clear" w:color="auto" w:fill="auto"/>
            <w:vAlign w:val="center"/>
          </w:tcPr>
          <w:p w14:paraId="73766F9C"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RCT</w:t>
            </w:r>
          </w:p>
        </w:tc>
        <w:tc>
          <w:tcPr>
            <w:tcW w:w="318" w:type="pct"/>
            <w:shd w:val="clear" w:color="auto" w:fill="auto"/>
            <w:vAlign w:val="center"/>
          </w:tcPr>
          <w:p w14:paraId="21A49874"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Greece</w:t>
            </w:r>
          </w:p>
        </w:tc>
        <w:tc>
          <w:tcPr>
            <w:tcW w:w="247" w:type="pct"/>
            <w:shd w:val="clear" w:color="auto" w:fill="auto"/>
            <w:vAlign w:val="center"/>
          </w:tcPr>
          <w:p w14:paraId="42795975"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Hellenic Cooperative Oncology Group</w:t>
            </w:r>
          </w:p>
        </w:tc>
        <w:tc>
          <w:tcPr>
            <w:tcW w:w="258" w:type="pct"/>
            <w:shd w:val="clear" w:color="auto" w:fill="auto"/>
            <w:vAlign w:val="center"/>
          </w:tcPr>
          <w:p w14:paraId="4469A3A3"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January 1999 to April 2002</w:t>
            </w:r>
          </w:p>
        </w:tc>
        <w:tc>
          <w:tcPr>
            <w:tcW w:w="258" w:type="pct"/>
            <w:shd w:val="clear" w:color="auto" w:fill="auto"/>
            <w:vAlign w:val="center"/>
          </w:tcPr>
          <w:p w14:paraId="23B77EA8"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Not mentioned</w:t>
            </w:r>
          </w:p>
        </w:tc>
        <w:tc>
          <w:tcPr>
            <w:tcW w:w="270" w:type="pct"/>
            <w:shd w:val="clear" w:color="auto" w:fill="auto"/>
            <w:vAlign w:val="center"/>
          </w:tcPr>
          <w:p w14:paraId="5182AFB9"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Breast cancer</w:t>
            </w:r>
          </w:p>
        </w:tc>
        <w:tc>
          <w:tcPr>
            <w:tcW w:w="271" w:type="pct"/>
            <w:shd w:val="clear" w:color="auto" w:fill="auto"/>
            <w:vAlign w:val="center"/>
          </w:tcPr>
          <w:p w14:paraId="1D9C2AFE"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21-day cycle, 6 cycles</w:t>
            </w:r>
          </w:p>
        </w:tc>
        <w:tc>
          <w:tcPr>
            <w:tcW w:w="240" w:type="pct"/>
            <w:vAlign w:val="center"/>
          </w:tcPr>
          <w:p w14:paraId="0B2A2380"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23.5 months</w:t>
            </w:r>
          </w:p>
        </w:tc>
        <w:tc>
          <w:tcPr>
            <w:tcW w:w="232" w:type="pct"/>
            <w:shd w:val="clear" w:color="auto" w:fill="auto"/>
            <w:vAlign w:val="center"/>
          </w:tcPr>
          <w:p w14:paraId="6AA09514"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162/160</w:t>
            </w:r>
          </w:p>
        </w:tc>
        <w:tc>
          <w:tcPr>
            <w:tcW w:w="222" w:type="pct"/>
            <w:shd w:val="clear" w:color="auto" w:fill="auto"/>
            <w:vAlign w:val="center"/>
          </w:tcPr>
          <w:p w14:paraId="2D840738"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59</w:t>
            </w:r>
          </w:p>
        </w:tc>
        <w:tc>
          <w:tcPr>
            <w:tcW w:w="209" w:type="pct"/>
            <w:shd w:val="clear" w:color="auto" w:fill="auto"/>
            <w:vAlign w:val="center"/>
          </w:tcPr>
          <w:p w14:paraId="3D15B8D9"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59</w:t>
            </w:r>
          </w:p>
        </w:tc>
        <w:tc>
          <w:tcPr>
            <w:tcW w:w="229" w:type="pct"/>
            <w:shd w:val="clear" w:color="auto" w:fill="auto"/>
            <w:vAlign w:val="center"/>
          </w:tcPr>
          <w:p w14:paraId="05613DF1"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0/162</w:t>
            </w:r>
          </w:p>
        </w:tc>
        <w:tc>
          <w:tcPr>
            <w:tcW w:w="254" w:type="pct"/>
            <w:shd w:val="clear" w:color="auto" w:fill="auto"/>
            <w:vAlign w:val="center"/>
          </w:tcPr>
          <w:p w14:paraId="7E92099C"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0/160</w:t>
            </w:r>
          </w:p>
        </w:tc>
        <w:tc>
          <w:tcPr>
            <w:tcW w:w="299" w:type="pct"/>
            <w:shd w:val="clear" w:color="auto" w:fill="auto"/>
            <w:vAlign w:val="center"/>
          </w:tcPr>
          <w:p w14:paraId="43879551"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Epirubicin</w:t>
            </w:r>
          </w:p>
        </w:tc>
        <w:tc>
          <w:tcPr>
            <w:tcW w:w="484" w:type="pct"/>
            <w:vAlign w:val="center"/>
          </w:tcPr>
          <w:p w14:paraId="437810C7"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Epirubicin + paclitaxel</w:t>
            </w:r>
          </w:p>
        </w:tc>
        <w:tc>
          <w:tcPr>
            <w:tcW w:w="418" w:type="pct"/>
            <w:shd w:val="clear" w:color="auto" w:fill="auto"/>
            <w:vAlign w:val="center"/>
          </w:tcPr>
          <w:p w14:paraId="70287FA7"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 xml:space="preserve">Paclitaxel + </w:t>
            </w:r>
            <w:r>
              <w:rPr>
                <w:rFonts w:ascii="Times New Roman" w:hAnsi="Times New Roman" w:cs="Times New Roman"/>
                <w:color w:val="000000"/>
                <w:sz w:val="11"/>
                <w:szCs w:val="11"/>
              </w:rPr>
              <w:t>carboplatin</w:t>
            </w:r>
          </w:p>
        </w:tc>
        <w:tc>
          <w:tcPr>
            <w:tcW w:w="268" w:type="pct"/>
            <w:shd w:val="clear" w:color="auto" w:fill="auto"/>
            <w:vAlign w:val="center"/>
          </w:tcPr>
          <w:p w14:paraId="5CB60FF2"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L</w:t>
            </w:r>
            <w:r>
              <w:rPr>
                <w:rFonts w:ascii="Times New Roman" w:hAnsi="Times New Roman" w:cs="Times New Roman"/>
                <w:color w:val="000000"/>
                <w:sz w:val="11"/>
                <w:szCs w:val="11"/>
              </w:rPr>
              <w:t>ow</w:t>
            </w:r>
          </w:p>
        </w:tc>
      </w:tr>
      <w:tr w:rsidR="005A5C01" w14:paraId="74358B63" w14:textId="77777777">
        <w:tc>
          <w:tcPr>
            <w:tcW w:w="319" w:type="pct"/>
            <w:vAlign w:val="center"/>
          </w:tcPr>
          <w:p w14:paraId="2AFDD1AB"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Feher 2005</w:t>
            </w:r>
            <w:r>
              <w:rPr>
                <w:rStyle w:val="EndnoteReference"/>
                <w:rFonts w:ascii="Times New Roman" w:hAnsi="Times New Roman" w:cs="Times New Roman"/>
                <w:sz w:val="11"/>
                <w:szCs w:val="11"/>
              </w:rPr>
              <w:endnoteReference w:id="6"/>
            </w:r>
          </w:p>
        </w:tc>
        <w:tc>
          <w:tcPr>
            <w:tcW w:w="203" w:type="pct"/>
            <w:shd w:val="clear" w:color="auto" w:fill="auto"/>
            <w:vAlign w:val="center"/>
          </w:tcPr>
          <w:p w14:paraId="666148B0"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RCT</w:t>
            </w:r>
          </w:p>
        </w:tc>
        <w:tc>
          <w:tcPr>
            <w:tcW w:w="318" w:type="pct"/>
            <w:shd w:val="clear" w:color="auto" w:fill="auto"/>
            <w:vAlign w:val="center"/>
          </w:tcPr>
          <w:p w14:paraId="3D2E714A"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Brazil, Czech Republic, Germany, Singapore, USA, Germany</w:t>
            </w:r>
          </w:p>
        </w:tc>
        <w:tc>
          <w:tcPr>
            <w:tcW w:w="247" w:type="pct"/>
            <w:shd w:val="clear" w:color="auto" w:fill="auto"/>
            <w:vAlign w:val="center"/>
          </w:tcPr>
          <w:p w14:paraId="39BCE632"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 xml:space="preserve"> Eli Lilly and Company</w:t>
            </w:r>
          </w:p>
        </w:tc>
        <w:tc>
          <w:tcPr>
            <w:tcW w:w="258" w:type="pct"/>
            <w:shd w:val="clear" w:color="auto" w:fill="auto"/>
            <w:vAlign w:val="center"/>
          </w:tcPr>
          <w:p w14:paraId="1ED7DC7D"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Not mentioned</w:t>
            </w:r>
          </w:p>
        </w:tc>
        <w:tc>
          <w:tcPr>
            <w:tcW w:w="258" w:type="pct"/>
            <w:shd w:val="clear" w:color="auto" w:fill="auto"/>
            <w:vAlign w:val="center"/>
          </w:tcPr>
          <w:p w14:paraId="5A327675"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Not mentioned</w:t>
            </w:r>
          </w:p>
        </w:tc>
        <w:tc>
          <w:tcPr>
            <w:tcW w:w="270" w:type="pct"/>
            <w:shd w:val="clear" w:color="auto" w:fill="auto"/>
            <w:vAlign w:val="center"/>
          </w:tcPr>
          <w:p w14:paraId="5CF7588B"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Breast cancer</w:t>
            </w:r>
          </w:p>
        </w:tc>
        <w:tc>
          <w:tcPr>
            <w:tcW w:w="271" w:type="pct"/>
            <w:shd w:val="clear" w:color="auto" w:fill="auto"/>
            <w:vAlign w:val="center"/>
          </w:tcPr>
          <w:p w14:paraId="180CB7DF"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28-day cycle, 12 cycles</w:t>
            </w:r>
          </w:p>
        </w:tc>
        <w:tc>
          <w:tcPr>
            <w:tcW w:w="240" w:type="pct"/>
            <w:vAlign w:val="center"/>
          </w:tcPr>
          <w:p w14:paraId="3AF6A4A7"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19.1 months</w:t>
            </w:r>
          </w:p>
        </w:tc>
        <w:tc>
          <w:tcPr>
            <w:tcW w:w="232" w:type="pct"/>
            <w:shd w:val="clear" w:color="auto" w:fill="auto"/>
            <w:vAlign w:val="center"/>
          </w:tcPr>
          <w:p w14:paraId="23176ED1"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199/198</w:t>
            </w:r>
          </w:p>
        </w:tc>
        <w:tc>
          <w:tcPr>
            <w:tcW w:w="222" w:type="pct"/>
            <w:shd w:val="clear" w:color="auto" w:fill="auto"/>
            <w:vAlign w:val="center"/>
          </w:tcPr>
          <w:p w14:paraId="5502FABA"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68</w:t>
            </w:r>
          </w:p>
        </w:tc>
        <w:tc>
          <w:tcPr>
            <w:tcW w:w="209" w:type="pct"/>
            <w:shd w:val="clear" w:color="auto" w:fill="auto"/>
            <w:vAlign w:val="center"/>
          </w:tcPr>
          <w:p w14:paraId="6E599140"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69</w:t>
            </w:r>
          </w:p>
        </w:tc>
        <w:tc>
          <w:tcPr>
            <w:tcW w:w="229" w:type="pct"/>
            <w:shd w:val="clear" w:color="auto" w:fill="auto"/>
            <w:vAlign w:val="center"/>
          </w:tcPr>
          <w:p w14:paraId="7D2642BA"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0/199</w:t>
            </w:r>
          </w:p>
        </w:tc>
        <w:tc>
          <w:tcPr>
            <w:tcW w:w="254" w:type="pct"/>
            <w:shd w:val="clear" w:color="auto" w:fill="auto"/>
            <w:vAlign w:val="center"/>
          </w:tcPr>
          <w:p w14:paraId="3FDACACA"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0/198</w:t>
            </w:r>
          </w:p>
        </w:tc>
        <w:tc>
          <w:tcPr>
            <w:tcW w:w="299" w:type="pct"/>
            <w:shd w:val="clear" w:color="auto" w:fill="auto"/>
            <w:vAlign w:val="center"/>
          </w:tcPr>
          <w:p w14:paraId="47A26C8B"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Epirubicin</w:t>
            </w:r>
          </w:p>
        </w:tc>
        <w:tc>
          <w:tcPr>
            <w:tcW w:w="484" w:type="pct"/>
            <w:vAlign w:val="center"/>
          </w:tcPr>
          <w:p w14:paraId="3D2ADD13"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Epirubicin</w:t>
            </w:r>
          </w:p>
        </w:tc>
        <w:tc>
          <w:tcPr>
            <w:tcW w:w="418" w:type="pct"/>
            <w:shd w:val="clear" w:color="auto" w:fill="auto"/>
            <w:vAlign w:val="center"/>
          </w:tcPr>
          <w:p w14:paraId="306FEDCE"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Gemcitabine</w:t>
            </w:r>
          </w:p>
        </w:tc>
        <w:tc>
          <w:tcPr>
            <w:tcW w:w="268" w:type="pct"/>
            <w:shd w:val="clear" w:color="auto" w:fill="auto"/>
            <w:vAlign w:val="center"/>
          </w:tcPr>
          <w:p w14:paraId="5102D1C0"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S</w:t>
            </w:r>
            <w:r>
              <w:rPr>
                <w:rFonts w:ascii="Times New Roman" w:hAnsi="Times New Roman" w:cs="Times New Roman"/>
                <w:color w:val="000000"/>
                <w:sz w:val="11"/>
                <w:szCs w:val="11"/>
              </w:rPr>
              <w:t>ome concerns</w:t>
            </w:r>
          </w:p>
        </w:tc>
      </w:tr>
      <w:tr w:rsidR="005A5C01" w14:paraId="7BFF1014" w14:textId="77777777">
        <w:tc>
          <w:tcPr>
            <w:tcW w:w="319" w:type="pct"/>
            <w:vAlign w:val="center"/>
          </w:tcPr>
          <w:p w14:paraId="45315099"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Hutchins 2005</w:t>
            </w:r>
            <w:r>
              <w:rPr>
                <w:rStyle w:val="EndnoteReference"/>
                <w:rFonts w:ascii="Times New Roman" w:hAnsi="Times New Roman" w:cs="Times New Roman"/>
                <w:sz w:val="11"/>
                <w:szCs w:val="11"/>
              </w:rPr>
              <w:endnoteReference w:id="7"/>
            </w:r>
          </w:p>
        </w:tc>
        <w:tc>
          <w:tcPr>
            <w:tcW w:w="203" w:type="pct"/>
            <w:shd w:val="clear" w:color="auto" w:fill="auto"/>
            <w:vAlign w:val="center"/>
          </w:tcPr>
          <w:p w14:paraId="0FEDCC56"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RCT</w:t>
            </w:r>
          </w:p>
        </w:tc>
        <w:tc>
          <w:tcPr>
            <w:tcW w:w="318" w:type="pct"/>
            <w:shd w:val="clear" w:color="auto" w:fill="auto"/>
            <w:vAlign w:val="center"/>
          </w:tcPr>
          <w:p w14:paraId="30C4AF0C"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USA</w:t>
            </w:r>
          </w:p>
        </w:tc>
        <w:tc>
          <w:tcPr>
            <w:tcW w:w="247" w:type="pct"/>
            <w:shd w:val="clear" w:color="auto" w:fill="auto"/>
            <w:vAlign w:val="center"/>
          </w:tcPr>
          <w:p w14:paraId="047C34DB"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National Cancer Institute, Department of Health and Human Services</w:t>
            </w:r>
          </w:p>
        </w:tc>
        <w:tc>
          <w:tcPr>
            <w:tcW w:w="258" w:type="pct"/>
            <w:shd w:val="clear" w:color="auto" w:fill="auto"/>
            <w:vAlign w:val="center"/>
          </w:tcPr>
          <w:p w14:paraId="2C0472B4"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July 1989 to February 1993</w:t>
            </w:r>
          </w:p>
        </w:tc>
        <w:tc>
          <w:tcPr>
            <w:tcW w:w="258" w:type="pct"/>
            <w:shd w:val="clear" w:color="auto" w:fill="auto"/>
            <w:vAlign w:val="center"/>
          </w:tcPr>
          <w:p w14:paraId="41B11F42"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White, non-Hispanic; Black, non-Hispanic; Hispanic; others</w:t>
            </w:r>
          </w:p>
        </w:tc>
        <w:tc>
          <w:tcPr>
            <w:tcW w:w="270" w:type="pct"/>
            <w:shd w:val="clear" w:color="auto" w:fill="auto"/>
            <w:vAlign w:val="center"/>
          </w:tcPr>
          <w:p w14:paraId="430905D6"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Breast cancer</w:t>
            </w:r>
          </w:p>
        </w:tc>
        <w:tc>
          <w:tcPr>
            <w:tcW w:w="271" w:type="pct"/>
            <w:shd w:val="clear" w:color="auto" w:fill="auto"/>
            <w:vAlign w:val="center"/>
          </w:tcPr>
          <w:p w14:paraId="4C31BAEF"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28-day cycle, 6 cycles</w:t>
            </w:r>
          </w:p>
        </w:tc>
        <w:tc>
          <w:tcPr>
            <w:tcW w:w="240" w:type="pct"/>
            <w:vAlign w:val="center"/>
          </w:tcPr>
          <w:p w14:paraId="2ADD34A6"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2.5 years</w:t>
            </w:r>
          </w:p>
        </w:tc>
        <w:tc>
          <w:tcPr>
            <w:tcW w:w="232" w:type="pct"/>
            <w:shd w:val="clear" w:color="auto" w:fill="auto"/>
            <w:vAlign w:val="center"/>
          </w:tcPr>
          <w:p w14:paraId="03398546"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669/676</w:t>
            </w:r>
          </w:p>
        </w:tc>
        <w:tc>
          <w:tcPr>
            <w:tcW w:w="222" w:type="pct"/>
            <w:shd w:val="clear" w:color="auto" w:fill="auto"/>
            <w:vAlign w:val="center"/>
          </w:tcPr>
          <w:p w14:paraId="50BA6E0C"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48</w:t>
            </w:r>
          </w:p>
        </w:tc>
        <w:tc>
          <w:tcPr>
            <w:tcW w:w="209" w:type="pct"/>
            <w:shd w:val="clear" w:color="auto" w:fill="auto"/>
            <w:vAlign w:val="center"/>
          </w:tcPr>
          <w:p w14:paraId="1B1CB53B"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48</w:t>
            </w:r>
          </w:p>
        </w:tc>
        <w:tc>
          <w:tcPr>
            <w:tcW w:w="229" w:type="pct"/>
            <w:shd w:val="clear" w:color="auto" w:fill="auto"/>
            <w:vAlign w:val="center"/>
          </w:tcPr>
          <w:p w14:paraId="37614E02"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0/669</w:t>
            </w:r>
          </w:p>
        </w:tc>
        <w:tc>
          <w:tcPr>
            <w:tcW w:w="254" w:type="pct"/>
            <w:shd w:val="clear" w:color="auto" w:fill="auto"/>
            <w:vAlign w:val="center"/>
          </w:tcPr>
          <w:p w14:paraId="2AFA77B2"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0/676</w:t>
            </w:r>
          </w:p>
        </w:tc>
        <w:tc>
          <w:tcPr>
            <w:tcW w:w="299" w:type="pct"/>
            <w:shd w:val="clear" w:color="auto" w:fill="auto"/>
            <w:vAlign w:val="center"/>
          </w:tcPr>
          <w:p w14:paraId="65CEC0C0"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Doxorubicin</w:t>
            </w:r>
          </w:p>
        </w:tc>
        <w:tc>
          <w:tcPr>
            <w:tcW w:w="484" w:type="pct"/>
            <w:vAlign w:val="center"/>
          </w:tcPr>
          <w:p w14:paraId="47C584D4"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Doxorubicin +</w:t>
            </w:r>
          </w:p>
          <w:p w14:paraId="7F859540"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cyclophosphamide + fluorouracil</w:t>
            </w:r>
          </w:p>
        </w:tc>
        <w:tc>
          <w:tcPr>
            <w:tcW w:w="418" w:type="pct"/>
            <w:shd w:val="clear" w:color="auto" w:fill="auto"/>
            <w:vAlign w:val="center"/>
          </w:tcPr>
          <w:p w14:paraId="42BBA918"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Methotrexate +</w:t>
            </w:r>
          </w:p>
          <w:p w14:paraId="3452C67A"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cyclophosphamide + fluorouracil</w:t>
            </w:r>
          </w:p>
        </w:tc>
        <w:tc>
          <w:tcPr>
            <w:tcW w:w="268" w:type="pct"/>
            <w:shd w:val="clear" w:color="auto" w:fill="auto"/>
            <w:vAlign w:val="center"/>
          </w:tcPr>
          <w:p w14:paraId="6694F81B"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S</w:t>
            </w:r>
            <w:r>
              <w:rPr>
                <w:rFonts w:ascii="Times New Roman" w:hAnsi="Times New Roman" w:cs="Times New Roman"/>
                <w:color w:val="000000"/>
                <w:sz w:val="11"/>
                <w:szCs w:val="11"/>
              </w:rPr>
              <w:t>ome concerns</w:t>
            </w:r>
          </w:p>
        </w:tc>
      </w:tr>
      <w:tr w:rsidR="005A5C01" w14:paraId="7DDB8159" w14:textId="77777777">
        <w:tc>
          <w:tcPr>
            <w:tcW w:w="319" w:type="pct"/>
            <w:vAlign w:val="center"/>
          </w:tcPr>
          <w:p w14:paraId="0318BB2B"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Pignata 2011</w:t>
            </w:r>
            <w:r>
              <w:rPr>
                <w:rStyle w:val="EndnoteReference"/>
                <w:rFonts w:ascii="Times New Roman" w:hAnsi="Times New Roman" w:cs="Times New Roman"/>
                <w:sz w:val="11"/>
                <w:szCs w:val="11"/>
              </w:rPr>
              <w:endnoteReference w:id="8"/>
            </w:r>
          </w:p>
        </w:tc>
        <w:tc>
          <w:tcPr>
            <w:tcW w:w="203" w:type="pct"/>
            <w:shd w:val="clear" w:color="auto" w:fill="auto"/>
            <w:vAlign w:val="center"/>
          </w:tcPr>
          <w:p w14:paraId="66D10350"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RCT</w:t>
            </w:r>
          </w:p>
        </w:tc>
        <w:tc>
          <w:tcPr>
            <w:tcW w:w="318" w:type="pct"/>
            <w:shd w:val="clear" w:color="auto" w:fill="auto"/>
            <w:vAlign w:val="center"/>
          </w:tcPr>
          <w:p w14:paraId="7B78F1B9"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Italy</w:t>
            </w:r>
          </w:p>
        </w:tc>
        <w:tc>
          <w:tcPr>
            <w:tcW w:w="247" w:type="pct"/>
            <w:shd w:val="clear" w:color="auto" w:fill="auto"/>
            <w:vAlign w:val="center"/>
          </w:tcPr>
          <w:p w14:paraId="69DE38FF"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 xml:space="preserve">Associazione Italiana per la Ricerca sul Cancro </w:t>
            </w:r>
          </w:p>
        </w:tc>
        <w:tc>
          <w:tcPr>
            <w:tcW w:w="258" w:type="pct"/>
            <w:shd w:val="clear" w:color="auto" w:fill="auto"/>
            <w:vAlign w:val="center"/>
          </w:tcPr>
          <w:p w14:paraId="0D3D72F8"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January 2003 to July 2004</w:t>
            </w:r>
          </w:p>
        </w:tc>
        <w:tc>
          <w:tcPr>
            <w:tcW w:w="258" w:type="pct"/>
            <w:shd w:val="clear" w:color="auto" w:fill="auto"/>
            <w:vAlign w:val="center"/>
          </w:tcPr>
          <w:p w14:paraId="09704FE4"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Not mentioned</w:t>
            </w:r>
          </w:p>
        </w:tc>
        <w:tc>
          <w:tcPr>
            <w:tcW w:w="270" w:type="pct"/>
            <w:shd w:val="clear" w:color="auto" w:fill="auto"/>
            <w:vAlign w:val="center"/>
          </w:tcPr>
          <w:p w14:paraId="34B58F5B"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 xml:space="preserve">Ovarian </w:t>
            </w:r>
            <w:r>
              <w:rPr>
                <w:rFonts w:ascii="Times New Roman" w:hAnsi="Times New Roman" w:cs="Times New Roman"/>
                <w:color w:val="000000"/>
                <w:sz w:val="11"/>
                <w:szCs w:val="11"/>
              </w:rPr>
              <w:t>cancer</w:t>
            </w:r>
          </w:p>
        </w:tc>
        <w:tc>
          <w:tcPr>
            <w:tcW w:w="271" w:type="pct"/>
            <w:shd w:val="clear" w:color="auto" w:fill="auto"/>
            <w:vAlign w:val="center"/>
          </w:tcPr>
          <w:p w14:paraId="3449725F"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21-day cycle, 6 cycles</w:t>
            </w:r>
          </w:p>
        </w:tc>
        <w:tc>
          <w:tcPr>
            <w:tcW w:w="240" w:type="pct"/>
            <w:vAlign w:val="center"/>
          </w:tcPr>
          <w:p w14:paraId="00B577F7"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32" w:type="pct"/>
            <w:shd w:val="clear" w:color="auto" w:fill="auto"/>
            <w:vAlign w:val="center"/>
          </w:tcPr>
          <w:p w14:paraId="4CC7DCDA"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403/408</w:t>
            </w:r>
          </w:p>
        </w:tc>
        <w:tc>
          <w:tcPr>
            <w:tcW w:w="222" w:type="pct"/>
            <w:shd w:val="clear" w:color="auto" w:fill="auto"/>
            <w:vAlign w:val="center"/>
          </w:tcPr>
          <w:p w14:paraId="2A7071C9"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57</w:t>
            </w:r>
          </w:p>
        </w:tc>
        <w:tc>
          <w:tcPr>
            <w:tcW w:w="209" w:type="pct"/>
            <w:shd w:val="clear" w:color="auto" w:fill="auto"/>
            <w:vAlign w:val="center"/>
          </w:tcPr>
          <w:p w14:paraId="36CA021D"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57</w:t>
            </w:r>
          </w:p>
        </w:tc>
        <w:tc>
          <w:tcPr>
            <w:tcW w:w="229" w:type="pct"/>
            <w:shd w:val="clear" w:color="auto" w:fill="auto"/>
            <w:vAlign w:val="center"/>
          </w:tcPr>
          <w:p w14:paraId="7EBFE10E"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0/403</w:t>
            </w:r>
          </w:p>
        </w:tc>
        <w:tc>
          <w:tcPr>
            <w:tcW w:w="254" w:type="pct"/>
            <w:shd w:val="clear" w:color="auto" w:fill="auto"/>
            <w:vAlign w:val="center"/>
          </w:tcPr>
          <w:p w14:paraId="2229E414"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0/408</w:t>
            </w:r>
          </w:p>
        </w:tc>
        <w:tc>
          <w:tcPr>
            <w:tcW w:w="299" w:type="pct"/>
            <w:shd w:val="clear" w:color="auto" w:fill="auto"/>
            <w:vAlign w:val="center"/>
          </w:tcPr>
          <w:p w14:paraId="3C1F8ED6"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Pegylated liposomal doxorubicin</w:t>
            </w:r>
          </w:p>
        </w:tc>
        <w:tc>
          <w:tcPr>
            <w:tcW w:w="484" w:type="pct"/>
            <w:vAlign w:val="center"/>
          </w:tcPr>
          <w:p w14:paraId="21B76ABB"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Pegylated liposomal doxorubicin</w:t>
            </w:r>
          </w:p>
          <w:p w14:paraId="14864A40"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30</w:t>
            </w:r>
            <w:r>
              <w:rPr>
                <w:rFonts w:ascii="Times New Roman" w:hAnsi="Times New Roman" w:cs="Times New Roman"/>
                <w:sz w:val="11"/>
                <w:szCs w:val="11"/>
              </w:rPr>
              <w:t xml:space="preserve"> mg/m</w:t>
            </w:r>
            <w:r>
              <w:rPr>
                <w:rFonts w:ascii="Times New Roman" w:hAnsi="Times New Roman" w:cs="Times New Roman"/>
                <w:sz w:val="11"/>
                <w:szCs w:val="11"/>
                <w:vertAlign w:val="superscript"/>
              </w:rPr>
              <w:t xml:space="preserve">2 </w:t>
            </w:r>
            <w:r>
              <w:rPr>
                <w:rFonts w:ascii="Times New Roman" w:hAnsi="Times New Roman" w:cs="Times New Roman"/>
                <w:color w:val="000000"/>
                <w:sz w:val="11"/>
                <w:szCs w:val="11"/>
              </w:rPr>
              <w:t>+</w:t>
            </w:r>
          </w:p>
          <w:p w14:paraId="7EDB2335"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carboplatin</w:t>
            </w:r>
          </w:p>
        </w:tc>
        <w:tc>
          <w:tcPr>
            <w:tcW w:w="418" w:type="pct"/>
            <w:shd w:val="clear" w:color="auto" w:fill="auto"/>
            <w:vAlign w:val="center"/>
          </w:tcPr>
          <w:p w14:paraId="37E29DAB"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Carboplatin + pegylated liposomal doxorubicin</w:t>
            </w:r>
          </w:p>
        </w:tc>
        <w:tc>
          <w:tcPr>
            <w:tcW w:w="268" w:type="pct"/>
            <w:shd w:val="clear" w:color="auto" w:fill="auto"/>
            <w:vAlign w:val="center"/>
          </w:tcPr>
          <w:p w14:paraId="0BC774E1"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Low</w:t>
            </w:r>
          </w:p>
        </w:tc>
      </w:tr>
      <w:tr w:rsidR="005A5C01" w14:paraId="67AB7782" w14:textId="77777777">
        <w:tc>
          <w:tcPr>
            <w:tcW w:w="319" w:type="pct"/>
            <w:vAlign w:val="center"/>
          </w:tcPr>
          <w:p w14:paraId="68FE3A93"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Nickel 2018</w:t>
            </w:r>
            <w:r>
              <w:rPr>
                <w:rStyle w:val="EndnoteReference"/>
                <w:rFonts w:ascii="Times New Roman" w:hAnsi="Times New Roman" w:cs="Times New Roman"/>
                <w:sz w:val="11"/>
                <w:szCs w:val="11"/>
              </w:rPr>
              <w:endnoteReference w:id="9"/>
            </w:r>
          </w:p>
        </w:tc>
        <w:tc>
          <w:tcPr>
            <w:tcW w:w="203" w:type="pct"/>
            <w:shd w:val="clear" w:color="auto" w:fill="auto"/>
            <w:vAlign w:val="center"/>
          </w:tcPr>
          <w:p w14:paraId="7C1A145B"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hint="eastAsia"/>
                <w:color w:val="000000"/>
                <w:sz w:val="11"/>
                <w:szCs w:val="11"/>
              </w:rPr>
              <w:t>C</w:t>
            </w:r>
            <w:r>
              <w:rPr>
                <w:rFonts w:ascii="Times New Roman" w:hAnsi="Times New Roman" w:cs="Times New Roman"/>
                <w:color w:val="000000"/>
                <w:sz w:val="11"/>
                <w:szCs w:val="11"/>
              </w:rPr>
              <w:t>ohort study</w:t>
            </w:r>
          </w:p>
        </w:tc>
        <w:tc>
          <w:tcPr>
            <w:tcW w:w="318" w:type="pct"/>
            <w:shd w:val="clear" w:color="auto" w:fill="auto"/>
            <w:vAlign w:val="center"/>
          </w:tcPr>
          <w:p w14:paraId="0F8BEA09"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USA</w:t>
            </w:r>
          </w:p>
        </w:tc>
        <w:tc>
          <w:tcPr>
            <w:tcW w:w="247" w:type="pct"/>
            <w:shd w:val="clear" w:color="auto" w:fill="auto"/>
            <w:vAlign w:val="center"/>
          </w:tcPr>
          <w:p w14:paraId="059E223B"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Not mentioned</w:t>
            </w:r>
          </w:p>
        </w:tc>
        <w:tc>
          <w:tcPr>
            <w:tcW w:w="258" w:type="pct"/>
            <w:shd w:val="clear" w:color="auto" w:fill="auto"/>
            <w:vAlign w:val="center"/>
          </w:tcPr>
          <w:p w14:paraId="1E93E570"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January 2010 to December 2015</w:t>
            </w:r>
          </w:p>
        </w:tc>
        <w:tc>
          <w:tcPr>
            <w:tcW w:w="258" w:type="pct"/>
            <w:shd w:val="clear" w:color="auto" w:fill="auto"/>
            <w:vAlign w:val="center"/>
          </w:tcPr>
          <w:p w14:paraId="2AD5AF6A"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Not mentioned</w:t>
            </w:r>
          </w:p>
        </w:tc>
        <w:tc>
          <w:tcPr>
            <w:tcW w:w="270" w:type="pct"/>
            <w:shd w:val="clear" w:color="auto" w:fill="auto"/>
            <w:vAlign w:val="center"/>
          </w:tcPr>
          <w:p w14:paraId="62B7320C"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Not specified</w:t>
            </w:r>
          </w:p>
        </w:tc>
        <w:tc>
          <w:tcPr>
            <w:tcW w:w="271" w:type="pct"/>
            <w:shd w:val="clear" w:color="auto" w:fill="auto"/>
            <w:vAlign w:val="center"/>
          </w:tcPr>
          <w:p w14:paraId="2907ED92"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Not mentioned</w:t>
            </w:r>
          </w:p>
        </w:tc>
        <w:tc>
          <w:tcPr>
            <w:tcW w:w="240" w:type="pct"/>
            <w:vAlign w:val="center"/>
          </w:tcPr>
          <w:p w14:paraId="3031D381"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6 months</w:t>
            </w:r>
          </w:p>
        </w:tc>
        <w:tc>
          <w:tcPr>
            <w:tcW w:w="232" w:type="pct"/>
            <w:shd w:val="clear" w:color="auto" w:fill="auto"/>
            <w:vAlign w:val="center"/>
          </w:tcPr>
          <w:p w14:paraId="028BD110"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color w:val="000000"/>
                <w:sz w:val="11"/>
                <w:szCs w:val="11"/>
              </w:rPr>
              <w:t>2075/2951</w:t>
            </w:r>
          </w:p>
        </w:tc>
        <w:tc>
          <w:tcPr>
            <w:tcW w:w="222" w:type="pct"/>
            <w:shd w:val="clear" w:color="auto" w:fill="auto"/>
            <w:vAlign w:val="center"/>
          </w:tcPr>
          <w:p w14:paraId="48DFF415"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55.3±13.99</w:t>
            </w:r>
          </w:p>
        </w:tc>
        <w:tc>
          <w:tcPr>
            <w:tcW w:w="209" w:type="pct"/>
            <w:shd w:val="clear" w:color="auto" w:fill="auto"/>
            <w:vAlign w:val="center"/>
          </w:tcPr>
          <w:p w14:paraId="52A395FB"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59.1±13.8</w:t>
            </w:r>
          </w:p>
        </w:tc>
        <w:tc>
          <w:tcPr>
            <w:tcW w:w="229" w:type="pct"/>
            <w:shd w:val="clear" w:color="auto" w:fill="auto"/>
            <w:vAlign w:val="center"/>
          </w:tcPr>
          <w:p w14:paraId="68BDB28C"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1099/976</w:t>
            </w:r>
          </w:p>
        </w:tc>
        <w:tc>
          <w:tcPr>
            <w:tcW w:w="254" w:type="pct"/>
            <w:shd w:val="clear" w:color="auto" w:fill="auto"/>
            <w:vAlign w:val="center"/>
          </w:tcPr>
          <w:p w14:paraId="50778212"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1309/1642</w:t>
            </w:r>
          </w:p>
        </w:tc>
        <w:tc>
          <w:tcPr>
            <w:tcW w:w="299" w:type="pct"/>
            <w:shd w:val="clear" w:color="auto" w:fill="auto"/>
            <w:vAlign w:val="center"/>
          </w:tcPr>
          <w:p w14:paraId="13C5C4E2"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Doxorubicin, epirubicin, daunorubicin</w:t>
            </w:r>
          </w:p>
        </w:tc>
        <w:tc>
          <w:tcPr>
            <w:tcW w:w="484" w:type="pct"/>
            <w:vAlign w:val="center"/>
          </w:tcPr>
          <w:p w14:paraId="251ECB80"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Anthracyclines</w:t>
            </w:r>
            <w:r>
              <w:rPr>
                <w:rFonts w:ascii="Times New Roman" w:hAnsi="Times New Roman" w:cs="Times New Roman"/>
                <w:color w:val="000000"/>
                <w:sz w:val="11"/>
                <w:szCs w:val="11"/>
              </w:rPr>
              <w:t xml:space="preserve"> (doxorubicin, epirubicin, daunorubicin)</w:t>
            </w:r>
          </w:p>
        </w:tc>
        <w:tc>
          <w:tcPr>
            <w:tcW w:w="418" w:type="pct"/>
            <w:shd w:val="clear" w:color="auto" w:fill="auto"/>
            <w:vAlign w:val="center"/>
          </w:tcPr>
          <w:p w14:paraId="2971A639"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 xml:space="preserve">Nonanthracycline antineoplastic drugs (bevacizumab, nivolumab, pembrolizumab, ibrutinib, imatinib, ipilimumab, erlotinib, lapatinib, sorafenib, </w:t>
            </w:r>
            <w:r>
              <w:rPr>
                <w:rFonts w:ascii="Times New Roman" w:hAnsi="Times New Roman" w:cs="Times New Roman"/>
                <w:color w:val="000000"/>
                <w:sz w:val="11"/>
                <w:szCs w:val="11"/>
              </w:rPr>
              <w:lastRenderedPageBreak/>
              <w:t>sunitinib, trastuzumab, vemurafenib)</w:t>
            </w:r>
          </w:p>
        </w:tc>
        <w:tc>
          <w:tcPr>
            <w:tcW w:w="268" w:type="pct"/>
            <w:shd w:val="clear" w:color="auto" w:fill="auto"/>
            <w:vAlign w:val="center"/>
          </w:tcPr>
          <w:p w14:paraId="08029F71"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lastRenderedPageBreak/>
              <w:t>5</w:t>
            </w:r>
          </w:p>
        </w:tc>
      </w:tr>
      <w:tr w:rsidR="005A5C01" w14:paraId="71CF49B5" w14:textId="77777777">
        <w:tc>
          <w:tcPr>
            <w:tcW w:w="319" w:type="pct"/>
            <w:vAlign w:val="center"/>
          </w:tcPr>
          <w:p w14:paraId="38149EAD"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Heidenreich 2004</w:t>
            </w:r>
            <w:r>
              <w:rPr>
                <w:rStyle w:val="EndnoteReference"/>
                <w:rFonts w:ascii="Times New Roman" w:hAnsi="Times New Roman" w:cs="Times New Roman"/>
                <w:sz w:val="11"/>
                <w:szCs w:val="11"/>
              </w:rPr>
              <w:endnoteReference w:id="10"/>
            </w:r>
          </w:p>
        </w:tc>
        <w:tc>
          <w:tcPr>
            <w:tcW w:w="203" w:type="pct"/>
            <w:shd w:val="clear" w:color="auto" w:fill="auto"/>
            <w:vAlign w:val="center"/>
          </w:tcPr>
          <w:p w14:paraId="0A1834A2"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RCT</w:t>
            </w:r>
          </w:p>
        </w:tc>
        <w:tc>
          <w:tcPr>
            <w:tcW w:w="318" w:type="pct"/>
            <w:shd w:val="clear" w:color="auto" w:fill="auto"/>
            <w:vAlign w:val="center"/>
          </w:tcPr>
          <w:p w14:paraId="5DA7DFE6"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Ger</w:t>
            </w:r>
            <w:r>
              <w:rPr>
                <w:rFonts w:ascii="Times New Roman" w:hAnsi="Times New Roman" w:cs="Times New Roman"/>
                <w:color w:val="000000"/>
                <w:sz w:val="11"/>
                <w:szCs w:val="11"/>
              </w:rPr>
              <w:t>many</w:t>
            </w:r>
          </w:p>
        </w:tc>
        <w:tc>
          <w:tcPr>
            <w:tcW w:w="247" w:type="pct"/>
            <w:shd w:val="clear" w:color="auto" w:fill="auto"/>
            <w:vAlign w:val="center"/>
          </w:tcPr>
          <w:p w14:paraId="0C456B7A"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58" w:type="pct"/>
            <w:shd w:val="clear" w:color="auto" w:fill="auto"/>
            <w:vAlign w:val="center"/>
          </w:tcPr>
          <w:p w14:paraId="5E38D088"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58" w:type="pct"/>
            <w:shd w:val="clear" w:color="auto" w:fill="auto"/>
            <w:vAlign w:val="center"/>
          </w:tcPr>
          <w:p w14:paraId="44A4C780"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70" w:type="pct"/>
            <w:shd w:val="clear" w:color="auto" w:fill="auto"/>
            <w:vAlign w:val="center"/>
          </w:tcPr>
          <w:p w14:paraId="00864807"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P</w:t>
            </w:r>
            <w:r>
              <w:rPr>
                <w:rFonts w:ascii="Times New Roman" w:hAnsi="Times New Roman" w:cs="Times New Roman" w:hint="eastAsia"/>
                <w:color w:val="000000"/>
                <w:sz w:val="11"/>
                <w:szCs w:val="11"/>
              </w:rPr>
              <w:t>rostate carcinoma</w:t>
            </w:r>
          </w:p>
        </w:tc>
        <w:tc>
          <w:tcPr>
            <w:tcW w:w="271" w:type="pct"/>
            <w:shd w:val="clear" w:color="auto" w:fill="auto"/>
            <w:vAlign w:val="center"/>
          </w:tcPr>
          <w:p w14:paraId="3A85F5CE"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2</w:t>
            </w:r>
            <w:r>
              <w:rPr>
                <w:rFonts w:ascii="Times New Roman" w:hAnsi="Times New Roman" w:cs="Times New Roman"/>
                <w:color w:val="000000"/>
                <w:sz w:val="11"/>
                <w:szCs w:val="11"/>
              </w:rPr>
              <w:t>4 weeks</w:t>
            </w:r>
          </w:p>
        </w:tc>
        <w:tc>
          <w:tcPr>
            <w:tcW w:w="240" w:type="pct"/>
            <w:vAlign w:val="center"/>
          </w:tcPr>
          <w:p w14:paraId="4033C1B2"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 xml:space="preserve">6.5 </w:t>
            </w:r>
            <w:r>
              <w:rPr>
                <w:rFonts w:ascii="Times New Roman" w:hAnsi="Times New Roman" w:cs="Times New Roman" w:hint="eastAsia"/>
                <w:color w:val="000000"/>
                <w:sz w:val="11"/>
                <w:szCs w:val="11"/>
              </w:rPr>
              <w:t>months</w:t>
            </w:r>
          </w:p>
        </w:tc>
        <w:tc>
          <w:tcPr>
            <w:tcW w:w="232" w:type="pct"/>
            <w:tcBorders>
              <w:top w:val="nil"/>
              <w:left w:val="nil"/>
              <w:bottom w:val="nil"/>
              <w:right w:val="nil"/>
            </w:tcBorders>
            <w:shd w:val="clear" w:color="auto" w:fill="auto"/>
            <w:vAlign w:val="center"/>
          </w:tcPr>
          <w:p w14:paraId="1C9A9126"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22/26</w:t>
            </w:r>
          </w:p>
        </w:tc>
        <w:tc>
          <w:tcPr>
            <w:tcW w:w="222" w:type="pct"/>
            <w:tcBorders>
              <w:top w:val="nil"/>
              <w:left w:val="nil"/>
              <w:bottom w:val="nil"/>
              <w:right w:val="nil"/>
            </w:tcBorders>
            <w:shd w:val="clear" w:color="auto" w:fill="auto"/>
            <w:vAlign w:val="center"/>
          </w:tcPr>
          <w:p w14:paraId="70BF1D38"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69.3</w:t>
            </w:r>
            <w:r>
              <w:rPr>
                <w:rFonts w:ascii="Times New Roman" w:hAnsi="Times New Roman" w:cs="Times New Roman" w:hint="eastAsia"/>
                <w:color w:val="000000"/>
                <w:sz w:val="11"/>
                <w:szCs w:val="11"/>
              </w:rPr>
              <w:t>±</w:t>
            </w:r>
            <w:r>
              <w:rPr>
                <w:rFonts w:ascii="Times New Roman" w:hAnsi="Times New Roman" w:cs="Times New Roman" w:hint="eastAsia"/>
                <w:color w:val="000000"/>
                <w:sz w:val="11"/>
                <w:szCs w:val="11"/>
              </w:rPr>
              <w:t>11.5</w:t>
            </w:r>
          </w:p>
        </w:tc>
        <w:tc>
          <w:tcPr>
            <w:tcW w:w="209" w:type="pct"/>
            <w:tcBorders>
              <w:top w:val="nil"/>
              <w:left w:val="nil"/>
              <w:bottom w:val="nil"/>
              <w:right w:val="nil"/>
            </w:tcBorders>
            <w:shd w:val="clear" w:color="auto" w:fill="auto"/>
            <w:vAlign w:val="center"/>
          </w:tcPr>
          <w:p w14:paraId="6ED0D2F2"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67.5±11.2</w:t>
            </w:r>
          </w:p>
        </w:tc>
        <w:tc>
          <w:tcPr>
            <w:tcW w:w="229" w:type="pct"/>
            <w:tcBorders>
              <w:top w:val="nil"/>
              <w:left w:val="nil"/>
              <w:bottom w:val="nil"/>
              <w:right w:val="nil"/>
            </w:tcBorders>
            <w:shd w:val="clear" w:color="auto" w:fill="auto"/>
            <w:vAlign w:val="center"/>
          </w:tcPr>
          <w:p w14:paraId="5C397371"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22/0</w:t>
            </w:r>
          </w:p>
        </w:tc>
        <w:tc>
          <w:tcPr>
            <w:tcW w:w="254" w:type="pct"/>
            <w:tcBorders>
              <w:top w:val="nil"/>
              <w:left w:val="nil"/>
              <w:bottom w:val="nil"/>
              <w:right w:val="nil"/>
            </w:tcBorders>
            <w:shd w:val="clear" w:color="auto" w:fill="auto"/>
            <w:vAlign w:val="center"/>
          </w:tcPr>
          <w:p w14:paraId="230E94B0"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26/0</w:t>
            </w:r>
          </w:p>
        </w:tc>
        <w:tc>
          <w:tcPr>
            <w:tcW w:w="299" w:type="pct"/>
            <w:shd w:val="clear" w:color="auto" w:fill="auto"/>
            <w:vAlign w:val="center"/>
          </w:tcPr>
          <w:p w14:paraId="016AE73A"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sz w:val="11"/>
                <w:szCs w:val="11"/>
              </w:rPr>
              <w:t>P</w:t>
            </w:r>
            <w:r>
              <w:rPr>
                <w:rFonts w:ascii="Times New Roman" w:hAnsi="Times New Roman" w:cs="Times New Roman" w:hint="eastAsia"/>
                <w:sz w:val="11"/>
                <w:szCs w:val="11"/>
              </w:rPr>
              <w:t>egylated liposomal doxorubicin</w:t>
            </w:r>
          </w:p>
        </w:tc>
        <w:tc>
          <w:tcPr>
            <w:tcW w:w="484" w:type="pct"/>
            <w:tcBorders>
              <w:top w:val="nil"/>
              <w:left w:val="nil"/>
              <w:bottom w:val="nil"/>
              <w:right w:val="nil"/>
            </w:tcBorders>
            <w:shd w:val="clear" w:color="auto" w:fill="auto"/>
            <w:vAlign w:val="center"/>
          </w:tcPr>
          <w:p w14:paraId="7D3553E3"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P</w:t>
            </w:r>
            <w:r>
              <w:rPr>
                <w:rFonts w:ascii="Times New Roman" w:hAnsi="Times New Roman" w:cs="Times New Roman" w:hint="eastAsia"/>
                <w:sz w:val="11"/>
                <w:szCs w:val="11"/>
              </w:rPr>
              <w:t>egylated liposomal doxorubicin</w:t>
            </w:r>
          </w:p>
          <w:p w14:paraId="01E03809"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25 mg/m</w:t>
            </w:r>
            <w:r>
              <w:rPr>
                <w:rFonts w:ascii="Times New Roman" w:hAnsi="Times New Roman" w:cs="Times New Roman"/>
                <w:sz w:val="11"/>
                <w:szCs w:val="11"/>
                <w:vertAlign w:val="superscript"/>
              </w:rPr>
              <w:t>2</w:t>
            </w:r>
          </w:p>
        </w:tc>
        <w:tc>
          <w:tcPr>
            <w:tcW w:w="418" w:type="pct"/>
            <w:tcBorders>
              <w:top w:val="nil"/>
              <w:left w:val="nil"/>
              <w:bottom w:val="nil"/>
              <w:right w:val="nil"/>
            </w:tcBorders>
            <w:shd w:val="clear" w:color="auto" w:fill="auto"/>
            <w:vAlign w:val="center"/>
          </w:tcPr>
          <w:p w14:paraId="11D266FF"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P</w:t>
            </w:r>
            <w:r>
              <w:rPr>
                <w:rFonts w:ascii="Times New Roman" w:hAnsi="Times New Roman" w:cs="Times New Roman" w:hint="eastAsia"/>
                <w:sz w:val="11"/>
                <w:szCs w:val="11"/>
              </w:rPr>
              <w:t>egylated liposomal doxorubicin</w:t>
            </w:r>
          </w:p>
          <w:p w14:paraId="4FC6012E"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50 mg/m</w:t>
            </w:r>
            <w:r>
              <w:rPr>
                <w:rFonts w:ascii="Times New Roman" w:hAnsi="Times New Roman" w:cs="Times New Roman"/>
                <w:sz w:val="11"/>
                <w:szCs w:val="11"/>
                <w:vertAlign w:val="superscript"/>
              </w:rPr>
              <w:t>2</w:t>
            </w:r>
          </w:p>
        </w:tc>
        <w:tc>
          <w:tcPr>
            <w:tcW w:w="268" w:type="pct"/>
            <w:tcBorders>
              <w:top w:val="nil"/>
              <w:left w:val="nil"/>
              <w:bottom w:val="nil"/>
              <w:right w:val="nil"/>
            </w:tcBorders>
            <w:shd w:val="clear" w:color="auto" w:fill="auto"/>
            <w:vAlign w:val="center"/>
          </w:tcPr>
          <w:p w14:paraId="7A28298F"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hint="eastAsia"/>
                <w:color w:val="000000"/>
                <w:sz w:val="11"/>
                <w:szCs w:val="11"/>
              </w:rPr>
              <w:t>S</w:t>
            </w:r>
            <w:r>
              <w:rPr>
                <w:rFonts w:ascii="Times New Roman" w:hAnsi="Times New Roman" w:cs="Times New Roman"/>
                <w:color w:val="000000"/>
                <w:sz w:val="11"/>
                <w:szCs w:val="11"/>
              </w:rPr>
              <w:t xml:space="preserve">ome </w:t>
            </w:r>
            <w:r>
              <w:rPr>
                <w:rFonts w:ascii="Times New Roman" w:hAnsi="Times New Roman" w:cs="Times New Roman"/>
                <w:color w:val="000000"/>
                <w:sz w:val="11"/>
                <w:szCs w:val="11"/>
              </w:rPr>
              <w:t>concerns</w:t>
            </w:r>
          </w:p>
        </w:tc>
      </w:tr>
      <w:tr w:rsidR="005A5C01" w14:paraId="390632C0" w14:textId="77777777">
        <w:tc>
          <w:tcPr>
            <w:tcW w:w="319" w:type="pct"/>
            <w:vAlign w:val="center"/>
          </w:tcPr>
          <w:p w14:paraId="384BA136"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Zhai 2010</w:t>
            </w:r>
            <w:r>
              <w:rPr>
                <w:rStyle w:val="EndnoteReference"/>
                <w:rFonts w:ascii="Times New Roman" w:hAnsi="Times New Roman" w:cs="Times New Roman"/>
                <w:sz w:val="11"/>
                <w:szCs w:val="11"/>
              </w:rPr>
              <w:endnoteReference w:id="11"/>
            </w:r>
          </w:p>
        </w:tc>
        <w:tc>
          <w:tcPr>
            <w:tcW w:w="203" w:type="pct"/>
            <w:shd w:val="clear" w:color="auto" w:fill="auto"/>
            <w:vAlign w:val="center"/>
          </w:tcPr>
          <w:p w14:paraId="48746337"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C</w:t>
            </w:r>
            <w:r>
              <w:rPr>
                <w:rFonts w:ascii="Times New Roman" w:hAnsi="Times New Roman" w:cs="Times New Roman"/>
                <w:color w:val="000000"/>
                <w:sz w:val="11"/>
                <w:szCs w:val="11"/>
              </w:rPr>
              <w:t>ohort study</w:t>
            </w:r>
          </w:p>
        </w:tc>
        <w:tc>
          <w:tcPr>
            <w:tcW w:w="318" w:type="pct"/>
            <w:shd w:val="clear" w:color="auto" w:fill="auto"/>
            <w:vAlign w:val="center"/>
          </w:tcPr>
          <w:p w14:paraId="340F2393"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China</w:t>
            </w:r>
          </w:p>
        </w:tc>
        <w:tc>
          <w:tcPr>
            <w:tcW w:w="247" w:type="pct"/>
            <w:shd w:val="clear" w:color="auto" w:fill="auto"/>
            <w:vAlign w:val="center"/>
          </w:tcPr>
          <w:p w14:paraId="43D49C23"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Guangdong National Science</w:t>
            </w:r>
          </w:p>
        </w:tc>
        <w:tc>
          <w:tcPr>
            <w:tcW w:w="258" w:type="pct"/>
            <w:shd w:val="clear" w:color="auto" w:fill="auto"/>
            <w:vAlign w:val="center"/>
          </w:tcPr>
          <w:p w14:paraId="4E76CD78"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1987-2003</w:t>
            </w:r>
          </w:p>
        </w:tc>
        <w:tc>
          <w:tcPr>
            <w:tcW w:w="258" w:type="pct"/>
            <w:shd w:val="clear" w:color="auto" w:fill="auto"/>
            <w:vAlign w:val="center"/>
          </w:tcPr>
          <w:p w14:paraId="3EB55DDE"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70" w:type="pct"/>
            <w:shd w:val="clear" w:color="auto" w:fill="auto"/>
            <w:vAlign w:val="center"/>
          </w:tcPr>
          <w:p w14:paraId="4EDEEF5B"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Non-Hodgkin’s lymphoma</w:t>
            </w:r>
          </w:p>
        </w:tc>
        <w:tc>
          <w:tcPr>
            <w:tcW w:w="271" w:type="pct"/>
            <w:shd w:val="clear" w:color="auto" w:fill="auto"/>
            <w:vAlign w:val="center"/>
          </w:tcPr>
          <w:p w14:paraId="59914A80"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40" w:type="pct"/>
            <w:vAlign w:val="center"/>
          </w:tcPr>
          <w:p w14:paraId="35E4058A"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5</w:t>
            </w:r>
            <w:r>
              <w:rPr>
                <w:rFonts w:ascii="Times New Roman" w:hAnsi="Times New Roman" w:cs="Times New Roman"/>
                <w:color w:val="000000"/>
                <w:sz w:val="11"/>
                <w:szCs w:val="11"/>
              </w:rPr>
              <w:t xml:space="preserve"> years</w:t>
            </w:r>
          </w:p>
        </w:tc>
        <w:tc>
          <w:tcPr>
            <w:tcW w:w="232" w:type="pct"/>
            <w:tcBorders>
              <w:top w:val="nil"/>
              <w:left w:val="nil"/>
              <w:right w:val="nil"/>
            </w:tcBorders>
            <w:shd w:val="clear" w:color="auto" w:fill="auto"/>
            <w:vAlign w:val="center"/>
          </w:tcPr>
          <w:p w14:paraId="07B54E56"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205/254</w:t>
            </w:r>
          </w:p>
        </w:tc>
        <w:tc>
          <w:tcPr>
            <w:tcW w:w="222" w:type="pct"/>
            <w:tcBorders>
              <w:top w:val="nil"/>
              <w:left w:val="nil"/>
              <w:right w:val="nil"/>
            </w:tcBorders>
            <w:shd w:val="clear" w:color="auto" w:fill="auto"/>
            <w:vAlign w:val="center"/>
          </w:tcPr>
          <w:p w14:paraId="518AEC7E"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applicable</w:t>
            </w:r>
          </w:p>
        </w:tc>
        <w:tc>
          <w:tcPr>
            <w:tcW w:w="209" w:type="pct"/>
            <w:tcBorders>
              <w:top w:val="nil"/>
              <w:left w:val="nil"/>
              <w:right w:val="nil"/>
            </w:tcBorders>
            <w:shd w:val="clear" w:color="auto" w:fill="auto"/>
            <w:vAlign w:val="center"/>
          </w:tcPr>
          <w:p w14:paraId="599F80E7"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applicable</w:t>
            </w:r>
          </w:p>
        </w:tc>
        <w:tc>
          <w:tcPr>
            <w:tcW w:w="229" w:type="pct"/>
            <w:tcBorders>
              <w:top w:val="nil"/>
              <w:left w:val="nil"/>
              <w:right w:val="nil"/>
            </w:tcBorders>
            <w:shd w:val="clear" w:color="auto" w:fill="auto"/>
            <w:vAlign w:val="center"/>
          </w:tcPr>
          <w:p w14:paraId="572103AB"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126/79</w:t>
            </w:r>
          </w:p>
        </w:tc>
        <w:tc>
          <w:tcPr>
            <w:tcW w:w="254" w:type="pct"/>
            <w:tcBorders>
              <w:top w:val="nil"/>
              <w:left w:val="nil"/>
              <w:right w:val="nil"/>
            </w:tcBorders>
            <w:shd w:val="clear" w:color="auto" w:fill="auto"/>
            <w:vAlign w:val="center"/>
          </w:tcPr>
          <w:p w14:paraId="2896AA96"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173/81</w:t>
            </w:r>
          </w:p>
        </w:tc>
        <w:tc>
          <w:tcPr>
            <w:tcW w:w="299" w:type="pct"/>
            <w:shd w:val="clear" w:color="auto" w:fill="auto"/>
            <w:vAlign w:val="center"/>
          </w:tcPr>
          <w:p w14:paraId="371B12CF"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sz w:val="11"/>
                <w:szCs w:val="11"/>
              </w:rPr>
              <w:t>P</w:t>
            </w:r>
            <w:r>
              <w:rPr>
                <w:rFonts w:ascii="Times New Roman" w:hAnsi="Times New Roman" w:cs="Times New Roman" w:hint="eastAsia"/>
                <w:sz w:val="11"/>
                <w:szCs w:val="11"/>
              </w:rPr>
              <w:t>irarubicin</w:t>
            </w:r>
            <w:r>
              <w:rPr>
                <w:rFonts w:ascii="Times New Roman" w:hAnsi="Times New Roman" w:cs="Times New Roman"/>
                <w:sz w:val="11"/>
                <w:szCs w:val="11"/>
              </w:rPr>
              <w:t xml:space="preserve">, </w:t>
            </w:r>
            <w:r>
              <w:rPr>
                <w:rFonts w:ascii="Times New Roman" w:hAnsi="Times New Roman" w:cs="Times New Roman" w:hint="eastAsia"/>
                <w:sz w:val="11"/>
                <w:szCs w:val="11"/>
              </w:rPr>
              <w:t>doxorubicin</w:t>
            </w:r>
          </w:p>
        </w:tc>
        <w:tc>
          <w:tcPr>
            <w:tcW w:w="484" w:type="pct"/>
            <w:tcBorders>
              <w:top w:val="nil"/>
              <w:left w:val="nil"/>
              <w:right w:val="nil"/>
            </w:tcBorders>
            <w:shd w:val="clear" w:color="auto" w:fill="auto"/>
            <w:vAlign w:val="center"/>
          </w:tcPr>
          <w:p w14:paraId="24AD72A2"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P</w:t>
            </w:r>
            <w:r>
              <w:rPr>
                <w:rFonts w:ascii="Times New Roman" w:hAnsi="Times New Roman" w:cs="Times New Roman" w:hint="eastAsia"/>
                <w:sz w:val="11"/>
                <w:szCs w:val="11"/>
              </w:rPr>
              <w:t xml:space="preserve">irarubicin, </w:t>
            </w:r>
            <w:r>
              <w:rPr>
                <w:rFonts w:ascii="Times New Roman" w:hAnsi="Times New Roman" w:cs="Times New Roman" w:hint="eastAsia"/>
                <w:sz w:val="11"/>
                <w:szCs w:val="11"/>
              </w:rPr>
              <w:t>cyclophosphamide, vincristine, and prednisone</w:t>
            </w:r>
          </w:p>
        </w:tc>
        <w:tc>
          <w:tcPr>
            <w:tcW w:w="418" w:type="pct"/>
            <w:tcBorders>
              <w:top w:val="nil"/>
              <w:left w:val="nil"/>
              <w:right w:val="nil"/>
            </w:tcBorders>
            <w:shd w:val="clear" w:color="auto" w:fill="auto"/>
            <w:vAlign w:val="center"/>
          </w:tcPr>
          <w:p w14:paraId="2D1365C1"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hint="eastAsia"/>
                <w:sz w:val="11"/>
                <w:szCs w:val="11"/>
              </w:rPr>
              <w:t>doxorubicin, cyclophosphamide, vincristine, and prednisone</w:t>
            </w:r>
          </w:p>
        </w:tc>
        <w:tc>
          <w:tcPr>
            <w:tcW w:w="268" w:type="pct"/>
            <w:tcBorders>
              <w:top w:val="nil"/>
              <w:left w:val="nil"/>
              <w:right w:val="nil"/>
            </w:tcBorders>
            <w:shd w:val="clear" w:color="auto" w:fill="auto"/>
            <w:vAlign w:val="center"/>
          </w:tcPr>
          <w:p w14:paraId="5C3359BB"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hint="eastAsia"/>
                <w:sz w:val="11"/>
                <w:szCs w:val="11"/>
              </w:rPr>
              <w:t>6</w:t>
            </w:r>
          </w:p>
        </w:tc>
      </w:tr>
      <w:tr w:rsidR="005A5C01" w14:paraId="1D740F56" w14:textId="77777777">
        <w:tc>
          <w:tcPr>
            <w:tcW w:w="319" w:type="pct"/>
            <w:tcBorders>
              <w:bottom w:val="single" w:sz="4" w:space="0" w:color="auto"/>
            </w:tcBorders>
            <w:vAlign w:val="center"/>
          </w:tcPr>
          <w:p w14:paraId="3DD5C518"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Vici 2011</w:t>
            </w:r>
            <w:r>
              <w:rPr>
                <w:rStyle w:val="EndnoteReference"/>
                <w:rFonts w:ascii="Times New Roman" w:hAnsi="Times New Roman" w:cs="Times New Roman"/>
                <w:sz w:val="11"/>
                <w:szCs w:val="11"/>
              </w:rPr>
              <w:endnoteReference w:id="12"/>
            </w:r>
          </w:p>
        </w:tc>
        <w:tc>
          <w:tcPr>
            <w:tcW w:w="203" w:type="pct"/>
            <w:tcBorders>
              <w:bottom w:val="single" w:sz="4" w:space="0" w:color="auto"/>
            </w:tcBorders>
            <w:shd w:val="clear" w:color="auto" w:fill="auto"/>
            <w:vAlign w:val="center"/>
          </w:tcPr>
          <w:p w14:paraId="4CF6FF49"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RCT</w:t>
            </w:r>
          </w:p>
        </w:tc>
        <w:tc>
          <w:tcPr>
            <w:tcW w:w="318" w:type="pct"/>
            <w:tcBorders>
              <w:bottom w:val="single" w:sz="4" w:space="0" w:color="auto"/>
            </w:tcBorders>
            <w:shd w:val="clear" w:color="auto" w:fill="auto"/>
            <w:vAlign w:val="center"/>
          </w:tcPr>
          <w:p w14:paraId="3AAC7DFE"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Italy</w:t>
            </w:r>
          </w:p>
        </w:tc>
        <w:tc>
          <w:tcPr>
            <w:tcW w:w="247" w:type="pct"/>
            <w:tcBorders>
              <w:bottom w:val="single" w:sz="4" w:space="0" w:color="auto"/>
            </w:tcBorders>
            <w:shd w:val="clear" w:color="auto" w:fill="auto"/>
            <w:vAlign w:val="center"/>
          </w:tcPr>
          <w:p w14:paraId="066A5763"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58" w:type="pct"/>
            <w:tcBorders>
              <w:bottom w:val="single" w:sz="4" w:space="0" w:color="auto"/>
            </w:tcBorders>
            <w:shd w:val="clear" w:color="auto" w:fill="auto"/>
            <w:vAlign w:val="center"/>
          </w:tcPr>
          <w:p w14:paraId="38A729D6"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March 2003 to November 2005</w:t>
            </w:r>
          </w:p>
        </w:tc>
        <w:tc>
          <w:tcPr>
            <w:tcW w:w="258" w:type="pct"/>
            <w:tcBorders>
              <w:bottom w:val="single" w:sz="4" w:space="0" w:color="auto"/>
            </w:tcBorders>
            <w:shd w:val="clear" w:color="auto" w:fill="auto"/>
            <w:vAlign w:val="center"/>
          </w:tcPr>
          <w:p w14:paraId="7FFCCB68"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70" w:type="pct"/>
            <w:tcBorders>
              <w:bottom w:val="single" w:sz="4" w:space="0" w:color="auto"/>
            </w:tcBorders>
            <w:shd w:val="clear" w:color="auto" w:fill="auto"/>
            <w:vAlign w:val="center"/>
          </w:tcPr>
          <w:p w14:paraId="20145EBA"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Breast cancer</w:t>
            </w:r>
          </w:p>
        </w:tc>
        <w:tc>
          <w:tcPr>
            <w:tcW w:w="271" w:type="pct"/>
            <w:tcBorders>
              <w:bottom w:val="single" w:sz="4" w:space="0" w:color="auto"/>
            </w:tcBorders>
            <w:shd w:val="clear" w:color="auto" w:fill="auto"/>
            <w:vAlign w:val="center"/>
          </w:tcPr>
          <w:p w14:paraId="4882C87B"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21-day cycle, 8 cycles, 28-day cycle, 8 cycles</w:t>
            </w:r>
          </w:p>
        </w:tc>
        <w:tc>
          <w:tcPr>
            <w:tcW w:w="240" w:type="pct"/>
            <w:tcBorders>
              <w:bottom w:val="single" w:sz="4" w:space="0" w:color="auto"/>
            </w:tcBorders>
            <w:vAlign w:val="center"/>
          </w:tcPr>
          <w:p w14:paraId="5C51F864"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color w:val="000000"/>
                <w:sz w:val="11"/>
                <w:szCs w:val="11"/>
              </w:rPr>
              <w:t>Not mentioned</w:t>
            </w:r>
          </w:p>
        </w:tc>
        <w:tc>
          <w:tcPr>
            <w:tcW w:w="232" w:type="pct"/>
            <w:tcBorders>
              <w:top w:val="nil"/>
              <w:left w:val="nil"/>
              <w:bottom w:val="single" w:sz="4" w:space="0" w:color="auto"/>
              <w:right w:val="nil"/>
            </w:tcBorders>
            <w:shd w:val="clear" w:color="auto" w:fill="auto"/>
            <w:vAlign w:val="center"/>
          </w:tcPr>
          <w:p w14:paraId="4FB2E8C6"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54/50</w:t>
            </w:r>
          </w:p>
        </w:tc>
        <w:tc>
          <w:tcPr>
            <w:tcW w:w="222" w:type="pct"/>
            <w:tcBorders>
              <w:top w:val="nil"/>
              <w:left w:val="nil"/>
              <w:bottom w:val="single" w:sz="4" w:space="0" w:color="auto"/>
              <w:right w:val="nil"/>
            </w:tcBorders>
            <w:shd w:val="clear" w:color="auto" w:fill="auto"/>
            <w:vAlign w:val="center"/>
          </w:tcPr>
          <w:p w14:paraId="1D98C29B"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63</w:t>
            </w:r>
          </w:p>
        </w:tc>
        <w:tc>
          <w:tcPr>
            <w:tcW w:w="209" w:type="pct"/>
            <w:tcBorders>
              <w:top w:val="nil"/>
              <w:left w:val="nil"/>
              <w:bottom w:val="single" w:sz="4" w:space="0" w:color="auto"/>
              <w:right w:val="nil"/>
            </w:tcBorders>
            <w:shd w:val="clear" w:color="auto" w:fill="auto"/>
            <w:vAlign w:val="center"/>
          </w:tcPr>
          <w:p w14:paraId="086E8383"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61</w:t>
            </w:r>
          </w:p>
        </w:tc>
        <w:tc>
          <w:tcPr>
            <w:tcW w:w="229" w:type="pct"/>
            <w:tcBorders>
              <w:top w:val="nil"/>
              <w:left w:val="nil"/>
              <w:bottom w:val="single" w:sz="4" w:space="0" w:color="auto"/>
              <w:right w:val="nil"/>
            </w:tcBorders>
            <w:shd w:val="clear" w:color="auto" w:fill="auto"/>
            <w:vAlign w:val="center"/>
          </w:tcPr>
          <w:p w14:paraId="12B7EBD8"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0/54</w:t>
            </w:r>
          </w:p>
        </w:tc>
        <w:tc>
          <w:tcPr>
            <w:tcW w:w="254" w:type="pct"/>
            <w:tcBorders>
              <w:top w:val="nil"/>
              <w:left w:val="nil"/>
              <w:bottom w:val="single" w:sz="4" w:space="0" w:color="auto"/>
              <w:right w:val="nil"/>
            </w:tcBorders>
            <w:shd w:val="clear" w:color="auto" w:fill="auto"/>
            <w:vAlign w:val="center"/>
          </w:tcPr>
          <w:p w14:paraId="34DF7A3D"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hint="eastAsia"/>
                <w:color w:val="000000"/>
                <w:sz w:val="11"/>
                <w:szCs w:val="11"/>
              </w:rPr>
              <w:t>0/50</w:t>
            </w:r>
          </w:p>
        </w:tc>
        <w:tc>
          <w:tcPr>
            <w:tcW w:w="299" w:type="pct"/>
            <w:tcBorders>
              <w:bottom w:val="single" w:sz="4" w:space="0" w:color="auto"/>
            </w:tcBorders>
            <w:shd w:val="clear" w:color="auto" w:fill="auto"/>
            <w:vAlign w:val="center"/>
          </w:tcPr>
          <w:p w14:paraId="7C61358C" w14:textId="77777777" w:rsidR="005A5C01" w:rsidRDefault="008C226D">
            <w:pPr>
              <w:spacing w:line="160" w:lineRule="exact"/>
              <w:jc w:val="center"/>
              <w:rPr>
                <w:rFonts w:ascii="Times New Roman" w:hAnsi="Times New Roman" w:cs="Times New Roman"/>
                <w:color w:val="000000"/>
                <w:sz w:val="11"/>
                <w:szCs w:val="11"/>
              </w:rPr>
            </w:pPr>
            <w:r>
              <w:rPr>
                <w:rFonts w:ascii="Times New Roman" w:hAnsi="Times New Roman" w:cs="Times New Roman"/>
                <w:sz w:val="11"/>
                <w:szCs w:val="11"/>
              </w:rPr>
              <w:t xml:space="preserve">Epirubicin, </w:t>
            </w:r>
            <w:r>
              <w:rPr>
                <w:rFonts w:ascii="Times New Roman" w:hAnsi="Times New Roman" w:cs="Times New Roman" w:hint="eastAsia"/>
                <w:sz w:val="11"/>
                <w:szCs w:val="11"/>
              </w:rPr>
              <w:t>pegylated liposomal doxorubicin</w:t>
            </w:r>
          </w:p>
        </w:tc>
        <w:tc>
          <w:tcPr>
            <w:tcW w:w="484" w:type="pct"/>
            <w:tcBorders>
              <w:top w:val="nil"/>
              <w:left w:val="nil"/>
              <w:bottom w:val="single" w:sz="4" w:space="0" w:color="auto"/>
              <w:right w:val="nil"/>
            </w:tcBorders>
            <w:shd w:val="clear" w:color="auto" w:fill="auto"/>
            <w:vAlign w:val="center"/>
          </w:tcPr>
          <w:p w14:paraId="38502F53"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Epirubicin, vinor</w:t>
            </w:r>
            <w:r>
              <w:rPr>
                <w:rFonts w:ascii="Times New Roman" w:hAnsi="Times New Roman" w:cs="Times New Roman"/>
                <w:sz w:val="11"/>
                <w:szCs w:val="11"/>
              </w:rPr>
              <w:t>elbine</w:t>
            </w:r>
          </w:p>
        </w:tc>
        <w:tc>
          <w:tcPr>
            <w:tcW w:w="418" w:type="pct"/>
            <w:tcBorders>
              <w:top w:val="nil"/>
              <w:left w:val="nil"/>
              <w:bottom w:val="single" w:sz="4" w:space="0" w:color="auto"/>
              <w:right w:val="nil"/>
            </w:tcBorders>
            <w:shd w:val="clear" w:color="auto" w:fill="auto"/>
            <w:vAlign w:val="center"/>
          </w:tcPr>
          <w:p w14:paraId="7734598B"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hint="eastAsia"/>
                <w:sz w:val="11"/>
                <w:szCs w:val="11"/>
              </w:rPr>
              <w:t xml:space="preserve"> </w:t>
            </w:r>
            <w:r>
              <w:rPr>
                <w:rFonts w:ascii="Times New Roman" w:hAnsi="Times New Roman" w:cs="Times New Roman"/>
                <w:sz w:val="11"/>
                <w:szCs w:val="11"/>
              </w:rPr>
              <w:t>P</w:t>
            </w:r>
            <w:r>
              <w:rPr>
                <w:rFonts w:ascii="Times New Roman" w:hAnsi="Times New Roman" w:cs="Times New Roman" w:hint="eastAsia"/>
                <w:sz w:val="11"/>
                <w:szCs w:val="11"/>
              </w:rPr>
              <w:t>egylated liposomal doxorubicin</w:t>
            </w:r>
            <w:r>
              <w:rPr>
                <w:rFonts w:ascii="Times New Roman" w:hAnsi="Times New Roman" w:cs="Times New Roman"/>
                <w:sz w:val="11"/>
                <w:szCs w:val="11"/>
              </w:rPr>
              <w:t xml:space="preserve"> 40 mg/m</w:t>
            </w:r>
            <w:r>
              <w:rPr>
                <w:rFonts w:ascii="Times New Roman" w:hAnsi="Times New Roman" w:cs="Times New Roman"/>
                <w:sz w:val="11"/>
                <w:szCs w:val="11"/>
                <w:vertAlign w:val="superscript"/>
              </w:rPr>
              <w:t>2</w:t>
            </w:r>
            <w:r>
              <w:rPr>
                <w:rFonts w:ascii="Times New Roman" w:hAnsi="Times New Roman" w:cs="Times New Roman" w:hint="eastAsia"/>
                <w:sz w:val="11"/>
                <w:szCs w:val="11"/>
              </w:rPr>
              <w:t>, vinorelbine</w:t>
            </w:r>
          </w:p>
        </w:tc>
        <w:tc>
          <w:tcPr>
            <w:tcW w:w="268" w:type="pct"/>
            <w:tcBorders>
              <w:top w:val="nil"/>
              <w:left w:val="nil"/>
              <w:bottom w:val="single" w:sz="4" w:space="0" w:color="auto"/>
              <w:right w:val="nil"/>
            </w:tcBorders>
            <w:shd w:val="clear" w:color="auto" w:fill="auto"/>
            <w:vAlign w:val="center"/>
          </w:tcPr>
          <w:p w14:paraId="2E5C13E5" w14:textId="77777777" w:rsidR="005A5C01" w:rsidRDefault="008C226D">
            <w:pPr>
              <w:spacing w:line="160" w:lineRule="exact"/>
              <w:jc w:val="center"/>
              <w:rPr>
                <w:rFonts w:ascii="Times New Roman" w:hAnsi="Times New Roman" w:cs="Times New Roman"/>
                <w:sz w:val="11"/>
                <w:szCs w:val="11"/>
              </w:rPr>
            </w:pPr>
            <w:r>
              <w:rPr>
                <w:rFonts w:ascii="Times New Roman" w:hAnsi="Times New Roman" w:cs="Times New Roman"/>
                <w:sz w:val="11"/>
                <w:szCs w:val="11"/>
              </w:rPr>
              <w:t>Low</w:t>
            </w:r>
          </w:p>
        </w:tc>
      </w:tr>
    </w:tbl>
    <w:p w14:paraId="087D133D" w14:textId="77777777" w:rsidR="005A5C01" w:rsidRDefault="008C226D">
      <w:pPr>
        <w:widowControl/>
        <w:jc w:val="left"/>
        <w:rPr>
          <w:rFonts w:ascii="Times New Roman" w:hAnsi="Times New Roman" w:cs="Times New Roman"/>
          <w:szCs w:val="21"/>
        </w:rPr>
      </w:pPr>
      <w:r>
        <w:rPr>
          <w:rFonts w:ascii="Times New Roman" w:hAnsi="Times New Roman" w:cs="Times New Roman"/>
          <w:szCs w:val="21"/>
        </w:rPr>
        <w:t xml:space="preserve">T: treatment arm; C: control arm; </w:t>
      </w:r>
      <w:r>
        <w:rPr>
          <w:rFonts w:ascii="Times New Roman" w:hAnsi="Times New Roman" w:cs="Times New Roman" w:hint="eastAsia"/>
          <w:szCs w:val="21"/>
        </w:rPr>
        <w:t>RCT</w:t>
      </w:r>
      <w:r>
        <w:rPr>
          <w:rFonts w:ascii="Times New Roman" w:hAnsi="Times New Roman" w:cs="Times New Roman"/>
          <w:szCs w:val="21"/>
        </w:rPr>
        <w:t>: randomized controlled trials.</w:t>
      </w:r>
      <w:r>
        <w:rPr>
          <w:rFonts w:ascii="Times New Roman" w:hAnsi="Times New Roman" w:cs="Times New Roman" w:hint="eastAsia"/>
          <w:szCs w:val="21"/>
        </w:rPr>
        <w:t xml:space="preserve"> </w:t>
      </w:r>
      <w:r>
        <w:rPr>
          <w:rFonts w:ascii="Times New Roman" w:hAnsi="Times New Roman" w:cs="Times New Roman"/>
          <w:szCs w:val="21"/>
        </w:rPr>
        <w:t>*C</w:t>
      </w:r>
      <w:r>
        <w:rPr>
          <w:rFonts w:ascii="Times New Roman" w:hAnsi="Times New Roman" w:cs="Times New Roman" w:hint="eastAsia"/>
          <w:szCs w:val="21"/>
        </w:rPr>
        <w:t>ohort studies</w:t>
      </w:r>
      <w:r>
        <w:rPr>
          <w:rFonts w:ascii="Times New Roman" w:hAnsi="Times New Roman" w:cs="Times New Roman"/>
          <w:szCs w:val="21"/>
        </w:rPr>
        <w:t xml:space="preserve"> were assessed by </w:t>
      </w:r>
      <w:r>
        <w:rPr>
          <w:rFonts w:ascii="Times New Roman" w:hAnsi="Times New Roman" w:cs="Times New Roman" w:hint="eastAsia"/>
          <w:szCs w:val="21"/>
        </w:rPr>
        <w:t xml:space="preserve">quality assessment according to </w:t>
      </w:r>
      <w:r>
        <w:rPr>
          <w:rFonts w:ascii="Times New Roman" w:eastAsia="SimSun" w:hAnsi="Times New Roman" w:cs="Times New Roman"/>
          <w:szCs w:val="21"/>
        </w:rPr>
        <w:t>the Newcastle-</w:t>
      </w:r>
      <w:r>
        <w:rPr>
          <w:rFonts w:ascii="Times New Roman" w:hAnsi="Times New Roman" w:cs="Times New Roman" w:hint="eastAsia"/>
          <w:szCs w:val="21"/>
        </w:rPr>
        <w:t>Ottawa Quality Assessment Scale</w:t>
      </w:r>
      <w:r>
        <w:rPr>
          <w:rFonts w:ascii="Times New Roman" w:hAnsi="Times New Roman" w:cs="Times New Roman"/>
          <w:szCs w:val="21"/>
        </w:rPr>
        <w:t xml:space="preserve">. </w:t>
      </w:r>
      <w:r>
        <w:rPr>
          <w:rFonts w:ascii="Times New Roman" w:eastAsia="SimSun" w:hAnsi="Times New Roman" w:cs="Times New Roman"/>
          <w:szCs w:val="21"/>
        </w:rPr>
        <w:t>RCTs were assessed according to Risk of Bias-2.</w:t>
      </w:r>
    </w:p>
    <w:p w14:paraId="4157B917" w14:textId="77777777" w:rsidR="005A5C01" w:rsidRDefault="005A5C01">
      <w:pPr>
        <w:widowControl/>
        <w:jc w:val="left"/>
        <w:rPr>
          <w:rFonts w:ascii="Times New Roman" w:hAnsi="Times New Roman" w:cs="Times New Roman"/>
          <w:szCs w:val="21"/>
        </w:rPr>
      </w:pPr>
    </w:p>
    <w:p w14:paraId="5D648E75" w14:textId="77777777" w:rsidR="005A5C01" w:rsidRDefault="008C226D">
      <w:pPr>
        <w:rPr>
          <w:rFonts w:ascii="Times New Roman" w:hAnsi="Times New Roman" w:cs="Times New Roman"/>
          <w:szCs w:val="21"/>
        </w:rPr>
      </w:pPr>
      <w:r>
        <w:rPr>
          <w:rFonts w:ascii="Times New Roman" w:hAnsi="Times New Roman" w:cs="Times New Roman" w:hint="eastAsia"/>
          <w:szCs w:val="21"/>
        </w:rPr>
        <w:t>T</w:t>
      </w:r>
      <w:r>
        <w:rPr>
          <w:rFonts w:ascii="Times New Roman" w:hAnsi="Times New Roman" w:cs="Times New Roman"/>
          <w:szCs w:val="21"/>
        </w:rPr>
        <w:t>able 2: Characteristics of the included single-arm studies</w:t>
      </w:r>
    </w:p>
    <w:tbl>
      <w:tblPr>
        <w:tblStyle w:val="TableGrid"/>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033"/>
        <w:gridCol w:w="1083"/>
        <w:gridCol w:w="1094"/>
        <w:gridCol w:w="922"/>
        <w:gridCol w:w="1716"/>
        <w:gridCol w:w="911"/>
        <w:gridCol w:w="750"/>
        <w:gridCol w:w="692"/>
        <w:gridCol w:w="1091"/>
        <w:gridCol w:w="1194"/>
        <w:gridCol w:w="1139"/>
        <w:gridCol w:w="1020"/>
        <w:gridCol w:w="1529"/>
      </w:tblGrid>
      <w:tr w:rsidR="005A5C01" w14:paraId="55B95DE4" w14:textId="77777777">
        <w:trPr>
          <w:trHeight w:val="767"/>
          <w:jc w:val="center"/>
        </w:trPr>
        <w:tc>
          <w:tcPr>
            <w:tcW w:w="1033" w:type="dxa"/>
            <w:tcBorders>
              <w:top w:val="single" w:sz="4" w:space="0" w:color="auto"/>
              <w:left w:val="nil"/>
              <w:bottom w:val="single" w:sz="4" w:space="0" w:color="auto"/>
              <w:right w:val="nil"/>
            </w:tcBorders>
            <w:vAlign w:val="center"/>
          </w:tcPr>
          <w:p w14:paraId="75B9F5F1" w14:textId="77777777" w:rsidR="005A5C01" w:rsidRDefault="008C226D">
            <w:pPr>
              <w:spacing w:line="160" w:lineRule="exact"/>
              <w:jc w:val="center"/>
              <w:rPr>
                <w:rFonts w:ascii="Times New Roman" w:eastAsia="SimSun" w:hAnsi="Times New Roman" w:cs="Times New Roman"/>
                <w:b/>
                <w:bCs/>
                <w:sz w:val="15"/>
                <w:szCs w:val="15"/>
              </w:rPr>
            </w:pPr>
            <w:r>
              <w:rPr>
                <w:rFonts w:ascii="Times New Roman" w:hAnsi="Times New Roman"/>
                <w:b/>
                <w:bCs/>
                <w:sz w:val="15"/>
                <w:szCs w:val="15"/>
              </w:rPr>
              <w:t>First Author and Year</w:t>
            </w:r>
          </w:p>
        </w:tc>
        <w:tc>
          <w:tcPr>
            <w:tcW w:w="1079" w:type="dxa"/>
            <w:tcBorders>
              <w:top w:val="single" w:sz="4" w:space="0" w:color="auto"/>
              <w:left w:val="nil"/>
              <w:bottom w:val="single" w:sz="4" w:space="0" w:color="auto"/>
              <w:right w:val="nil"/>
            </w:tcBorders>
            <w:vAlign w:val="center"/>
          </w:tcPr>
          <w:p w14:paraId="7A1D1DC7" w14:textId="77777777" w:rsidR="005A5C01" w:rsidRDefault="008C226D">
            <w:pPr>
              <w:spacing w:line="160" w:lineRule="exact"/>
              <w:jc w:val="center"/>
              <w:rPr>
                <w:rFonts w:ascii="Times New Roman" w:hAnsi="Times New Roman"/>
                <w:b/>
                <w:bCs/>
                <w:sz w:val="15"/>
                <w:szCs w:val="15"/>
              </w:rPr>
            </w:pPr>
            <w:r>
              <w:rPr>
                <w:rFonts w:ascii="Times New Roman" w:hAnsi="Times New Roman"/>
                <w:b/>
                <w:bCs/>
                <w:sz w:val="15"/>
                <w:szCs w:val="15"/>
              </w:rPr>
              <w:t>Geographical Location</w:t>
            </w:r>
          </w:p>
        </w:tc>
        <w:tc>
          <w:tcPr>
            <w:tcW w:w="0" w:type="auto"/>
            <w:tcBorders>
              <w:top w:val="single" w:sz="4" w:space="0" w:color="auto"/>
              <w:left w:val="nil"/>
              <w:bottom w:val="single" w:sz="4" w:space="0" w:color="auto"/>
              <w:right w:val="nil"/>
            </w:tcBorders>
            <w:vAlign w:val="center"/>
          </w:tcPr>
          <w:p w14:paraId="4A0C459E" w14:textId="77777777" w:rsidR="005A5C01" w:rsidRDefault="008C226D">
            <w:pPr>
              <w:spacing w:line="160" w:lineRule="exact"/>
              <w:jc w:val="center"/>
              <w:rPr>
                <w:rFonts w:ascii="Times New Roman" w:hAnsi="Times New Roman"/>
                <w:b/>
                <w:bCs/>
                <w:sz w:val="15"/>
                <w:szCs w:val="15"/>
              </w:rPr>
            </w:pPr>
            <w:r>
              <w:rPr>
                <w:rFonts w:ascii="Times New Roman" w:hAnsi="Times New Roman"/>
                <w:b/>
                <w:bCs/>
                <w:sz w:val="15"/>
                <w:szCs w:val="15"/>
              </w:rPr>
              <w:t>Funding Sources</w:t>
            </w:r>
          </w:p>
        </w:tc>
        <w:tc>
          <w:tcPr>
            <w:tcW w:w="0" w:type="auto"/>
            <w:tcBorders>
              <w:top w:val="single" w:sz="4" w:space="0" w:color="auto"/>
              <w:left w:val="nil"/>
              <w:bottom w:val="single" w:sz="4" w:space="0" w:color="auto"/>
              <w:right w:val="nil"/>
            </w:tcBorders>
            <w:vAlign w:val="center"/>
          </w:tcPr>
          <w:p w14:paraId="53D78EA5" w14:textId="77777777" w:rsidR="005A5C01" w:rsidRDefault="008C226D">
            <w:pPr>
              <w:spacing w:line="160" w:lineRule="exact"/>
              <w:jc w:val="center"/>
              <w:rPr>
                <w:rFonts w:ascii="Times New Roman" w:hAnsi="Times New Roman"/>
                <w:b/>
                <w:bCs/>
                <w:sz w:val="15"/>
                <w:szCs w:val="15"/>
              </w:rPr>
            </w:pPr>
            <w:r>
              <w:rPr>
                <w:rFonts w:ascii="Times New Roman" w:hAnsi="Times New Roman"/>
                <w:b/>
                <w:bCs/>
                <w:sz w:val="15"/>
                <w:szCs w:val="15"/>
              </w:rPr>
              <w:t>D</w:t>
            </w:r>
            <w:r>
              <w:rPr>
                <w:rFonts w:ascii="Times New Roman" w:hAnsi="Times New Roman" w:hint="eastAsia"/>
                <w:b/>
                <w:bCs/>
                <w:sz w:val="15"/>
                <w:szCs w:val="15"/>
              </w:rPr>
              <w:t>uration</w:t>
            </w:r>
            <w:r>
              <w:rPr>
                <w:rFonts w:ascii="Times New Roman" w:hAnsi="Times New Roman" w:hint="eastAsia"/>
                <w:b/>
                <w:bCs/>
                <w:sz w:val="15"/>
                <w:szCs w:val="15"/>
              </w:rPr>
              <w:t xml:space="preserve"> of </w:t>
            </w:r>
            <w:r>
              <w:rPr>
                <w:rFonts w:ascii="Times New Roman" w:hAnsi="Times New Roman"/>
                <w:b/>
                <w:bCs/>
                <w:sz w:val="15"/>
                <w:szCs w:val="15"/>
              </w:rPr>
              <w:t>A</w:t>
            </w:r>
            <w:r>
              <w:rPr>
                <w:rFonts w:ascii="Times New Roman" w:hAnsi="Times New Roman" w:hint="eastAsia"/>
                <w:b/>
                <w:bCs/>
                <w:sz w:val="15"/>
                <w:szCs w:val="15"/>
              </w:rPr>
              <w:t>llocation</w:t>
            </w:r>
          </w:p>
        </w:tc>
        <w:tc>
          <w:tcPr>
            <w:tcW w:w="0" w:type="auto"/>
            <w:tcBorders>
              <w:top w:val="single" w:sz="4" w:space="0" w:color="auto"/>
              <w:left w:val="nil"/>
              <w:bottom w:val="single" w:sz="4" w:space="0" w:color="auto"/>
              <w:right w:val="nil"/>
            </w:tcBorders>
            <w:vAlign w:val="center"/>
          </w:tcPr>
          <w:p w14:paraId="0F883E64" w14:textId="77777777" w:rsidR="005A5C01" w:rsidRDefault="008C226D">
            <w:pPr>
              <w:spacing w:line="160" w:lineRule="exact"/>
              <w:jc w:val="center"/>
              <w:rPr>
                <w:rFonts w:ascii="Times New Roman" w:hAnsi="Times New Roman"/>
                <w:b/>
                <w:bCs/>
                <w:sz w:val="15"/>
                <w:szCs w:val="15"/>
              </w:rPr>
            </w:pPr>
            <w:r>
              <w:rPr>
                <w:rFonts w:ascii="Times New Roman" w:hAnsi="Times New Roman"/>
                <w:b/>
                <w:bCs/>
                <w:sz w:val="15"/>
                <w:szCs w:val="15"/>
              </w:rPr>
              <w:t>Cancer</w:t>
            </w:r>
          </w:p>
        </w:tc>
        <w:tc>
          <w:tcPr>
            <w:tcW w:w="0" w:type="auto"/>
            <w:tcBorders>
              <w:top w:val="single" w:sz="4" w:space="0" w:color="auto"/>
              <w:left w:val="nil"/>
              <w:bottom w:val="single" w:sz="4" w:space="0" w:color="auto"/>
              <w:right w:val="nil"/>
            </w:tcBorders>
            <w:vAlign w:val="center"/>
          </w:tcPr>
          <w:p w14:paraId="78CE2BC3" w14:textId="77777777" w:rsidR="005A5C01" w:rsidRDefault="008C226D">
            <w:pPr>
              <w:spacing w:line="160" w:lineRule="exact"/>
              <w:jc w:val="center"/>
              <w:rPr>
                <w:rFonts w:ascii="Times New Roman" w:hAnsi="Times New Roman"/>
                <w:b/>
                <w:bCs/>
                <w:sz w:val="15"/>
                <w:szCs w:val="15"/>
              </w:rPr>
            </w:pPr>
            <w:r>
              <w:rPr>
                <w:rFonts w:ascii="Times New Roman" w:hAnsi="Times New Roman"/>
                <w:b/>
                <w:bCs/>
                <w:sz w:val="15"/>
                <w:szCs w:val="15"/>
              </w:rPr>
              <w:t>Duration of Follow-up</w:t>
            </w:r>
          </w:p>
        </w:tc>
        <w:tc>
          <w:tcPr>
            <w:tcW w:w="0" w:type="auto"/>
            <w:tcBorders>
              <w:top w:val="single" w:sz="4" w:space="0" w:color="auto"/>
              <w:left w:val="nil"/>
              <w:bottom w:val="single" w:sz="4" w:space="0" w:color="auto"/>
              <w:right w:val="nil"/>
            </w:tcBorders>
            <w:vAlign w:val="center"/>
          </w:tcPr>
          <w:p w14:paraId="1871C2D7" w14:textId="77777777" w:rsidR="005A5C01" w:rsidRDefault="008C226D">
            <w:pPr>
              <w:spacing w:line="160" w:lineRule="exact"/>
              <w:jc w:val="center"/>
              <w:rPr>
                <w:rFonts w:ascii="Times New Roman" w:hAnsi="Times New Roman"/>
                <w:b/>
                <w:bCs/>
                <w:sz w:val="15"/>
                <w:szCs w:val="15"/>
              </w:rPr>
            </w:pPr>
            <w:r>
              <w:rPr>
                <w:rFonts w:ascii="Times New Roman" w:hAnsi="Times New Roman"/>
                <w:b/>
                <w:bCs/>
                <w:sz w:val="15"/>
                <w:szCs w:val="15"/>
              </w:rPr>
              <w:t>Number</w:t>
            </w:r>
          </w:p>
        </w:tc>
        <w:tc>
          <w:tcPr>
            <w:tcW w:w="0" w:type="auto"/>
            <w:tcBorders>
              <w:top w:val="single" w:sz="4" w:space="0" w:color="auto"/>
              <w:left w:val="nil"/>
              <w:bottom w:val="single" w:sz="4" w:space="0" w:color="auto"/>
              <w:right w:val="nil"/>
            </w:tcBorders>
            <w:vAlign w:val="center"/>
          </w:tcPr>
          <w:p w14:paraId="5F4C7444" w14:textId="77777777" w:rsidR="005A5C01" w:rsidRDefault="008C226D">
            <w:pPr>
              <w:spacing w:line="160" w:lineRule="exact"/>
              <w:jc w:val="center"/>
              <w:rPr>
                <w:rFonts w:ascii="Times New Roman" w:hAnsi="Times New Roman"/>
                <w:b/>
                <w:bCs/>
                <w:sz w:val="15"/>
                <w:szCs w:val="15"/>
              </w:rPr>
            </w:pPr>
            <w:r>
              <w:rPr>
                <w:rFonts w:ascii="Times New Roman" w:hAnsi="Times New Roman"/>
                <w:b/>
                <w:bCs/>
                <w:sz w:val="15"/>
                <w:szCs w:val="15"/>
              </w:rPr>
              <w:t>Mean Age</w:t>
            </w:r>
          </w:p>
          <w:p w14:paraId="13153D75" w14:textId="77777777" w:rsidR="005A5C01" w:rsidRDefault="008C226D">
            <w:pPr>
              <w:spacing w:line="160" w:lineRule="exact"/>
              <w:jc w:val="center"/>
              <w:rPr>
                <w:rFonts w:ascii="Times New Roman" w:hAnsi="Times New Roman"/>
                <w:b/>
                <w:bCs/>
                <w:sz w:val="15"/>
                <w:szCs w:val="15"/>
              </w:rPr>
            </w:pPr>
            <w:r>
              <w:rPr>
                <w:rFonts w:ascii="Times New Roman" w:hAnsi="Times New Roman"/>
                <w:b/>
                <w:bCs/>
                <w:sz w:val="15"/>
                <w:szCs w:val="15"/>
              </w:rPr>
              <w:t>(years)</w:t>
            </w:r>
          </w:p>
        </w:tc>
        <w:tc>
          <w:tcPr>
            <w:tcW w:w="0" w:type="auto"/>
            <w:tcBorders>
              <w:top w:val="single" w:sz="4" w:space="0" w:color="auto"/>
              <w:left w:val="nil"/>
              <w:bottom w:val="single" w:sz="4" w:space="0" w:color="auto"/>
              <w:right w:val="nil"/>
            </w:tcBorders>
            <w:vAlign w:val="center"/>
          </w:tcPr>
          <w:p w14:paraId="30E3626F" w14:textId="77777777" w:rsidR="005A5C01" w:rsidRDefault="008C226D">
            <w:pPr>
              <w:spacing w:line="160" w:lineRule="exact"/>
              <w:jc w:val="center"/>
              <w:rPr>
                <w:rFonts w:ascii="Times New Roman" w:hAnsi="Times New Roman"/>
                <w:b/>
                <w:bCs/>
                <w:sz w:val="15"/>
                <w:szCs w:val="15"/>
              </w:rPr>
            </w:pPr>
            <w:r>
              <w:rPr>
                <w:rFonts w:ascii="Times New Roman" w:hAnsi="Times New Roman"/>
                <w:b/>
                <w:bCs/>
                <w:sz w:val="15"/>
                <w:szCs w:val="15"/>
              </w:rPr>
              <w:t>Sex</w:t>
            </w:r>
          </w:p>
          <w:p w14:paraId="1E440741" w14:textId="77777777" w:rsidR="005A5C01" w:rsidRDefault="008C226D">
            <w:pPr>
              <w:spacing w:line="160" w:lineRule="exact"/>
              <w:jc w:val="center"/>
              <w:rPr>
                <w:rFonts w:ascii="Times New Roman" w:hAnsi="Times New Roman"/>
                <w:b/>
                <w:bCs/>
                <w:sz w:val="15"/>
                <w:szCs w:val="15"/>
              </w:rPr>
            </w:pPr>
            <w:r>
              <w:rPr>
                <w:rFonts w:ascii="Times New Roman" w:hAnsi="Times New Roman"/>
                <w:b/>
                <w:bCs/>
                <w:sz w:val="15"/>
                <w:szCs w:val="15"/>
              </w:rPr>
              <w:t>(male/female)</w:t>
            </w:r>
          </w:p>
        </w:tc>
        <w:tc>
          <w:tcPr>
            <w:tcW w:w="0" w:type="auto"/>
            <w:tcBorders>
              <w:top w:val="single" w:sz="4" w:space="0" w:color="auto"/>
              <w:left w:val="nil"/>
              <w:bottom w:val="single" w:sz="4" w:space="0" w:color="auto"/>
              <w:right w:val="nil"/>
            </w:tcBorders>
            <w:vAlign w:val="center"/>
          </w:tcPr>
          <w:p w14:paraId="32D714AB" w14:textId="77777777" w:rsidR="005A5C01" w:rsidRDefault="008C226D">
            <w:pPr>
              <w:spacing w:line="160" w:lineRule="exact"/>
              <w:jc w:val="center"/>
              <w:rPr>
                <w:rFonts w:ascii="Times New Roman" w:hAnsi="Times New Roman"/>
                <w:b/>
                <w:bCs/>
                <w:sz w:val="15"/>
                <w:szCs w:val="15"/>
              </w:rPr>
            </w:pPr>
            <w:r>
              <w:rPr>
                <w:rFonts w:ascii="Times New Roman" w:hAnsi="Times New Roman"/>
                <w:b/>
                <w:bCs/>
                <w:sz w:val="15"/>
                <w:szCs w:val="15"/>
              </w:rPr>
              <w:t>Carrier/T</w:t>
            </w:r>
            <w:r>
              <w:rPr>
                <w:rFonts w:ascii="Times New Roman" w:hAnsi="Times New Roman" w:hint="eastAsia"/>
                <w:b/>
                <w:bCs/>
                <w:sz w:val="15"/>
                <w:szCs w:val="15"/>
              </w:rPr>
              <w:t>ested</w:t>
            </w:r>
            <w:r>
              <w:rPr>
                <w:rFonts w:ascii="Times New Roman" w:hAnsi="Times New Roman"/>
                <w:b/>
                <w:bCs/>
                <w:sz w:val="15"/>
                <w:szCs w:val="15"/>
              </w:rPr>
              <w:t xml:space="preserve"> S</w:t>
            </w:r>
            <w:r>
              <w:rPr>
                <w:rFonts w:ascii="Times New Roman" w:hAnsi="Times New Roman" w:hint="eastAsia"/>
                <w:b/>
                <w:bCs/>
                <w:sz w:val="15"/>
                <w:szCs w:val="15"/>
              </w:rPr>
              <w:t>ubjects</w:t>
            </w:r>
          </w:p>
        </w:tc>
        <w:tc>
          <w:tcPr>
            <w:tcW w:w="0" w:type="auto"/>
            <w:tcBorders>
              <w:top w:val="single" w:sz="4" w:space="0" w:color="auto"/>
              <w:left w:val="nil"/>
              <w:bottom w:val="single" w:sz="4" w:space="0" w:color="auto"/>
              <w:right w:val="nil"/>
            </w:tcBorders>
            <w:vAlign w:val="center"/>
          </w:tcPr>
          <w:p w14:paraId="0040A59D" w14:textId="77777777" w:rsidR="005A5C01" w:rsidRDefault="008C226D">
            <w:pPr>
              <w:spacing w:line="160" w:lineRule="exact"/>
              <w:jc w:val="center"/>
              <w:rPr>
                <w:rFonts w:ascii="Times New Roman" w:hAnsi="Times New Roman"/>
                <w:b/>
                <w:bCs/>
                <w:sz w:val="15"/>
                <w:szCs w:val="15"/>
              </w:rPr>
            </w:pPr>
            <w:r>
              <w:rPr>
                <w:rFonts w:ascii="Times New Roman" w:hAnsi="Times New Roman" w:hint="eastAsia"/>
                <w:b/>
                <w:bCs/>
                <w:sz w:val="15"/>
                <w:szCs w:val="15"/>
              </w:rPr>
              <w:t>Frequencies</w:t>
            </w:r>
            <w:r>
              <w:rPr>
                <w:rFonts w:ascii="Times New Roman" w:hAnsi="Times New Roman"/>
                <w:b/>
                <w:bCs/>
                <w:sz w:val="15"/>
                <w:szCs w:val="15"/>
              </w:rPr>
              <w:t>%</w:t>
            </w:r>
          </w:p>
        </w:tc>
        <w:tc>
          <w:tcPr>
            <w:tcW w:w="0" w:type="auto"/>
            <w:tcBorders>
              <w:top w:val="single" w:sz="4" w:space="0" w:color="auto"/>
              <w:left w:val="nil"/>
              <w:bottom w:val="single" w:sz="4" w:space="0" w:color="auto"/>
              <w:right w:val="nil"/>
            </w:tcBorders>
            <w:vAlign w:val="center"/>
          </w:tcPr>
          <w:p w14:paraId="4B1E2212" w14:textId="77777777" w:rsidR="005A5C01" w:rsidRDefault="008C226D">
            <w:pPr>
              <w:spacing w:line="160" w:lineRule="exact"/>
              <w:jc w:val="center"/>
              <w:rPr>
                <w:rFonts w:ascii="Times New Roman" w:hAnsi="Times New Roman"/>
                <w:b/>
                <w:bCs/>
                <w:sz w:val="15"/>
                <w:szCs w:val="15"/>
              </w:rPr>
            </w:pPr>
            <w:r>
              <w:rPr>
                <w:rFonts w:ascii="Times New Roman" w:hAnsi="Times New Roman" w:hint="eastAsia"/>
                <w:b/>
                <w:bCs/>
                <w:sz w:val="15"/>
                <w:szCs w:val="15"/>
              </w:rPr>
              <w:t>Type</w:t>
            </w:r>
            <w:r>
              <w:rPr>
                <w:rFonts w:ascii="Times New Roman" w:hAnsi="Times New Roman"/>
                <w:b/>
                <w:bCs/>
                <w:sz w:val="15"/>
                <w:szCs w:val="15"/>
              </w:rPr>
              <w:t xml:space="preserve"> </w:t>
            </w:r>
            <w:r>
              <w:rPr>
                <w:rFonts w:ascii="Times New Roman" w:hAnsi="Times New Roman" w:hint="eastAsia"/>
                <w:b/>
                <w:bCs/>
                <w:sz w:val="15"/>
                <w:szCs w:val="15"/>
              </w:rPr>
              <w:t>of</w:t>
            </w:r>
            <w:r>
              <w:rPr>
                <w:rFonts w:ascii="Times New Roman" w:hAnsi="Times New Roman"/>
                <w:b/>
                <w:bCs/>
                <w:sz w:val="15"/>
                <w:szCs w:val="15"/>
              </w:rPr>
              <w:t xml:space="preserve"> Arrhythmia</w:t>
            </w:r>
          </w:p>
        </w:tc>
        <w:tc>
          <w:tcPr>
            <w:tcW w:w="0" w:type="auto"/>
            <w:tcBorders>
              <w:top w:val="single" w:sz="4" w:space="0" w:color="auto"/>
              <w:left w:val="nil"/>
              <w:bottom w:val="single" w:sz="4" w:space="0" w:color="auto"/>
              <w:right w:val="nil"/>
            </w:tcBorders>
            <w:vAlign w:val="center"/>
          </w:tcPr>
          <w:p w14:paraId="5E0DE28F" w14:textId="77777777" w:rsidR="005A5C01" w:rsidRDefault="008C226D">
            <w:pPr>
              <w:spacing w:line="160" w:lineRule="exact"/>
              <w:jc w:val="center"/>
              <w:rPr>
                <w:rFonts w:ascii="Times New Roman" w:hAnsi="Times New Roman"/>
                <w:b/>
                <w:bCs/>
                <w:sz w:val="15"/>
                <w:szCs w:val="15"/>
              </w:rPr>
            </w:pPr>
            <w:r>
              <w:rPr>
                <w:rFonts w:ascii="Times New Roman" w:hAnsi="Times New Roman" w:hint="eastAsia"/>
                <w:b/>
                <w:bCs/>
                <w:sz w:val="15"/>
                <w:szCs w:val="15"/>
              </w:rPr>
              <w:t>Types</w:t>
            </w:r>
            <w:r>
              <w:rPr>
                <w:rFonts w:ascii="Times New Roman" w:hAnsi="Times New Roman"/>
                <w:b/>
                <w:bCs/>
                <w:sz w:val="15"/>
                <w:szCs w:val="15"/>
              </w:rPr>
              <w:t xml:space="preserve"> </w:t>
            </w:r>
            <w:r>
              <w:rPr>
                <w:rFonts w:ascii="Times New Roman" w:hAnsi="Times New Roman" w:hint="eastAsia"/>
                <w:b/>
                <w:bCs/>
                <w:sz w:val="15"/>
                <w:szCs w:val="15"/>
              </w:rPr>
              <w:t>of</w:t>
            </w:r>
            <w:r>
              <w:rPr>
                <w:rFonts w:ascii="Times New Roman" w:hAnsi="Times New Roman"/>
                <w:b/>
                <w:bCs/>
                <w:sz w:val="15"/>
                <w:szCs w:val="15"/>
              </w:rPr>
              <w:t xml:space="preserve"> A</w:t>
            </w:r>
            <w:r>
              <w:rPr>
                <w:rFonts w:ascii="Times New Roman" w:hAnsi="Times New Roman" w:cs="Times New Roman"/>
                <w:b/>
                <w:bCs/>
                <w:sz w:val="15"/>
                <w:szCs w:val="15"/>
              </w:rPr>
              <w:t>nthracycline</w:t>
            </w:r>
          </w:p>
        </w:tc>
      </w:tr>
      <w:tr w:rsidR="005A5C01" w14:paraId="209C9268" w14:textId="77777777">
        <w:trPr>
          <w:trHeight w:val="865"/>
          <w:jc w:val="center"/>
        </w:trPr>
        <w:tc>
          <w:tcPr>
            <w:tcW w:w="1033" w:type="dxa"/>
            <w:tcBorders>
              <w:top w:val="single" w:sz="4" w:space="0" w:color="auto"/>
              <w:left w:val="nil"/>
              <w:bottom w:val="nil"/>
              <w:right w:val="nil"/>
            </w:tcBorders>
            <w:vAlign w:val="center"/>
          </w:tcPr>
          <w:p w14:paraId="4353DAC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Abdelsalam</w:t>
            </w:r>
            <w:r>
              <w:rPr>
                <w:rFonts w:ascii="Times New Roman" w:hAnsi="Times New Roman"/>
                <w:color w:val="000000"/>
                <w:sz w:val="11"/>
                <w:szCs w:val="11"/>
              </w:rPr>
              <w:t xml:space="preserve"> </w:t>
            </w:r>
            <w:r>
              <w:rPr>
                <w:rFonts w:ascii="Times New Roman" w:hAnsi="Times New Roman" w:hint="eastAsia"/>
                <w:color w:val="000000"/>
                <w:sz w:val="11"/>
                <w:szCs w:val="11"/>
              </w:rPr>
              <w:t>1974</w:t>
            </w:r>
            <w:r>
              <w:rPr>
                <w:rStyle w:val="EndnoteReference"/>
                <w:rFonts w:ascii="Times New Roman" w:hAnsi="Times New Roman" w:hint="eastAsia"/>
                <w:color w:val="000000"/>
                <w:sz w:val="11"/>
                <w:szCs w:val="11"/>
              </w:rPr>
              <w:endnoteReference w:id="13"/>
            </w:r>
          </w:p>
        </w:tc>
        <w:tc>
          <w:tcPr>
            <w:tcW w:w="1079" w:type="dxa"/>
            <w:tcBorders>
              <w:top w:val="single" w:sz="4" w:space="0" w:color="auto"/>
              <w:left w:val="nil"/>
              <w:bottom w:val="nil"/>
              <w:right w:val="nil"/>
            </w:tcBorders>
            <w:vAlign w:val="center"/>
          </w:tcPr>
          <w:p w14:paraId="02FCF42A"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USA</w:t>
            </w:r>
          </w:p>
        </w:tc>
        <w:tc>
          <w:tcPr>
            <w:tcW w:w="0" w:type="auto"/>
            <w:tcBorders>
              <w:top w:val="single" w:sz="4" w:space="0" w:color="auto"/>
              <w:left w:val="nil"/>
              <w:bottom w:val="nil"/>
              <w:right w:val="nil"/>
            </w:tcBorders>
            <w:vAlign w:val="center"/>
          </w:tcPr>
          <w:p w14:paraId="3D2FAA01"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T</w:t>
            </w:r>
            <w:r>
              <w:rPr>
                <w:rFonts w:ascii="Times New Roman" w:hAnsi="Times New Roman" w:hint="eastAsia"/>
                <w:color w:val="000000"/>
                <w:sz w:val="11"/>
                <w:szCs w:val="11"/>
              </w:rPr>
              <w:t>he</w:t>
            </w:r>
            <w:r>
              <w:rPr>
                <w:rFonts w:ascii="Times New Roman" w:hAnsi="Times New Roman"/>
                <w:color w:val="000000"/>
                <w:sz w:val="11"/>
                <w:szCs w:val="11"/>
              </w:rPr>
              <w:t xml:space="preserve"> </w:t>
            </w:r>
            <w:r>
              <w:rPr>
                <w:rFonts w:ascii="Times New Roman" w:hAnsi="Times New Roman" w:hint="eastAsia"/>
                <w:color w:val="000000"/>
                <w:sz w:val="11"/>
                <w:szCs w:val="11"/>
              </w:rPr>
              <w:t>National Cancer Institute</w:t>
            </w:r>
          </w:p>
        </w:tc>
        <w:tc>
          <w:tcPr>
            <w:tcW w:w="0" w:type="auto"/>
            <w:tcBorders>
              <w:top w:val="single" w:sz="4" w:space="0" w:color="auto"/>
              <w:left w:val="nil"/>
              <w:bottom w:val="nil"/>
              <w:right w:val="nil"/>
            </w:tcBorders>
            <w:vAlign w:val="center"/>
          </w:tcPr>
          <w:p w14:paraId="6899AB6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single" w:sz="4" w:space="0" w:color="auto"/>
              <w:left w:val="nil"/>
              <w:bottom w:val="nil"/>
              <w:right w:val="nil"/>
            </w:tcBorders>
            <w:vAlign w:val="center"/>
          </w:tcPr>
          <w:p w14:paraId="6A5254E1"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A</w:t>
            </w:r>
            <w:r>
              <w:rPr>
                <w:rFonts w:ascii="Times New Roman" w:hAnsi="Times New Roman" w:hint="eastAsia"/>
                <w:color w:val="000000"/>
                <w:sz w:val="11"/>
                <w:szCs w:val="11"/>
              </w:rPr>
              <w:t>cute leukemia</w:t>
            </w:r>
          </w:p>
        </w:tc>
        <w:tc>
          <w:tcPr>
            <w:tcW w:w="0" w:type="auto"/>
            <w:tcBorders>
              <w:top w:val="single" w:sz="4" w:space="0" w:color="auto"/>
              <w:left w:val="nil"/>
              <w:bottom w:val="nil"/>
              <w:right w:val="nil"/>
            </w:tcBorders>
            <w:vAlign w:val="center"/>
          </w:tcPr>
          <w:p w14:paraId="738F253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 xml:space="preserve">ot </w:t>
            </w:r>
            <w:r>
              <w:rPr>
                <w:rFonts w:ascii="Times New Roman" w:hAnsi="Times New Roman" w:hint="eastAsia"/>
                <w:color w:val="000000"/>
                <w:sz w:val="11"/>
                <w:szCs w:val="11"/>
              </w:rPr>
              <w:t>applicable</w:t>
            </w:r>
          </w:p>
        </w:tc>
        <w:tc>
          <w:tcPr>
            <w:tcW w:w="0" w:type="auto"/>
            <w:tcBorders>
              <w:top w:val="single" w:sz="4" w:space="0" w:color="auto"/>
              <w:left w:val="nil"/>
              <w:bottom w:val="nil"/>
              <w:right w:val="nil"/>
            </w:tcBorders>
            <w:vAlign w:val="center"/>
          </w:tcPr>
          <w:p w14:paraId="5594656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61</w:t>
            </w:r>
          </w:p>
        </w:tc>
        <w:tc>
          <w:tcPr>
            <w:tcW w:w="0" w:type="auto"/>
            <w:tcBorders>
              <w:top w:val="single" w:sz="4" w:space="0" w:color="auto"/>
              <w:left w:val="nil"/>
              <w:bottom w:val="nil"/>
              <w:right w:val="nil"/>
            </w:tcBorders>
            <w:vAlign w:val="center"/>
          </w:tcPr>
          <w:p w14:paraId="3903354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6.6</w:t>
            </w:r>
          </w:p>
        </w:tc>
        <w:tc>
          <w:tcPr>
            <w:tcW w:w="0" w:type="auto"/>
            <w:tcBorders>
              <w:top w:val="single" w:sz="4" w:space="0" w:color="auto"/>
              <w:left w:val="nil"/>
              <w:bottom w:val="nil"/>
              <w:right w:val="nil"/>
            </w:tcBorders>
            <w:vAlign w:val="center"/>
          </w:tcPr>
          <w:p w14:paraId="4B20A1B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43</w:t>
            </w:r>
            <w:r>
              <w:rPr>
                <w:rFonts w:ascii="Times New Roman" w:hAnsi="Times New Roman" w:hint="eastAsia"/>
                <w:color w:val="000000"/>
                <w:sz w:val="11"/>
                <w:szCs w:val="11"/>
              </w:rPr>
              <w:t>/</w:t>
            </w:r>
            <w:r>
              <w:rPr>
                <w:rFonts w:ascii="Times New Roman" w:hAnsi="Times New Roman"/>
                <w:color w:val="000000"/>
                <w:sz w:val="11"/>
                <w:szCs w:val="11"/>
              </w:rPr>
              <w:t>23</w:t>
            </w:r>
          </w:p>
        </w:tc>
        <w:tc>
          <w:tcPr>
            <w:tcW w:w="0" w:type="auto"/>
            <w:tcBorders>
              <w:top w:val="single" w:sz="4" w:space="0" w:color="auto"/>
              <w:left w:val="nil"/>
              <w:bottom w:val="nil"/>
              <w:right w:val="nil"/>
            </w:tcBorders>
            <w:vAlign w:val="center"/>
          </w:tcPr>
          <w:p w14:paraId="3DE9B68A"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16/61</w:t>
            </w:r>
          </w:p>
        </w:tc>
        <w:tc>
          <w:tcPr>
            <w:tcW w:w="0" w:type="auto"/>
            <w:tcBorders>
              <w:top w:val="single" w:sz="4" w:space="0" w:color="auto"/>
              <w:left w:val="nil"/>
              <w:bottom w:val="nil"/>
              <w:right w:val="nil"/>
            </w:tcBorders>
            <w:vAlign w:val="center"/>
          </w:tcPr>
          <w:p w14:paraId="4A0C8EA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26.23</w:t>
            </w:r>
          </w:p>
        </w:tc>
        <w:tc>
          <w:tcPr>
            <w:tcW w:w="0" w:type="auto"/>
            <w:tcBorders>
              <w:top w:val="single" w:sz="4" w:space="0" w:color="auto"/>
              <w:left w:val="nil"/>
              <w:bottom w:val="nil"/>
              <w:right w:val="nil"/>
            </w:tcBorders>
            <w:vAlign w:val="center"/>
          </w:tcPr>
          <w:p w14:paraId="5ECA1B5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(1)(2)</w:t>
            </w:r>
          </w:p>
        </w:tc>
        <w:tc>
          <w:tcPr>
            <w:tcW w:w="0" w:type="auto"/>
            <w:tcBorders>
              <w:top w:val="single" w:sz="4" w:space="0" w:color="auto"/>
              <w:left w:val="nil"/>
              <w:bottom w:val="nil"/>
              <w:right w:val="nil"/>
            </w:tcBorders>
            <w:vAlign w:val="center"/>
          </w:tcPr>
          <w:p w14:paraId="0A880E6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A</w:t>
            </w:r>
            <w:r>
              <w:rPr>
                <w:rFonts w:ascii="Times New Roman" w:hAnsi="Times New Roman" w:hint="eastAsia"/>
                <w:color w:val="000000"/>
                <w:sz w:val="11"/>
                <w:szCs w:val="11"/>
              </w:rPr>
              <w:t>driamycin</w:t>
            </w:r>
          </w:p>
        </w:tc>
      </w:tr>
      <w:tr w:rsidR="005A5C01" w14:paraId="02010A74" w14:textId="77777777">
        <w:trPr>
          <w:jc w:val="center"/>
        </w:trPr>
        <w:tc>
          <w:tcPr>
            <w:tcW w:w="1033" w:type="dxa"/>
            <w:tcBorders>
              <w:top w:val="nil"/>
              <w:left w:val="nil"/>
              <w:bottom w:val="nil"/>
              <w:right w:val="nil"/>
            </w:tcBorders>
            <w:vAlign w:val="center"/>
          </w:tcPr>
          <w:p w14:paraId="31A95A3A"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Daniel</w:t>
            </w:r>
            <w:r>
              <w:rPr>
                <w:rFonts w:ascii="Times New Roman" w:hAnsi="Times New Roman"/>
                <w:color w:val="000000"/>
                <w:sz w:val="11"/>
                <w:szCs w:val="11"/>
              </w:rPr>
              <w:t xml:space="preserve"> </w:t>
            </w:r>
            <w:r>
              <w:rPr>
                <w:rFonts w:ascii="Times New Roman" w:hAnsi="Times New Roman" w:hint="eastAsia"/>
                <w:color w:val="000000"/>
                <w:sz w:val="11"/>
                <w:szCs w:val="11"/>
              </w:rPr>
              <w:t>1977</w:t>
            </w:r>
            <w:r>
              <w:rPr>
                <w:rStyle w:val="EndnoteReference"/>
                <w:rFonts w:ascii="Times New Roman" w:hAnsi="Times New Roman" w:hint="eastAsia"/>
                <w:color w:val="000000"/>
                <w:sz w:val="11"/>
                <w:szCs w:val="11"/>
              </w:rPr>
              <w:endnoteReference w:id="14"/>
            </w:r>
          </w:p>
        </w:tc>
        <w:tc>
          <w:tcPr>
            <w:tcW w:w="1079" w:type="dxa"/>
            <w:tcBorders>
              <w:top w:val="nil"/>
              <w:left w:val="nil"/>
              <w:bottom w:val="nil"/>
              <w:right w:val="nil"/>
            </w:tcBorders>
            <w:vAlign w:val="center"/>
          </w:tcPr>
          <w:p w14:paraId="48F7309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USA</w:t>
            </w:r>
          </w:p>
        </w:tc>
        <w:tc>
          <w:tcPr>
            <w:tcW w:w="0" w:type="auto"/>
            <w:tcBorders>
              <w:top w:val="nil"/>
              <w:left w:val="nil"/>
              <w:bottom w:val="nil"/>
              <w:right w:val="nil"/>
            </w:tcBorders>
            <w:vAlign w:val="center"/>
          </w:tcPr>
          <w:p w14:paraId="4E111D86"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the Investigational Drug Branch and Cancer</w:t>
            </w:r>
            <w:r>
              <w:rPr>
                <w:rFonts w:ascii="Times New Roman" w:hAnsi="Times New Roman"/>
                <w:color w:val="000000"/>
                <w:sz w:val="11"/>
                <w:szCs w:val="11"/>
              </w:rPr>
              <w:t xml:space="preserve"> </w:t>
            </w:r>
            <w:r>
              <w:rPr>
                <w:rFonts w:ascii="Times New Roman" w:hAnsi="Times New Roman" w:hint="eastAsia"/>
                <w:color w:val="000000"/>
                <w:sz w:val="11"/>
                <w:szCs w:val="11"/>
              </w:rPr>
              <w:t>Therapy Evaluation Program, Division of Cancer</w:t>
            </w:r>
            <w:r>
              <w:rPr>
                <w:rFonts w:ascii="Times New Roman" w:hAnsi="Times New Roman"/>
                <w:color w:val="000000"/>
                <w:sz w:val="11"/>
                <w:szCs w:val="11"/>
              </w:rPr>
              <w:t xml:space="preserve"> </w:t>
            </w:r>
            <w:r>
              <w:rPr>
                <w:rFonts w:ascii="Times New Roman" w:hAnsi="Times New Roman" w:hint="eastAsia"/>
                <w:color w:val="000000"/>
                <w:sz w:val="11"/>
                <w:szCs w:val="11"/>
              </w:rPr>
              <w:t>Treatment</w:t>
            </w:r>
          </w:p>
        </w:tc>
        <w:tc>
          <w:tcPr>
            <w:tcW w:w="0" w:type="auto"/>
            <w:tcBorders>
              <w:top w:val="nil"/>
              <w:left w:val="nil"/>
              <w:bottom w:val="nil"/>
              <w:right w:val="nil"/>
            </w:tcBorders>
            <w:vAlign w:val="center"/>
          </w:tcPr>
          <w:p w14:paraId="01A68EC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6DBF12E5"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applicable</w:t>
            </w:r>
          </w:p>
        </w:tc>
        <w:tc>
          <w:tcPr>
            <w:tcW w:w="0" w:type="auto"/>
            <w:tcBorders>
              <w:top w:val="nil"/>
              <w:left w:val="nil"/>
              <w:bottom w:val="nil"/>
              <w:right w:val="nil"/>
            </w:tcBorders>
            <w:vAlign w:val="center"/>
          </w:tcPr>
          <w:p w14:paraId="5644CF6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80</w:t>
            </w:r>
            <w:r>
              <w:rPr>
                <w:rFonts w:ascii="Times New Roman" w:hAnsi="Times New Roman"/>
                <w:color w:val="000000"/>
                <w:sz w:val="11"/>
                <w:szCs w:val="11"/>
              </w:rPr>
              <w:t xml:space="preserve"> </w:t>
            </w:r>
            <w:r>
              <w:rPr>
                <w:rFonts w:ascii="Times New Roman" w:hAnsi="Times New Roman" w:hint="eastAsia"/>
                <w:color w:val="000000"/>
                <w:sz w:val="11"/>
                <w:szCs w:val="11"/>
              </w:rPr>
              <w:t>d</w:t>
            </w:r>
            <w:r>
              <w:rPr>
                <w:rFonts w:ascii="Times New Roman" w:hAnsi="Times New Roman"/>
                <w:color w:val="000000"/>
                <w:sz w:val="11"/>
                <w:szCs w:val="11"/>
              </w:rPr>
              <w:t>ays</w:t>
            </w:r>
          </w:p>
        </w:tc>
        <w:tc>
          <w:tcPr>
            <w:tcW w:w="0" w:type="auto"/>
            <w:tcBorders>
              <w:top w:val="nil"/>
              <w:left w:val="nil"/>
              <w:bottom w:val="nil"/>
              <w:right w:val="nil"/>
            </w:tcBorders>
            <w:vAlign w:val="center"/>
          </w:tcPr>
          <w:p w14:paraId="28D5A3A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5613</w:t>
            </w:r>
          </w:p>
        </w:tc>
        <w:tc>
          <w:tcPr>
            <w:tcW w:w="0" w:type="auto"/>
            <w:tcBorders>
              <w:top w:val="nil"/>
              <w:left w:val="nil"/>
              <w:bottom w:val="nil"/>
              <w:right w:val="nil"/>
            </w:tcBorders>
            <w:vAlign w:val="center"/>
          </w:tcPr>
          <w:p w14:paraId="26F4BDA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applicable</w:t>
            </w:r>
          </w:p>
        </w:tc>
        <w:tc>
          <w:tcPr>
            <w:tcW w:w="0" w:type="auto"/>
            <w:tcBorders>
              <w:top w:val="nil"/>
              <w:left w:val="nil"/>
              <w:bottom w:val="nil"/>
              <w:right w:val="nil"/>
            </w:tcBorders>
            <w:vAlign w:val="center"/>
          </w:tcPr>
          <w:p w14:paraId="161B693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349F038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45/5613</w:t>
            </w:r>
          </w:p>
        </w:tc>
        <w:tc>
          <w:tcPr>
            <w:tcW w:w="0" w:type="auto"/>
            <w:tcBorders>
              <w:top w:val="nil"/>
              <w:left w:val="nil"/>
              <w:bottom w:val="nil"/>
              <w:right w:val="nil"/>
            </w:tcBorders>
            <w:vAlign w:val="center"/>
          </w:tcPr>
          <w:p w14:paraId="5357D2A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0.80</w:t>
            </w:r>
          </w:p>
        </w:tc>
        <w:tc>
          <w:tcPr>
            <w:tcW w:w="0" w:type="auto"/>
            <w:tcBorders>
              <w:top w:val="nil"/>
              <w:left w:val="nil"/>
              <w:bottom w:val="nil"/>
              <w:right w:val="nil"/>
            </w:tcBorders>
            <w:vAlign w:val="center"/>
          </w:tcPr>
          <w:p w14:paraId="6B39EEE4" w14:textId="77777777" w:rsidR="005A5C01" w:rsidRDefault="008C226D">
            <w:pPr>
              <w:spacing w:line="160" w:lineRule="exact"/>
              <w:rPr>
                <w:rFonts w:ascii="Times New Roman" w:hAnsi="Times New Roman"/>
                <w:color w:val="000000"/>
                <w:sz w:val="11"/>
                <w:szCs w:val="11"/>
              </w:rPr>
            </w:pPr>
            <w:r>
              <w:rPr>
                <w:rFonts w:ascii="Times New Roman" w:hAnsi="Times New Roman"/>
                <w:color w:val="000000"/>
                <w:sz w:val="11"/>
                <w:szCs w:val="11"/>
              </w:rPr>
              <w:t>(1) (2) (3) (4) (6) (7)</w:t>
            </w:r>
          </w:p>
        </w:tc>
        <w:tc>
          <w:tcPr>
            <w:tcW w:w="0" w:type="auto"/>
            <w:tcBorders>
              <w:top w:val="nil"/>
              <w:left w:val="nil"/>
              <w:bottom w:val="nil"/>
              <w:right w:val="nil"/>
            </w:tcBorders>
            <w:vAlign w:val="center"/>
          </w:tcPr>
          <w:p w14:paraId="288E9BF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Daunomycin</w:t>
            </w:r>
          </w:p>
        </w:tc>
      </w:tr>
      <w:tr w:rsidR="005A5C01" w14:paraId="5640A4D7" w14:textId="77777777">
        <w:trPr>
          <w:jc w:val="center"/>
        </w:trPr>
        <w:tc>
          <w:tcPr>
            <w:tcW w:w="1033" w:type="dxa"/>
            <w:tcBorders>
              <w:top w:val="nil"/>
              <w:left w:val="nil"/>
              <w:bottom w:val="nil"/>
              <w:right w:val="nil"/>
            </w:tcBorders>
            <w:vAlign w:val="center"/>
          </w:tcPr>
          <w:p w14:paraId="7CFAA375"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Bonfante</w:t>
            </w:r>
            <w:r>
              <w:rPr>
                <w:rFonts w:ascii="Times New Roman" w:hAnsi="Times New Roman"/>
                <w:color w:val="000000"/>
                <w:sz w:val="11"/>
                <w:szCs w:val="11"/>
              </w:rPr>
              <w:t xml:space="preserve"> </w:t>
            </w:r>
            <w:r>
              <w:rPr>
                <w:rFonts w:ascii="Times New Roman" w:hAnsi="Times New Roman" w:hint="eastAsia"/>
                <w:color w:val="000000"/>
                <w:sz w:val="11"/>
                <w:szCs w:val="11"/>
              </w:rPr>
              <w:t>1982</w:t>
            </w:r>
            <w:r>
              <w:rPr>
                <w:rStyle w:val="EndnoteReference"/>
                <w:rFonts w:ascii="Times New Roman" w:hAnsi="Times New Roman" w:hint="eastAsia"/>
                <w:color w:val="000000"/>
                <w:sz w:val="11"/>
                <w:szCs w:val="11"/>
              </w:rPr>
              <w:endnoteReference w:id="15"/>
            </w:r>
          </w:p>
        </w:tc>
        <w:tc>
          <w:tcPr>
            <w:tcW w:w="1079" w:type="dxa"/>
            <w:tcBorders>
              <w:top w:val="nil"/>
              <w:left w:val="nil"/>
              <w:bottom w:val="nil"/>
              <w:right w:val="nil"/>
            </w:tcBorders>
            <w:vAlign w:val="center"/>
          </w:tcPr>
          <w:p w14:paraId="365DBCD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Italy</w:t>
            </w:r>
          </w:p>
        </w:tc>
        <w:tc>
          <w:tcPr>
            <w:tcW w:w="0" w:type="auto"/>
            <w:tcBorders>
              <w:top w:val="nil"/>
              <w:left w:val="nil"/>
              <w:bottom w:val="nil"/>
              <w:right w:val="nil"/>
            </w:tcBorders>
            <w:vAlign w:val="center"/>
          </w:tcPr>
          <w:p w14:paraId="4523305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Farmitalia Carlo Erba</w:t>
            </w:r>
          </w:p>
        </w:tc>
        <w:tc>
          <w:tcPr>
            <w:tcW w:w="0" w:type="auto"/>
            <w:tcBorders>
              <w:top w:val="nil"/>
              <w:left w:val="nil"/>
              <w:bottom w:val="nil"/>
              <w:right w:val="nil"/>
            </w:tcBorders>
            <w:vAlign w:val="center"/>
          </w:tcPr>
          <w:p w14:paraId="7202737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applicable</w:t>
            </w:r>
          </w:p>
        </w:tc>
        <w:tc>
          <w:tcPr>
            <w:tcW w:w="0" w:type="auto"/>
            <w:tcBorders>
              <w:top w:val="nil"/>
              <w:left w:val="nil"/>
              <w:bottom w:val="nil"/>
              <w:right w:val="nil"/>
            </w:tcBorders>
            <w:vAlign w:val="center"/>
          </w:tcPr>
          <w:p w14:paraId="631376D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Various types of advanced malignancy</w:t>
            </w:r>
          </w:p>
        </w:tc>
        <w:tc>
          <w:tcPr>
            <w:tcW w:w="0" w:type="auto"/>
            <w:tcBorders>
              <w:top w:val="nil"/>
              <w:left w:val="nil"/>
              <w:bottom w:val="nil"/>
              <w:right w:val="nil"/>
            </w:tcBorders>
            <w:vAlign w:val="center"/>
          </w:tcPr>
          <w:p w14:paraId="7CC3DAC4"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applicable</w:t>
            </w:r>
          </w:p>
        </w:tc>
        <w:tc>
          <w:tcPr>
            <w:tcW w:w="0" w:type="auto"/>
            <w:tcBorders>
              <w:top w:val="nil"/>
              <w:left w:val="nil"/>
              <w:bottom w:val="nil"/>
              <w:right w:val="nil"/>
            </w:tcBorders>
            <w:vAlign w:val="center"/>
          </w:tcPr>
          <w:p w14:paraId="00AC934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1</w:t>
            </w:r>
            <w:r>
              <w:rPr>
                <w:rFonts w:ascii="Times New Roman" w:hAnsi="Times New Roman"/>
                <w:color w:val="000000"/>
                <w:sz w:val="11"/>
                <w:szCs w:val="11"/>
              </w:rPr>
              <w:t>08 (100)</w:t>
            </w:r>
          </w:p>
        </w:tc>
        <w:tc>
          <w:tcPr>
            <w:tcW w:w="0" w:type="auto"/>
            <w:tcBorders>
              <w:top w:val="nil"/>
              <w:left w:val="nil"/>
              <w:bottom w:val="nil"/>
              <w:right w:val="nil"/>
            </w:tcBorders>
            <w:vAlign w:val="center"/>
          </w:tcPr>
          <w:p w14:paraId="779AF13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50</w:t>
            </w:r>
          </w:p>
        </w:tc>
        <w:tc>
          <w:tcPr>
            <w:tcW w:w="0" w:type="auto"/>
            <w:tcBorders>
              <w:top w:val="nil"/>
              <w:left w:val="nil"/>
              <w:bottom w:val="nil"/>
              <w:right w:val="nil"/>
            </w:tcBorders>
            <w:vAlign w:val="center"/>
          </w:tcPr>
          <w:p w14:paraId="0E24D6C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61/47</w:t>
            </w:r>
          </w:p>
        </w:tc>
        <w:tc>
          <w:tcPr>
            <w:tcW w:w="0" w:type="auto"/>
            <w:tcBorders>
              <w:top w:val="nil"/>
              <w:left w:val="nil"/>
              <w:bottom w:val="nil"/>
              <w:right w:val="nil"/>
            </w:tcBorders>
            <w:vAlign w:val="center"/>
          </w:tcPr>
          <w:p w14:paraId="3651333E"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24/100</w:t>
            </w:r>
          </w:p>
        </w:tc>
        <w:tc>
          <w:tcPr>
            <w:tcW w:w="0" w:type="auto"/>
            <w:tcBorders>
              <w:top w:val="nil"/>
              <w:left w:val="nil"/>
              <w:bottom w:val="nil"/>
              <w:right w:val="nil"/>
            </w:tcBorders>
            <w:vAlign w:val="center"/>
          </w:tcPr>
          <w:p w14:paraId="642790E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24.00</w:t>
            </w:r>
          </w:p>
        </w:tc>
        <w:tc>
          <w:tcPr>
            <w:tcW w:w="0" w:type="auto"/>
            <w:tcBorders>
              <w:top w:val="nil"/>
              <w:left w:val="nil"/>
              <w:bottom w:val="nil"/>
              <w:right w:val="nil"/>
            </w:tcBorders>
            <w:vAlign w:val="center"/>
          </w:tcPr>
          <w:p w14:paraId="5CEF2E1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 (2) (7)</w:t>
            </w:r>
          </w:p>
        </w:tc>
        <w:tc>
          <w:tcPr>
            <w:tcW w:w="0" w:type="auto"/>
            <w:tcBorders>
              <w:top w:val="nil"/>
              <w:left w:val="nil"/>
              <w:bottom w:val="nil"/>
              <w:right w:val="nil"/>
            </w:tcBorders>
            <w:vAlign w:val="center"/>
          </w:tcPr>
          <w:p w14:paraId="5EC8BE7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4'-epi-doxorubicin</w:t>
            </w:r>
          </w:p>
        </w:tc>
      </w:tr>
      <w:tr w:rsidR="005A5C01" w14:paraId="116825A2" w14:textId="77777777">
        <w:trPr>
          <w:jc w:val="center"/>
        </w:trPr>
        <w:tc>
          <w:tcPr>
            <w:tcW w:w="1033" w:type="dxa"/>
            <w:tcBorders>
              <w:top w:val="nil"/>
              <w:left w:val="nil"/>
              <w:bottom w:val="nil"/>
              <w:right w:val="nil"/>
            </w:tcBorders>
            <w:vAlign w:val="center"/>
          </w:tcPr>
          <w:p w14:paraId="0900A75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Antman</w:t>
            </w:r>
            <w:r>
              <w:rPr>
                <w:rFonts w:ascii="Times New Roman" w:hAnsi="Times New Roman"/>
                <w:color w:val="000000"/>
                <w:sz w:val="11"/>
                <w:szCs w:val="11"/>
              </w:rPr>
              <w:t xml:space="preserve"> </w:t>
            </w:r>
            <w:r>
              <w:rPr>
                <w:rFonts w:ascii="Times New Roman" w:hAnsi="Times New Roman" w:hint="eastAsia"/>
                <w:color w:val="000000"/>
                <w:sz w:val="11"/>
                <w:szCs w:val="11"/>
              </w:rPr>
              <w:t>1984</w:t>
            </w:r>
            <w:r>
              <w:rPr>
                <w:rStyle w:val="EndnoteReference"/>
                <w:rFonts w:ascii="Times New Roman" w:hAnsi="Times New Roman" w:hint="eastAsia"/>
                <w:color w:val="000000"/>
                <w:sz w:val="11"/>
                <w:szCs w:val="11"/>
              </w:rPr>
              <w:endnoteReference w:id="16"/>
            </w:r>
          </w:p>
        </w:tc>
        <w:tc>
          <w:tcPr>
            <w:tcW w:w="1079" w:type="dxa"/>
            <w:tcBorders>
              <w:top w:val="nil"/>
              <w:left w:val="nil"/>
              <w:bottom w:val="nil"/>
              <w:right w:val="nil"/>
            </w:tcBorders>
            <w:vAlign w:val="center"/>
          </w:tcPr>
          <w:p w14:paraId="7921A42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USA</w:t>
            </w:r>
          </w:p>
        </w:tc>
        <w:tc>
          <w:tcPr>
            <w:tcW w:w="0" w:type="auto"/>
            <w:tcBorders>
              <w:top w:val="nil"/>
              <w:left w:val="nil"/>
              <w:bottom w:val="nil"/>
              <w:right w:val="nil"/>
            </w:tcBorders>
            <w:vAlign w:val="center"/>
          </w:tcPr>
          <w:p w14:paraId="1AA25DC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 xml:space="preserve">not </w:t>
            </w:r>
            <w:r>
              <w:rPr>
                <w:rFonts w:ascii="Times New Roman" w:hAnsi="Times New Roman" w:hint="eastAsia"/>
                <w:color w:val="000000"/>
                <w:sz w:val="11"/>
                <w:szCs w:val="11"/>
              </w:rPr>
              <w:t>mentioned</w:t>
            </w:r>
          </w:p>
        </w:tc>
        <w:tc>
          <w:tcPr>
            <w:tcW w:w="0" w:type="auto"/>
            <w:tcBorders>
              <w:top w:val="nil"/>
              <w:left w:val="nil"/>
              <w:bottom w:val="nil"/>
              <w:right w:val="nil"/>
            </w:tcBorders>
            <w:vAlign w:val="center"/>
          </w:tcPr>
          <w:p w14:paraId="61F57D2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1978 -1982</w:t>
            </w:r>
          </w:p>
        </w:tc>
        <w:tc>
          <w:tcPr>
            <w:tcW w:w="0" w:type="auto"/>
            <w:tcBorders>
              <w:top w:val="nil"/>
              <w:left w:val="nil"/>
              <w:bottom w:val="nil"/>
              <w:right w:val="nil"/>
            </w:tcBorders>
            <w:vAlign w:val="center"/>
          </w:tcPr>
          <w:p w14:paraId="21D0234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 xml:space="preserve">IIB </w:t>
            </w:r>
            <w:r>
              <w:rPr>
                <w:rFonts w:ascii="Times New Roman" w:hAnsi="Times New Roman"/>
                <w:color w:val="000000"/>
                <w:sz w:val="11"/>
                <w:szCs w:val="11"/>
              </w:rPr>
              <w:t>-</w:t>
            </w:r>
            <w:r>
              <w:rPr>
                <w:rFonts w:ascii="Times New Roman" w:hAnsi="Times New Roman" w:hint="eastAsia"/>
                <w:color w:val="000000"/>
                <w:sz w:val="11"/>
                <w:szCs w:val="11"/>
              </w:rPr>
              <w:t>IVA sarcomas</w:t>
            </w:r>
          </w:p>
        </w:tc>
        <w:tc>
          <w:tcPr>
            <w:tcW w:w="0" w:type="auto"/>
            <w:tcBorders>
              <w:top w:val="nil"/>
              <w:left w:val="nil"/>
              <w:bottom w:val="nil"/>
              <w:right w:val="nil"/>
            </w:tcBorders>
            <w:vAlign w:val="center"/>
          </w:tcPr>
          <w:p w14:paraId="48E64544"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5y ears</w:t>
            </w:r>
          </w:p>
        </w:tc>
        <w:tc>
          <w:tcPr>
            <w:tcW w:w="0" w:type="auto"/>
            <w:tcBorders>
              <w:top w:val="nil"/>
              <w:left w:val="nil"/>
              <w:bottom w:val="nil"/>
              <w:right w:val="nil"/>
            </w:tcBorders>
            <w:vAlign w:val="center"/>
          </w:tcPr>
          <w:p w14:paraId="44FC1FD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2</w:t>
            </w:r>
            <w:r>
              <w:rPr>
                <w:rFonts w:ascii="Times New Roman" w:hAnsi="Times New Roman"/>
                <w:color w:val="000000"/>
                <w:sz w:val="11"/>
                <w:szCs w:val="11"/>
              </w:rPr>
              <w:t>0</w:t>
            </w:r>
          </w:p>
        </w:tc>
        <w:tc>
          <w:tcPr>
            <w:tcW w:w="0" w:type="auto"/>
            <w:tcBorders>
              <w:top w:val="nil"/>
              <w:left w:val="nil"/>
              <w:bottom w:val="nil"/>
              <w:right w:val="nil"/>
            </w:tcBorders>
            <w:vAlign w:val="center"/>
          </w:tcPr>
          <w:p w14:paraId="175D4DC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717E5FC7"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182D38E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1/20</w:t>
            </w:r>
          </w:p>
        </w:tc>
        <w:tc>
          <w:tcPr>
            <w:tcW w:w="0" w:type="auto"/>
            <w:tcBorders>
              <w:top w:val="nil"/>
              <w:left w:val="nil"/>
              <w:bottom w:val="nil"/>
              <w:right w:val="nil"/>
            </w:tcBorders>
            <w:vAlign w:val="center"/>
          </w:tcPr>
          <w:p w14:paraId="19EBAC4A"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5.00</w:t>
            </w:r>
          </w:p>
        </w:tc>
        <w:tc>
          <w:tcPr>
            <w:tcW w:w="0" w:type="auto"/>
            <w:tcBorders>
              <w:top w:val="nil"/>
              <w:left w:val="nil"/>
              <w:bottom w:val="nil"/>
              <w:right w:val="nil"/>
            </w:tcBorders>
            <w:vAlign w:val="center"/>
          </w:tcPr>
          <w:p w14:paraId="013D4E3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w:t>
            </w:r>
          </w:p>
        </w:tc>
        <w:tc>
          <w:tcPr>
            <w:tcW w:w="0" w:type="auto"/>
            <w:tcBorders>
              <w:top w:val="nil"/>
              <w:left w:val="nil"/>
              <w:bottom w:val="nil"/>
              <w:right w:val="nil"/>
            </w:tcBorders>
            <w:vAlign w:val="center"/>
          </w:tcPr>
          <w:p w14:paraId="27EEDB84"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Doxorubicin</w:t>
            </w:r>
          </w:p>
        </w:tc>
      </w:tr>
      <w:tr w:rsidR="005A5C01" w14:paraId="4F54AC00" w14:textId="77777777">
        <w:trPr>
          <w:jc w:val="center"/>
        </w:trPr>
        <w:tc>
          <w:tcPr>
            <w:tcW w:w="1033" w:type="dxa"/>
            <w:tcBorders>
              <w:top w:val="nil"/>
              <w:left w:val="nil"/>
              <w:bottom w:val="nil"/>
              <w:right w:val="nil"/>
            </w:tcBorders>
            <w:vAlign w:val="center"/>
          </w:tcPr>
          <w:p w14:paraId="63786C3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Jonathan 1987</w:t>
            </w:r>
            <w:r>
              <w:rPr>
                <w:rStyle w:val="EndnoteReference"/>
                <w:rFonts w:ascii="Times New Roman" w:hAnsi="Times New Roman" w:hint="eastAsia"/>
                <w:color w:val="000000"/>
                <w:sz w:val="11"/>
                <w:szCs w:val="11"/>
              </w:rPr>
              <w:endnoteReference w:id="17"/>
            </w:r>
          </w:p>
        </w:tc>
        <w:tc>
          <w:tcPr>
            <w:tcW w:w="1079" w:type="dxa"/>
            <w:tcBorders>
              <w:top w:val="nil"/>
              <w:left w:val="nil"/>
              <w:bottom w:val="nil"/>
              <w:right w:val="nil"/>
            </w:tcBorders>
            <w:vAlign w:val="center"/>
          </w:tcPr>
          <w:p w14:paraId="1DDB55B4"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USA</w:t>
            </w:r>
          </w:p>
        </w:tc>
        <w:tc>
          <w:tcPr>
            <w:tcW w:w="0" w:type="auto"/>
            <w:tcBorders>
              <w:top w:val="nil"/>
              <w:left w:val="nil"/>
              <w:bottom w:val="nil"/>
              <w:right w:val="nil"/>
            </w:tcBorders>
            <w:vAlign w:val="center"/>
          </w:tcPr>
          <w:p w14:paraId="0273978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not mentioned</w:t>
            </w:r>
          </w:p>
        </w:tc>
        <w:tc>
          <w:tcPr>
            <w:tcW w:w="0" w:type="auto"/>
            <w:tcBorders>
              <w:top w:val="nil"/>
              <w:left w:val="nil"/>
              <w:bottom w:val="nil"/>
              <w:right w:val="nil"/>
            </w:tcBorders>
            <w:vAlign w:val="center"/>
          </w:tcPr>
          <w:p w14:paraId="27891EA4"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5269321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applicable</w:t>
            </w:r>
          </w:p>
        </w:tc>
        <w:tc>
          <w:tcPr>
            <w:tcW w:w="0" w:type="auto"/>
            <w:tcBorders>
              <w:top w:val="nil"/>
              <w:left w:val="nil"/>
              <w:bottom w:val="nil"/>
              <w:right w:val="nil"/>
            </w:tcBorders>
            <w:vAlign w:val="center"/>
          </w:tcPr>
          <w:p w14:paraId="28B2F21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 xml:space="preserve">16 </w:t>
            </w:r>
            <w:r>
              <w:rPr>
                <w:rFonts w:ascii="Times New Roman" w:hAnsi="Times New Roman" w:hint="eastAsia"/>
                <w:color w:val="000000"/>
                <w:sz w:val="11"/>
                <w:szCs w:val="11"/>
              </w:rPr>
              <w:t>d</w:t>
            </w:r>
            <w:r>
              <w:rPr>
                <w:rFonts w:ascii="Times New Roman" w:hAnsi="Times New Roman"/>
                <w:color w:val="000000"/>
                <w:sz w:val="11"/>
                <w:szCs w:val="11"/>
              </w:rPr>
              <w:t>ays</w:t>
            </w:r>
          </w:p>
        </w:tc>
        <w:tc>
          <w:tcPr>
            <w:tcW w:w="0" w:type="auto"/>
            <w:tcBorders>
              <w:top w:val="nil"/>
              <w:left w:val="nil"/>
              <w:bottom w:val="nil"/>
              <w:right w:val="nil"/>
            </w:tcBorders>
            <w:vAlign w:val="center"/>
          </w:tcPr>
          <w:p w14:paraId="73FE71D6"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29</w:t>
            </w:r>
          </w:p>
        </w:tc>
        <w:tc>
          <w:tcPr>
            <w:tcW w:w="0" w:type="auto"/>
            <w:tcBorders>
              <w:top w:val="nil"/>
              <w:left w:val="nil"/>
              <w:bottom w:val="nil"/>
              <w:right w:val="nil"/>
            </w:tcBorders>
            <w:vAlign w:val="center"/>
          </w:tcPr>
          <w:p w14:paraId="036206E6"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57</w:t>
            </w:r>
            <w:r>
              <w:rPr>
                <w:rFonts w:ascii="SimSun" w:hAnsi="SimSun" w:hint="eastAsia"/>
                <w:color w:val="000000"/>
                <w:sz w:val="11"/>
                <w:szCs w:val="11"/>
              </w:rPr>
              <w:t>±</w:t>
            </w:r>
            <w:r>
              <w:rPr>
                <w:rFonts w:ascii="Times New Roman" w:hAnsi="Times New Roman" w:hint="eastAsia"/>
                <w:color w:val="000000"/>
                <w:sz w:val="11"/>
                <w:szCs w:val="11"/>
              </w:rPr>
              <w:t>16</w:t>
            </w:r>
          </w:p>
        </w:tc>
        <w:tc>
          <w:tcPr>
            <w:tcW w:w="0" w:type="auto"/>
            <w:tcBorders>
              <w:top w:val="nil"/>
              <w:left w:val="nil"/>
              <w:bottom w:val="nil"/>
              <w:right w:val="nil"/>
            </w:tcBorders>
            <w:vAlign w:val="center"/>
          </w:tcPr>
          <w:p w14:paraId="62AF453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16/13</w:t>
            </w:r>
          </w:p>
        </w:tc>
        <w:tc>
          <w:tcPr>
            <w:tcW w:w="0" w:type="auto"/>
            <w:tcBorders>
              <w:top w:val="nil"/>
              <w:left w:val="nil"/>
              <w:bottom w:val="nil"/>
              <w:right w:val="nil"/>
            </w:tcBorders>
            <w:vAlign w:val="center"/>
          </w:tcPr>
          <w:p w14:paraId="79007BB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9/29</w:t>
            </w:r>
          </w:p>
        </w:tc>
        <w:tc>
          <w:tcPr>
            <w:tcW w:w="0" w:type="auto"/>
            <w:tcBorders>
              <w:top w:val="nil"/>
              <w:left w:val="nil"/>
              <w:bottom w:val="nil"/>
              <w:right w:val="nil"/>
            </w:tcBorders>
            <w:vAlign w:val="center"/>
          </w:tcPr>
          <w:p w14:paraId="22972906"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3</w:t>
            </w:r>
            <w:r>
              <w:rPr>
                <w:rFonts w:ascii="Times New Roman" w:hAnsi="Times New Roman"/>
                <w:color w:val="000000"/>
                <w:sz w:val="11"/>
                <w:szCs w:val="11"/>
              </w:rPr>
              <w:t>1.03</w:t>
            </w:r>
          </w:p>
        </w:tc>
        <w:tc>
          <w:tcPr>
            <w:tcW w:w="0" w:type="auto"/>
            <w:tcBorders>
              <w:top w:val="nil"/>
              <w:left w:val="nil"/>
              <w:bottom w:val="nil"/>
              <w:right w:val="nil"/>
            </w:tcBorders>
            <w:vAlign w:val="center"/>
          </w:tcPr>
          <w:p w14:paraId="1C0D834E"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w:t>
            </w:r>
          </w:p>
        </w:tc>
        <w:tc>
          <w:tcPr>
            <w:tcW w:w="0" w:type="auto"/>
            <w:tcBorders>
              <w:top w:val="nil"/>
              <w:left w:val="nil"/>
              <w:bottom w:val="nil"/>
              <w:right w:val="nil"/>
            </w:tcBorders>
            <w:vAlign w:val="center"/>
          </w:tcPr>
          <w:p w14:paraId="4D72FCA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D</w:t>
            </w:r>
            <w:r>
              <w:rPr>
                <w:rFonts w:ascii="Times New Roman" w:hAnsi="Times New Roman" w:hint="eastAsia"/>
                <w:color w:val="000000"/>
                <w:sz w:val="11"/>
                <w:szCs w:val="11"/>
              </w:rPr>
              <w:t>oxorubicin</w:t>
            </w:r>
          </w:p>
        </w:tc>
      </w:tr>
      <w:tr w:rsidR="005A5C01" w14:paraId="31E2F416" w14:textId="77777777">
        <w:trPr>
          <w:jc w:val="center"/>
        </w:trPr>
        <w:tc>
          <w:tcPr>
            <w:tcW w:w="1033" w:type="dxa"/>
            <w:tcBorders>
              <w:top w:val="nil"/>
              <w:left w:val="nil"/>
              <w:bottom w:val="nil"/>
              <w:right w:val="nil"/>
            </w:tcBorders>
            <w:vAlign w:val="center"/>
          </w:tcPr>
          <w:p w14:paraId="7E57617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Kaukel</w:t>
            </w:r>
            <w:r>
              <w:rPr>
                <w:rFonts w:ascii="Times New Roman" w:hAnsi="Times New Roman"/>
                <w:color w:val="000000"/>
                <w:sz w:val="11"/>
                <w:szCs w:val="11"/>
              </w:rPr>
              <w:t xml:space="preserve"> </w:t>
            </w:r>
            <w:r>
              <w:rPr>
                <w:rFonts w:ascii="Times New Roman" w:hAnsi="Times New Roman" w:hint="eastAsia"/>
                <w:color w:val="000000"/>
                <w:sz w:val="11"/>
                <w:szCs w:val="11"/>
              </w:rPr>
              <w:t>1990</w:t>
            </w:r>
            <w:r>
              <w:rPr>
                <w:rStyle w:val="EndnoteReference"/>
                <w:rFonts w:ascii="Times New Roman" w:hAnsi="Times New Roman" w:hint="eastAsia"/>
                <w:color w:val="000000"/>
                <w:sz w:val="11"/>
                <w:szCs w:val="11"/>
              </w:rPr>
              <w:endnoteReference w:id="18"/>
            </w:r>
          </w:p>
        </w:tc>
        <w:tc>
          <w:tcPr>
            <w:tcW w:w="1079" w:type="dxa"/>
            <w:tcBorders>
              <w:top w:val="nil"/>
              <w:left w:val="nil"/>
              <w:bottom w:val="nil"/>
              <w:right w:val="nil"/>
            </w:tcBorders>
            <w:vAlign w:val="center"/>
          </w:tcPr>
          <w:p w14:paraId="794276B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USA</w:t>
            </w:r>
          </w:p>
        </w:tc>
        <w:tc>
          <w:tcPr>
            <w:tcW w:w="0" w:type="auto"/>
            <w:tcBorders>
              <w:top w:val="nil"/>
              <w:left w:val="nil"/>
              <w:bottom w:val="nil"/>
              <w:right w:val="nil"/>
            </w:tcBorders>
            <w:vAlign w:val="center"/>
          </w:tcPr>
          <w:p w14:paraId="05D1CAD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 xml:space="preserve">not </w:t>
            </w:r>
            <w:r>
              <w:rPr>
                <w:rFonts w:ascii="Times New Roman" w:hAnsi="Times New Roman" w:hint="eastAsia"/>
                <w:color w:val="000000"/>
                <w:sz w:val="11"/>
                <w:szCs w:val="11"/>
              </w:rPr>
              <w:t>mentioned</w:t>
            </w:r>
          </w:p>
        </w:tc>
        <w:tc>
          <w:tcPr>
            <w:tcW w:w="0" w:type="auto"/>
            <w:tcBorders>
              <w:top w:val="nil"/>
              <w:left w:val="nil"/>
              <w:bottom w:val="nil"/>
              <w:right w:val="nil"/>
            </w:tcBorders>
            <w:vAlign w:val="center"/>
          </w:tcPr>
          <w:p w14:paraId="5C5E502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2936942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Malignant pleural mesothelioma</w:t>
            </w:r>
          </w:p>
        </w:tc>
        <w:tc>
          <w:tcPr>
            <w:tcW w:w="0" w:type="auto"/>
            <w:tcBorders>
              <w:top w:val="nil"/>
              <w:left w:val="nil"/>
              <w:bottom w:val="nil"/>
              <w:right w:val="nil"/>
            </w:tcBorders>
            <w:vAlign w:val="center"/>
          </w:tcPr>
          <w:p w14:paraId="2DDF8DA4"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August 1985 to November 1986</w:t>
            </w:r>
          </w:p>
        </w:tc>
        <w:tc>
          <w:tcPr>
            <w:tcW w:w="0" w:type="auto"/>
            <w:tcBorders>
              <w:top w:val="nil"/>
              <w:left w:val="nil"/>
              <w:bottom w:val="nil"/>
              <w:right w:val="nil"/>
            </w:tcBorders>
            <w:vAlign w:val="center"/>
          </w:tcPr>
          <w:p w14:paraId="744999C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35</w:t>
            </w:r>
          </w:p>
        </w:tc>
        <w:tc>
          <w:tcPr>
            <w:tcW w:w="0" w:type="auto"/>
            <w:tcBorders>
              <w:top w:val="nil"/>
              <w:left w:val="nil"/>
              <w:bottom w:val="nil"/>
              <w:right w:val="nil"/>
            </w:tcBorders>
            <w:vAlign w:val="center"/>
          </w:tcPr>
          <w:p w14:paraId="469C5E66"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68</w:t>
            </w:r>
            <w:r>
              <w:rPr>
                <w:rFonts w:ascii="Times New Roman" w:hAnsi="Times New Roman"/>
                <w:color w:val="000000"/>
                <w:sz w:val="11"/>
                <w:szCs w:val="11"/>
              </w:rPr>
              <w:t>.5</w:t>
            </w:r>
          </w:p>
        </w:tc>
        <w:tc>
          <w:tcPr>
            <w:tcW w:w="0" w:type="auto"/>
            <w:tcBorders>
              <w:top w:val="nil"/>
              <w:left w:val="nil"/>
              <w:bottom w:val="nil"/>
              <w:right w:val="nil"/>
            </w:tcBorders>
            <w:vAlign w:val="center"/>
          </w:tcPr>
          <w:p w14:paraId="77DE4E6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29</w:t>
            </w:r>
            <w:r>
              <w:rPr>
                <w:rFonts w:ascii="Times New Roman" w:hAnsi="Times New Roman" w:hint="eastAsia"/>
                <w:color w:val="000000"/>
                <w:sz w:val="11"/>
                <w:szCs w:val="11"/>
              </w:rPr>
              <w:t>/</w:t>
            </w:r>
            <w:r>
              <w:rPr>
                <w:rFonts w:ascii="Times New Roman" w:hAnsi="Times New Roman"/>
                <w:color w:val="000000"/>
                <w:sz w:val="11"/>
                <w:szCs w:val="11"/>
              </w:rPr>
              <w:t>6</w:t>
            </w:r>
          </w:p>
        </w:tc>
        <w:tc>
          <w:tcPr>
            <w:tcW w:w="0" w:type="auto"/>
            <w:tcBorders>
              <w:top w:val="nil"/>
              <w:left w:val="nil"/>
              <w:bottom w:val="nil"/>
              <w:right w:val="nil"/>
            </w:tcBorders>
            <w:vAlign w:val="center"/>
          </w:tcPr>
          <w:p w14:paraId="2674014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4/35</w:t>
            </w:r>
          </w:p>
        </w:tc>
        <w:tc>
          <w:tcPr>
            <w:tcW w:w="0" w:type="auto"/>
            <w:tcBorders>
              <w:top w:val="nil"/>
              <w:left w:val="nil"/>
              <w:bottom w:val="nil"/>
              <w:right w:val="nil"/>
            </w:tcBorders>
            <w:vAlign w:val="center"/>
          </w:tcPr>
          <w:p w14:paraId="4B627595"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11.43</w:t>
            </w:r>
          </w:p>
        </w:tc>
        <w:tc>
          <w:tcPr>
            <w:tcW w:w="0" w:type="auto"/>
            <w:tcBorders>
              <w:top w:val="nil"/>
              <w:left w:val="nil"/>
              <w:bottom w:val="nil"/>
              <w:right w:val="nil"/>
            </w:tcBorders>
            <w:vAlign w:val="center"/>
          </w:tcPr>
          <w:p w14:paraId="1B45BF14"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(6) (7)</w:t>
            </w:r>
          </w:p>
        </w:tc>
        <w:tc>
          <w:tcPr>
            <w:tcW w:w="0" w:type="auto"/>
            <w:tcBorders>
              <w:top w:val="nil"/>
              <w:left w:val="nil"/>
              <w:bottom w:val="nil"/>
              <w:right w:val="nil"/>
            </w:tcBorders>
            <w:vAlign w:val="center"/>
          </w:tcPr>
          <w:p w14:paraId="5DC035F6"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Pirarubicin</w:t>
            </w:r>
          </w:p>
        </w:tc>
      </w:tr>
      <w:tr w:rsidR="005A5C01" w14:paraId="7D96F7F0" w14:textId="77777777">
        <w:trPr>
          <w:jc w:val="center"/>
        </w:trPr>
        <w:tc>
          <w:tcPr>
            <w:tcW w:w="1033" w:type="dxa"/>
            <w:tcBorders>
              <w:top w:val="nil"/>
              <w:left w:val="nil"/>
              <w:bottom w:val="nil"/>
              <w:right w:val="nil"/>
            </w:tcBorders>
            <w:vAlign w:val="center"/>
          </w:tcPr>
          <w:p w14:paraId="6ABAC20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Umsawasdi 1990</w:t>
            </w:r>
            <w:r>
              <w:rPr>
                <w:rStyle w:val="EndnoteReference"/>
                <w:rFonts w:ascii="Times New Roman" w:hAnsi="Times New Roman"/>
                <w:color w:val="000000"/>
                <w:sz w:val="11"/>
                <w:szCs w:val="11"/>
              </w:rPr>
              <w:endnoteReference w:id="19"/>
            </w:r>
          </w:p>
        </w:tc>
        <w:tc>
          <w:tcPr>
            <w:tcW w:w="1079" w:type="dxa"/>
            <w:tcBorders>
              <w:top w:val="nil"/>
              <w:left w:val="nil"/>
              <w:bottom w:val="nil"/>
              <w:right w:val="nil"/>
            </w:tcBorders>
            <w:vAlign w:val="center"/>
          </w:tcPr>
          <w:p w14:paraId="19B2CF81"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USA</w:t>
            </w:r>
          </w:p>
        </w:tc>
        <w:tc>
          <w:tcPr>
            <w:tcW w:w="0" w:type="auto"/>
            <w:tcBorders>
              <w:top w:val="nil"/>
              <w:left w:val="nil"/>
              <w:bottom w:val="nil"/>
              <w:right w:val="nil"/>
            </w:tcBorders>
            <w:vAlign w:val="center"/>
          </w:tcPr>
          <w:p w14:paraId="7BCF417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Adria Laboratories, Columbus, Ohio</w:t>
            </w:r>
          </w:p>
        </w:tc>
        <w:tc>
          <w:tcPr>
            <w:tcW w:w="0" w:type="auto"/>
            <w:tcBorders>
              <w:top w:val="nil"/>
              <w:left w:val="nil"/>
              <w:bottom w:val="nil"/>
              <w:right w:val="nil"/>
            </w:tcBorders>
            <w:vAlign w:val="center"/>
          </w:tcPr>
          <w:p w14:paraId="590FFFA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55D04A37"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Various types of cancer</w:t>
            </w:r>
          </w:p>
        </w:tc>
        <w:tc>
          <w:tcPr>
            <w:tcW w:w="0" w:type="auto"/>
            <w:tcBorders>
              <w:top w:val="nil"/>
              <w:left w:val="nil"/>
              <w:bottom w:val="nil"/>
              <w:right w:val="nil"/>
            </w:tcBorders>
            <w:vAlign w:val="center"/>
          </w:tcPr>
          <w:p w14:paraId="32BC0CE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73 weeks</w:t>
            </w:r>
          </w:p>
        </w:tc>
        <w:tc>
          <w:tcPr>
            <w:tcW w:w="0" w:type="auto"/>
            <w:tcBorders>
              <w:top w:val="nil"/>
              <w:left w:val="nil"/>
              <w:bottom w:val="nil"/>
              <w:right w:val="nil"/>
            </w:tcBorders>
            <w:vAlign w:val="center"/>
          </w:tcPr>
          <w:p w14:paraId="7348BDF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1</w:t>
            </w:r>
            <w:r>
              <w:rPr>
                <w:rFonts w:ascii="Times New Roman" w:hAnsi="Times New Roman"/>
                <w:color w:val="000000"/>
                <w:sz w:val="11"/>
                <w:szCs w:val="11"/>
              </w:rPr>
              <w:t>5</w:t>
            </w:r>
          </w:p>
        </w:tc>
        <w:tc>
          <w:tcPr>
            <w:tcW w:w="0" w:type="auto"/>
            <w:tcBorders>
              <w:top w:val="nil"/>
              <w:left w:val="nil"/>
              <w:bottom w:val="nil"/>
              <w:right w:val="nil"/>
            </w:tcBorders>
            <w:vAlign w:val="center"/>
          </w:tcPr>
          <w:p w14:paraId="48AD36E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5</w:t>
            </w:r>
            <w:r>
              <w:rPr>
                <w:rFonts w:ascii="Times New Roman" w:hAnsi="Times New Roman"/>
                <w:color w:val="000000"/>
                <w:sz w:val="11"/>
                <w:szCs w:val="11"/>
              </w:rPr>
              <w:t>8</w:t>
            </w:r>
          </w:p>
        </w:tc>
        <w:tc>
          <w:tcPr>
            <w:tcW w:w="0" w:type="auto"/>
            <w:tcBorders>
              <w:top w:val="nil"/>
              <w:left w:val="nil"/>
              <w:bottom w:val="nil"/>
              <w:right w:val="nil"/>
            </w:tcBorders>
            <w:vAlign w:val="center"/>
          </w:tcPr>
          <w:p w14:paraId="381F106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10/5</w:t>
            </w:r>
          </w:p>
        </w:tc>
        <w:tc>
          <w:tcPr>
            <w:tcW w:w="0" w:type="auto"/>
            <w:tcBorders>
              <w:top w:val="nil"/>
              <w:left w:val="nil"/>
              <w:bottom w:val="nil"/>
              <w:right w:val="nil"/>
            </w:tcBorders>
            <w:vAlign w:val="center"/>
          </w:tcPr>
          <w:p w14:paraId="1AC5483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3</w:t>
            </w:r>
            <w:r>
              <w:rPr>
                <w:rFonts w:ascii="Times New Roman" w:hAnsi="Times New Roman"/>
                <w:color w:val="000000"/>
                <w:sz w:val="11"/>
                <w:szCs w:val="11"/>
              </w:rPr>
              <w:t>/15</w:t>
            </w:r>
          </w:p>
        </w:tc>
        <w:tc>
          <w:tcPr>
            <w:tcW w:w="0" w:type="auto"/>
            <w:tcBorders>
              <w:top w:val="nil"/>
              <w:left w:val="nil"/>
              <w:bottom w:val="nil"/>
              <w:right w:val="nil"/>
            </w:tcBorders>
            <w:vAlign w:val="center"/>
          </w:tcPr>
          <w:p w14:paraId="1D71199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2</w:t>
            </w:r>
            <w:r>
              <w:rPr>
                <w:rFonts w:ascii="Times New Roman" w:hAnsi="Times New Roman"/>
                <w:color w:val="000000"/>
                <w:sz w:val="11"/>
                <w:szCs w:val="11"/>
              </w:rPr>
              <w:t>0.00</w:t>
            </w:r>
          </w:p>
        </w:tc>
        <w:tc>
          <w:tcPr>
            <w:tcW w:w="0" w:type="auto"/>
            <w:tcBorders>
              <w:top w:val="nil"/>
              <w:left w:val="nil"/>
              <w:bottom w:val="nil"/>
              <w:right w:val="nil"/>
            </w:tcBorders>
            <w:vAlign w:val="center"/>
          </w:tcPr>
          <w:p w14:paraId="16EE7525"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(5) (6)</w:t>
            </w:r>
          </w:p>
        </w:tc>
        <w:tc>
          <w:tcPr>
            <w:tcW w:w="0" w:type="auto"/>
            <w:tcBorders>
              <w:top w:val="nil"/>
              <w:left w:val="nil"/>
              <w:bottom w:val="nil"/>
              <w:right w:val="nil"/>
            </w:tcBorders>
            <w:vAlign w:val="center"/>
          </w:tcPr>
          <w:p w14:paraId="5510B906"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4-demethoxydaunorubicin</w:t>
            </w:r>
          </w:p>
        </w:tc>
      </w:tr>
      <w:tr w:rsidR="005A5C01" w14:paraId="729BDC13" w14:textId="77777777">
        <w:trPr>
          <w:jc w:val="center"/>
        </w:trPr>
        <w:tc>
          <w:tcPr>
            <w:tcW w:w="1033" w:type="dxa"/>
            <w:tcBorders>
              <w:top w:val="nil"/>
              <w:left w:val="nil"/>
              <w:bottom w:val="nil"/>
              <w:right w:val="nil"/>
            </w:tcBorders>
            <w:vAlign w:val="center"/>
          </w:tcPr>
          <w:p w14:paraId="23B2AD72"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lastRenderedPageBreak/>
              <w:t>Fountzilas 1991</w:t>
            </w:r>
            <w:r>
              <w:rPr>
                <w:rStyle w:val="EndnoteReference"/>
                <w:rFonts w:ascii="Times New Roman" w:hAnsi="Times New Roman"/>
                <w:color w:val="000000"/>
                <w:sz w:val="11"/>
                <w:szCs w:val="11"/>
              </w:rPr>
              <w:endnoteReference w:id="20"/>
            </w:r>
          </w:p>
        </w:tc>
        <w:tc>
          <w:tcPr>
            <w:tcW w:w="1079" w:type="dxa"/>
            <w:tcBorders>
              <w:top w:val="nil"/>
              <w:left w:val="nil"/>
              <w:bottom w:val="nil"/>
              <w:right w:val="nil"/>
            </w:tcBorders>
            <w:vAlign w:val="center"/>
          </w:tcPr>
          <w:p w14:paraId="18B4C09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Greece</w:t>
            </w:r>
          </w:p>
        </w:tc>
        <w:tc>
          <w:tcPr>
            <w:tcW w:w="0" w:type="auto"/>
            <w:tcBorders>
              <w:top w:val="nil"/>
              <w:left w:val="nil"/>
              <w:bottom w:val="nil"/>
              <w:right w:val="nil"/>
            </w:tcBorders>
            <w:vAlign w:val="center"/>
          </w:tcPr>
          <w:p w14:paraId="694E047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710E940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February 1988 to December 1989</w:t>
            </w:r>
          </w:p>
        </w:tc>
        <w:tc>
          <w:tcPr>
            <w:tcW w:w="0" w:type="auto"/>
            <w:tcBorders>
              <w:top w:val="nil"/>
              <w:left w:val="nil"/>
              <w:bottom w:val="nil"/>
              <w:right w:val="nil"/>
            </w:tcBorders>
            <w:vAlign w:val="center"/>
          </w:tcPr>
          <w:p w14:paraId="5752F83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Breast cancer</w:t>
            </w:r>
          </w:p>
        </w:tc>
        <w:tc>
          <w:tcPr>
            <w:tcW w:w="0" w:type="auto"/>
            <w:tcBorders>
              <w:top w:val="nil"/>
              <w:left w:val="nil"/>
              <w:bottom w:val="nil"/>
              <w:right w:val="nil"/>
            </w:tcBorders>
            <w:vAlign w:val="center"/>
          </w:tcPr>
          <w:p w14:paraId="25082347"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443E2C77"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5</w:t>
            </w:r>
            <w:r>
              <w:rPr>
                <w:rFonts w:ascii="Times New Roman" w:hAnsi="Times New Roman"/>
                <w:color w:val="000000"/>
                <w:sz w:val="11"/>
                <w:szCs w:val="11"/>
              </w:rPr>
              <w:t>2 (16)</w:t>
            </w:r>
          </w:p>
        </w:tc>
        <w:tc>
          <w:tcPr>
            <w:tcW w:w="0" w:type="auto"/>
            <w:tcBorders>
              <w:top w:val="nil"/>
              <w:left w:val="nil"/>
              <w:bottom w:val="nil"/>
              <w:right w:val="nil"/>
            </w:tcBorders>
            <w:vAlign w:val="center"/>
          </w:tcPr>
          <w:p w14:paraId="203CAA9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5</w:t>
            </w:r>
            <w:r>
              <w:rPr>
                <w:rFonts w:ascii="Times New Roman" w:hAnsi="Times New Roman"/>
                <w:color w:val="000000"/>
                <w:sz w:val="11"/>
                <w:szCs w:val="11"/>
              </w:rPr>
              <w:t>2</w:t>
            </w:r>
          </w:p>
        </w:tc>
        <w:tc>
          <w:tcPr>
            <w:tcW w:w="0" w:type="auto"/>
            <w:tcBorders>
              <w:top w:val="nil"/>
              <w:left w:val="nil"/>
              <w:bottom w:val="nil"/>
              <w:right w:val="nil"/>
            </w:tcBorders>
            <w:vAlign w:val="center"/>
          </w:tcPr>
          <w:p w14:paraId="526A63F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0</w:t>
            </w:r>
            <w:r>
              <w:rPr>
                <w:rFonts w:ascii="Times New Roman" w:hAnsi="Times New Roman"/>
                <w:color w:val="000000"/>
                <w:sz w:val="11"/>
                <w:szCs w:val="11"/>
              </w:rPr>
              <w:t>/52</w:t>
            </w:r>
          </w:p>
        </w:tc>
        <w:tc>
          <w:tcPr>
            <w:tcW w:w="0" w:type="auto"/>
            <w:tcBorders>
              <w:top w:val="nil"/>
              <w:left w:val="nil"/>
              <w:bottom w:val="nil"/>
              <w:right w:val="nil"/>
            </w:tcBorders>
            <w:vAlign w:val="center"/>
          </w:tcPr>
          <w:p w14:paraId="568AACA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2</w:t>
            </w:r>
            <w:r>
              <w:rPr>
                <w:rFonts w:ascii="Times New Roman" w:hAnsi="Times New Roman"/>
                <w:color w:val="000000"/>
                <w:sz w:val="11"/>
                <w:szCs w:val="11"/>
              </w:rPr>
              <w:t>/16</w:t>
            </w:r>
          </w:p>
        </w:tc>
        <w:tc>
          <w:tcPr>
            <w:tcW w:w="0" w:type="auto"/>
            <w:tcBorders>
              <w:top w:val="nil"/>
              <w:left w:val="nil"/>
              <w:bottom w:val="nil"/>
              <w:right w:val="nil"/>
            </w:tcBorders>
            <w:vAlign w:val="center"/>
          </w:tcPr>
          <w:p w14:paraId="210EC1B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1</w:t>
            </w:r>
            <w:r>
              <w:rPr>
                <w:rFonts w:ascii="Times New Roman" w:hAnsi="Times New Roman"/>
                <w:color w:val="000000"/>
                <w:sz w:val="11"/>
                <w:szCs w:val="11"/>
              </w:rPr>
              <w:t>2.50</w:t>
            </w:r>
          </w:p>
        </w:tc>
        <w:tc>
          <w:tcPr>
            <w:tcW w:w="0" w:type="auto"/>
            <w:tcBorders>
              <w:top w:val="nil"/>
              <w:left w:val="nil"/>
              <w:bottom w:val="nil"/>
              <w:right w:val="nil"/>
            </w:tcBorders>
            <w:vAlign w:val="center"/>
          </w:tcPr>
          <w:p w14:paraId="4E2B2A2E"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w:t>
            </w:r>
            <w:r>
              <w:rPr>
                <w:rFonts w:ascii="Times New Roman" w:hAnsi="Times New Roman"/>
                <w:color w:val="000000"/>
                <w:sz w:val="11"/>
                <w:szCs w:val="11"/>
              </w:rPr>
              <w:t>7)</w:t>
            </w:r>
          </w:p>
        </w:tc>
        <w:tc>
          <w:tcPr>
            <w:tcW w:w="0" w:type="auto"/>
            <w:tcBorders>
              <w:top w:val="nil"/>
              <w:left w:val="nil"/>
              <w:bottom w:val="nil"/>
              <w:right w:val="nil"/>
            </w:tcBorders>
            <w:vAlign w:val="center"/>
          </w:tcPr>
          <w:p w14:paraId="68FDFB3A"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Epirubicin</w:t>
            </w:r>
          </w:p>
        </w:tc>
      </w:tr>
      <w:tr w:rsidR="005A5C01" w14:paraId="3A7BEB00" w14:textId="77777777">
        <w:trPr>
          <w:jc w:val="center"/>
        </w:trPr>
        <w:tc>
          <w:tcPr>
            <w:tcW w:w="1033" w:type="dxa"/>
            <w:tcBorders>
              <w:top w:val="nil"/>
              <w:left w:val="nil"/>
              <w:bottom w:val="nil"/>
              <w:right w:val="nil"/>
            </w:tcBorders>
            <w:vAlign w:val="center"/>
          </w:tcPr>
          <w:p w14:paraId="6056B65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Villani</w:t>
            </w:r>
            <w:r>
              <w:rPr>
                <w:rFonts w:ascii="Times New Roman" w:hAnsi="Times New Roman"/>
                <w:color w:val="000000"/>
                <w:sz w:val="11"/>
                <w:szCs w:val="11"/>
              </w:rPr>
              <w:t xml:space="preserve"> </w:t>
            </w:r>
            <w:r>
              <w:rPr>
                <w:rFonts w:ascii="Times New Roman" w:hAnsi="Times New Roman" w:hint="eastAsia"/>
                <w:color w:val="000000"/>
                <w:sz w:val="11"/>
                <w:szCs w:val="11"/>
              </w:rPr>
              <w:t>1991</w:t>
            </w:r>
            <w:r>
              <w:rPr>
                <w:rStyle w:val="EndnoteReference"/>
                <w:rFonts w:ascii="Times New Roman" w:hAnsi="Times New Roman" w:hint="eastAsia"/>
                <w:color w:val="000000"/>
                <w:sz w:val="11"/>
                <w:szCs w:val="11"/>
              </w:rPr>
              <w:endnoteReference w:id="21"/>
            </w:r>
          </w:p>
        </w:tc>
        <w:tc>
          <w:tcPr>
            <w:tcW w:w="1079" w:type="dxa"/>
            <w:tcBorders>
              <w:top w:val="nil"/>
              <w:left w:val="nil"/>
              <w:bottom w:val="nil"/>
              <w:right w:val="nil"/>
            </w:tcBorders>
            <w:vAlign w:val="center"/>
          </w:tcPr>
          <w:p w14:paraId="799E281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Italy</w:t>
            </w:r>
          </w:p>
        </w:tc>
        <w:tc>
          <w:tcPr>
            <w:tcW w:w="0" w:type="auto"/>
            <w:tcBorders>
              <w:top w:val="nil"/>
              <w:left w:val="nil"/>
              <w:bottom w:val="nil"/>
              <w:right w:val="nil"/>
            </w:tcBorders>
            <w:vAlign w:val="center"/>
          </w:tcPr>
          <w:p w14:paraId="4375815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0DF0491E"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Not mentioned</w:t>
            </w:r>
          </w:p>
        </w:tc>
        <w:tc>
          <w:tcPr>
            <w:tcW w:w="0" w:type="auto"/>
            <w:tcBorders>
              <w:top w:val="nil"/>
              <w:left w:val="nil"/>
              <w:bottom w:val="nil"/>
              <w:right w:val="nil"/>
            </w:tcBorders>
            <w:vAlign w:val="center"/>
          </w:tcPr>
          <w:p w14:paraId="5631BB32"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Gastrointestinal carcinomas,</w:t>
            </w:r>
            <w:r>
              <w:t xml:space="preserve"> </w:t>
            </w:r>
            <w:r>
              <w:rPr>
                <w:rFonts w:ascii="Times New Roman" w:hAnsi="Times New Roman"/>
                <w:color w:val="000000"/>
                <w:sz w:val="11"/>
                <w:szCs w:val="11"/>
              </w:rPr>
              <w:t>kidney carcinomas, nonsmall-cell lung carcinomas, unknown primary carcinomas, hepatocellular carcinomas, breast cancer, melanomas, sarcomas, ovarian carcinoma, non-Hodgkin lymphoma</w:t>
            </w:r>
          </w:p>
        </w:tc>
        <w:tc>
          <w:tcPr>
            <w:tcW w:w="0" w:type="auto"/>
            <w:tcBorders>
              <w:top w:val="nil"/>
              <w:left w:val="nil"/>
              <w:bottom w:val="nil"/>
              <w:right w:val="nil"/>
            </w:tcBorders>
            <w:vAlign w:val="center"/>
          </w:tcPr>
          <w:p w14:paraId="4CE748F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21</w:t>
            </w:r>
            <w:r>
              <w:rPr>
                <w:rFonts w:ascii="Times New Roman" w:hAnsi="Times New Roman"/>
                <w:color w:val="000000"/>
                <w:sz w:val="11"/>
                <w:szCs w:val="11"/>
              </w:rPr>
              <w:t xml:space="preserve"> </w:t>
            </w:r>
            <w:r>
              <w:rPr>
                <w:rFonts w:ascii="Times New Roman" w:hAnsi="Times New Roman" w:hint="eastAsia"/>
                <w:color w:val="000000"/>
                <w:sz w:val="11"/>
                <w:szCs w:val="11"/>
              </w:rPr>
              <w:t>d</w:t>
            </w:r>
            <w:r>
              <w:rPr>
                <w:rFonts w:ascii="Times New Roman" w:hAnsi="Times New Roman"/>
                <w:color w:val="000000"/>
                <w:sz w:val="11"/>
                <w:szCs w:val="11"/>
              </w:rPr>
              <w:t>ays</w:t>
            </w:r>
          </w:p>
        </w:tc>
        <w:tc>
          <w:tcPr>
            <w:tcW w:w="0" w:type="auto"/>
            <w:tcBorders>
              <w:top w:val="nil"/>
              <w:left w:val="nil"/>
              <w:bottom w:val="nil"/>
              <w:right w:val="nil"/>
            </w:tcBorders>
            <w:vAlign w:val="center"/>
          </w:tcPr>
          <w:p w14:paraId="5FE67FA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35</w:t>
            </w:r>
          </w:p>
        </w:tc>
        <w:tc>
          <w:tcPr>
            <w:tcW w:w="0" w:type="auto"/>
            <w:tcBorders>
              <w:top w:val="nil"/>
              <w:left w:val="nil"/>
              <w:bottom w:val="nil"/>
              <w:right w:val="nil"/>
            </w:tcBorders>
            <w:vAlign w:val="center"/>
          </w:tcPr>
          <w:p w14:paraId="28BCCAD1"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4</w:t>
            </w:r>
            <w:r>
              <w:rPr>
                <w:rFonts w:ascii="Times New Roman" w:hAnsi="Times New Roman"/>
                <w:color w:val="000000"/>
                <w:sz w:val="11"/>
                <w:szCs w:val="11"/>
              </w:rPr>
              <w:t>7</w:t>
            </w:r>
          </w:p>
        </w:tc>
        <w:tc>
          <w:tcPr>
            <w:tcW w:w="0" w:type="auto"/>
            <w:tcBorders>
              <w:top w:val="nil"/>
              <w:left w:val="nil"/>
              <w:bottom w:val="nil"/>
              <w:right w:val="nil"/>
            </w:tcBorders>
            <w:vAlign w:val="center"/>
          </w:tcPr>
          <w:p w14:paraId="6DBD8BE4"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24</w:t>
            </w:r>
            <w:r>
              <w:rPr>
                <w:rFonts w:ascii="Times New Roman" w:hAnsi="Times New Roman" w:hint="eastAsia"/>
                <w:color w:val="000000"/>
                <w:sz w:val="11"/>
                <w:szCs w:val="11"/>
              </w:rPr>
              <w:t>/</w:t>
            </w:r>
            <w:r>
              <w:rPr>
                <w:rFonts w:ascii="Times New Roman" w:hAnsi="Times New Roman"/>
                <w:color w:val="000000"/>
                <w:sz w:val="11"/>
                <w:szCs w:val="11"/>
              </w:rPr>
              <w:t>11</w:t>
            </w:r>
          </w:p>
        </w:tc>
        <w:tc>
          <w:tcPr>
            <w:tcW w:w="0" w:type="auto"/>
            <w:tcBorders>
              <w:top w:val="nil"/>
              <w:left w:val="nil"/>
              <w:bottom w:val="nil"/>
              <w:right w:val="nil"/>
            </w:tcBorders>
            <w:vAlign w:val="center"/>
          </w:tcPr>
          <w:p w14:paraId="1BAC8D1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12/35</w:t>
            </w:r>
          </w:p>
        </w:tc>
        <w:tc>
          <w:tcPr>
            <w:tcW w:w="0" w:type="auto"/>
            <w:tcBorders>
              <w:top w:val="nil"/>
              <w:left w:val="nil"/>
              <w:bottom w:val="nil"/>
              <w:right w:val="nil"/>
            </w:tcBorders>
            <w:vAlign w:val="center"/>
          </w:tcPr>
          <w:p w14:paraId="45AE389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34.29</w:t>
            </w:r>
          </w:p>
        </w:tc>
        <w:tc>
          <w:tcPr>
            <w:tcW w:w="0" w:type="auto"/>
            <w:tcBorders>
              <w:top w:val="nil"/>
              <w:left w:val="nil"/>
              <w:bottom w:val="nil"/>
              <w:right w:val="nil"/>
            </w:tcBorders>
            <w:vAlign w:val="center"/>
          </w:tcPr>
          <w:p w14:paraId="47BD2B3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 (6) (7)</w:t>
            </w:r>
          </w:p>
        </w:tc>
        <w:tc>
          <w:tcPr>
            <w:tcW w:w="0" w:type="auto"/>
            <w:tcBorders>
              <w:top w:val="nil"/>
              <w:left w:val="nil"/>
              <w:bottom w:val="nil"/>
              <w:right w:val="nil"/>
            </w:tcBorders>
            <w:vAlign w:val="center"/>
          </w:tcPr>
          <w:p w14:paraId="3F304961"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4’</w:t>
            </w:r>
            <w:r>
              <w:rPr>
                <w:rFonts w:ascii="Times New Roman" w:hAnsi="Times New Roman"/>
                <w:color w:val="000000"/>
                <w:sz w:val="11"/>
                <w:szCs w:val="11"/>
              </w:rPr>
              <w:t>-iodo-4’-deoxydoxorubicin</w:t>
            </w:r>
          </w:p>
        </w:tc>
      </w:tr>
      <w:tr w:rsidR="005A5C01" w14:paraId="465849EF" w14:textId="77777777">
        <w:trPr>
          <w:trHeight w:val="90"/>
          <w:jc w:val="center"/>
        </w:trPr>
        <w:tc>
          <w:tcPr>
            <w:tcW w:w="1033" w:type="dxa"/>
            <w:tcBorders>
              <w:top w:val="nil"/>
              <w:left w:val="nil"/>
              <w:bottom w:val="nil"/>
              <w:right w:val="nil"/>
            </w:tcBorders>
            <w:vAlign w:val="center"/>
          </w:tcPr>
          <w:p w14:paraId="3EF333E5"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Larsen</w:t>
            </w:r>
            <w:r>
              <w:rPr>
                <w:rFonts w:ascii="Times New Roman" w:hAnsi="Times New Roman"/>
                <w:color w:val="000000"/>
                <w:sz w:val="11"/>
                <w:szCs w:val="11"/>
              </w:rPr>
              <w:t xml:space="preserve"> </w:t>
            </w:r>
            <w:r>
              <w:rPr>
                <w:rFonts w:ascii="Times New Roman" w:hAnsi="Times New Roman" w:hint="eastAsia"/>
                <w:color w:val="000000"/>
                <w:sz w:val="11"/>
                <w:szCs w:val="11"/>
              </w:rPr>
              <w:t>1992</w:t>
            </w:r>
            <w:r>
              <w:rPr>
                <w:rStyle w:val="EndnoteReference"/>
                <w:rFonts w:ascii="Times New Roman" w:hAnsi="Times New Roman" w:hint="eastAsia"/>
                <w:color w:val="000000"/>
                <w:sz w:val="11"/>
                <w:szCs w:val="11"/>
              </w:rPr>
              <w:endnoteReference w:id="22"/>
            </w:r>
          </w:p>
        </w:tc>
        <w:tc>
          <w:tcPr>
            <w:tcW w:w="1079" w:type="dxa"/>
            <w:tcBorders>
              <w:top w:val="nil"/>
              <w:left w:val="nil"/>
              <w:bottom w:val="nil"/>
              <w:right w:val="nil"/>
            </w:tcBorders>
            <w:vAlign w:val="center"/>
          </w:tcPr>
          <w:p w14:paraId="131AAA51"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USA</w:t>
            </w:r>
          </w:p>
        </w:tc>
        <w:tc>
          <w:tcPr>
            <w:tcW w:w="0" w:type="auto"/>
            <w:tcBorders>
              <w:top w:val="nil"/>
              <w:left w:val="nil"/>
              <w:bottom w:val="nil"/>
              <w:right w:val="nil"/>
            </w:tcBorders>
            <w:vAlign w:val="center"/>
          </w:tcPr>
          <w:p w14:paraId="01049BE7"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National Institutes of Health Research Career</w:t>
            </w:r>
            <w:r>
              <w:rPr>
                <w:rFonts w:ascii="Times New Roman" w:hAnsi="Times New Roman"/>
                <w:color w:val="000000"/>
                <w:sz w:val="11"/>
                <w:szCs w:val="11"/>
              </w:rPr>
              <w:t xml:space="preserve"> </w:t>
            </w:r>
            <w:r>
              <w:rPr>
                <w:rFonts w:ascii="Times New Roman" w:hAnsi="Times New Roman" w:hint="eastAsia"/>
                <w:color w:val="000000"/>
                <w:sz w:val="11"/>
                <w:szCs w:val="11"/>
              </w:rPr>
              <w:t>Development</w:t>
            </w:r>
          </w:p>
        </w:tc>
        <w:tc>
          <w:tcPr>
            <w:tcW w:w="0" w:type="auto"/>
            <w:tcBorders>
              <w:top w:val="nil"/>
              <w:left w:val="nil"/>
              <w:bottom w:val="nil"/>
              <w:right w:val="nil"/>
            </w:tcBorders>
            <w:vAlign w:val="center"/>
          </w:tcPr>
          <w:p w14:paraId="28DDA26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Not mentioned</w:t>
            </w:r>
          </w:p>
        </w:tc>
        <w:tc>
          <w:tcPr>
            <w:tcW w:w="0" w:type="auto"/>
            <w:tcBorders>
              <w:top w:val="nil"/>
              <w:left w:val="nil"/>
              <w:bottom w:val="nil"/>
              <w:right w:val="nil"/>
            </w:tcBorders>
            <w:vAlign w:val="center"/>
          </w:tcPr>
          <w:p w14:paraId="59ACB0D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 xml:space="preserve">Acute lymphoblastic leukemia, acute nonlymphocytic leukemia, Hodgkin’s disease, non-Hodgkin’s lymphoma, Wills tumor, </w:t>
            </w:r>
            <w:r>
              <w:rPr>
                <w:rFonts w:ascii="Times New Roman" w:hAnsi="Times New Roman"/>
                <w:color w:val="000000"/>
                <w:sz w:val="11"/>
                <w:szCs w:val="11"/>
              </w:rPr>
              <w:t>neuroblastoma, rhabdomyosarcoma, osteosarcoma, Ewing sarcoma, other sarcomas, teratoma, central nervous system tumors</w:t>
            </w:r>
          </w:p>
        </w:tc>
        <w:tc>
          <w:tcPr>
            <w:tcW w:w="0" w:type="auto"/>
            <w:tcBorders>
              <w:top w:val="nil"/>
              <w:left w:val="nil"/>
              <w:bottom w:val="nil"/>
              <w:right w:val="nil"/>
            </w:tcBorders>
            <w:vAlign w:val="center"/>
          </w:tcPr>
          <w:p w14:paraId="510A43B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3 months-21 years</w:t>
            </w:r>
          </w:p>
        </w:tc>
        <w:tc>
          <w:tcPr>
            <w:tcW w:w="0" w:type="auto"/>
            <w:tcBorders>
              <w:top w:val="nil"/>
              <w:left w:val="nil"/>
              <w:bottom w:val="nil"/>
              <w:right w:val="nil"/>
            </w:tcBorders>
            <w:vAlign w:val="center"/>
          </w:tcPr>
          <w:p w14:paraId="11D4F72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110</w:t>
            </w:r>
          </w:p>
        </w:tc>
        <w:tc>
          <w:tcPr>
            <w:tcW w:w="0" w:type="auto"/>
            <w:tcBorders>
              <w:top w:val="nil"/>
              <w:left w:val="nil"/>
              <w:bottom w:val="nil"/>
              <w:right w:val="nil"/>
            </w:tcBorders>
            <w:vAlign w:val="center"/>
          </w:tcPr>
          <w:p w14:paraId="321AA966"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15</w:t>
            </w:r>
            <w:r>
              <w:rPr>
                <w:rFonts w:ascii="SimSun" w:hAnsi="SimSun" w:hint="eastAsia"/>
                <w:color w:val="000000"/>
                <w:sz w:val="11"/>
                <w:szCs w:val="11"/>
              </w:rPr>
              <w:t>±</w:t>
            </w:r>
            <w:r>
              <w:rPr>
                <w:rFonts w:ascii="Times New Roman" w:hAnsi="Times New Roman" w:hint="eastAsia"/>
                <w:color w:val="000000"/>
                <w:sz w:val="11"/>
                <w:szCs w:val="11"/>
              </w:rPr>
              <w:t>4</w:t>
            </w:r>
          </w:p>
        </w:tc>
        <w:tc>
          <w:tcPr>
            <w:tcW w:w="0" w:type="auto"/>
            <w:tcBorders>
              <w:top w:val="nil"/>
              <w:left w:val="nil"/>
              <w:bottom w:val="nil"/>
              <w:right w:val="nil"/>
            </w:tcBorders>
            <w:vAlign w:val="center"/>
          </w:tcPr>
          <w:p w14:paraId="43E18F2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3F3E0152"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25/110</w:t>
            </w:r>
          </w:p>
        </w:tc>
        <w:tc>
          <w:tcPr>
            <w:tcW w:w="0" w:type="auto"/>
            <w:tcBorders>
              <w:top w:val="nil"/>
              <w:left w:val="nil"/>
              <w:bottom w:val="nil"/>
              <w:right w:val="nil"/>
            </w:tcBorders>
            <w:vAlign w:val="center"/>
          </w:tcPr>
          <w:p w14:paraId="48C57012"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22.73</w:t>
            </w:r>
          </w:p>
        </w:tc>
        <w:tc>
          <w:tcPr>
            <w:tcW w:w="0" w:type="auto"/>
            <w:tcBorders>
              <w:top w:val="nil"/>
              <w:left w:val="nil"/>
              <w:bottom w:val="nil"/>
              <w:right w:val="nil"/>
            </w:tcBorders>
            <w:vAlign w:val="center"/>
          </w:tcPr>
          <w:p w14:paraId="59692EB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(3) (6) (7)</w:t>
            </w:r>
          </w:p>
        </w:tc>
        <w:tc>
          <w:tcPr>
            <w:tcW w:w="0" w:type="auto"/>
            <w:tcBorders>
              <w:top w:val="nil"/>
              <w:left w:val="nil"/>
              <w:bottom w:val="nil"/>
              <w:right w:val="nil"/>
            </w:tcBorders>
            <w:vAlign w:val="center"/>
          </w:tcPr>
          <w:p w14:paraId="3332FE7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Anthracyclines</w:t>
            </w:r>
          </w:p>
        </w:tc>
      </w:tr>
      <w:tr w:rsidR="005A5C01" w14:paraId="5FDFF9AB" w14:textId="77777777">
        <w:trPr>
          <w:jc w:val="center"/>
        </w:trPr>
        <w:tc>
          <w:tcPr>
            <w:tcW w:w="1033" w:type="dxa"/>
            <w:tcBorders>
              <w:top w:val="nil"/>
              <w:left w:val="nil"/>
              <w:bottom w:val="nil"/>
              <w:right w:val="nil"/>
            </w:tcBorders>
            <w:vAlign w:val="center"/>
          </w:tcPr>
          <w:p w14:paraId="44192C97"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Ando 2000</w:t>
            </w:r>
            <w:r>
              <w:rPr>
                <w:rStyle w:val="EndnoteReference"/>
                <w:rFonts w:ascii="Times New Roman" w:hAnsi="Times New Roman" w:hint="eastAsia"/>
                <w:color w:val="000000"/>
                <w:sz w:val="11"/>
                <w:szCs w:val="11"/>
              </w:rPr>
              <w:endnoteReference w:id="23"/>
            </w:r>
          </w:p>
        </w:tc>
        <w:tc>
          <w:tcPr>
            <w:tcW w:w="1079" w:type="dxa"/>
            <w:tcBorders>
              <w:top w:val="nil"/>
              <w:left w:val="nil"/>
              <w:bottom w:val="nil"/>
              <w:right w:val="nil"/>
            </w:tcBorders>
            <w:vAlign w:val="center"/>
          </w:tcPr>
          <w:p w14:paraId="14D083B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Japan</w:t>
            </w:r>
          </w:p>
        </w:tc>
        <w:tc>
          <w:tcPr>
            <w:tcW w:w="0" w:type="auto"/>
            <w:tcBorders>
              <w:top w:val="nil"/>
              <w:left w:val="nil"/>
              <w:bottom w:val="nil"/>
              <w:right w:val="nil"/>
            </w:tcBorders>
            <w:vAlign w:val="center"/>
          </w:tcPr>
          <w:p w14:paraId="1E5A85D6"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T</w:t>
            </w:r>
            <w:r>
              <w:rPr>
                <w:rFonts w:ascii="Times New Roman" w:hAnsi="Times New Roman" w:hint="eastAsia"/>
                <w:color w:val="000000"/>
                <w:sz w:val="11"/>
                <w:szCs w:val="11"/>
              </w:rPr>
              <w:t xml:space="preserve">he Ministry of Health and </w:t>
            </w:r>
            <w:r>
              <w:rPr>
                <w:rFonts w:ascii="Times New Roman" w:hAnsi="Times New Roman" w:hint="eastAsia"/>
                <w:color w:val="000000"/>
                <w:sz w:val="11"/>
                <w:szCs w:val="11"/>
              </w:rPr>
              <w:t>Welfare of Japan</w:t>
            </w:r>
          </w:p>
        </w:tc>
        <w:tc>
          <w:tcPr>
            <w:tcW w:w="0" w:type="auto"/>
            <w:tcBorders>
              <w:top w:val="nil"/>
              <w:left w:val="nil"/>
              <w:bottom w:val="nil"/>
              <w:right w:val="nil"/>
            </w:tcBorders>
            <w:vAlign w:val="center"/>
          </w:tcPr>
          <w:p w14:paraId="11CD219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March 1990</w:t>
            </w:r>
          </w:p>
          <w:p w14:paraId="058F205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and August 1998</w:t>
            </w:r>
          </w:p>
        </w:tc>
        <w:tc>
          <w:tcPr>
            <w:tcW w:w="0" w:type="auto"/>
            <w:tcBorders>
              <w:top w:val="nil"/>
              <w:left w:val="nil"/>
              <w:bottom w:val="nil"/>
              <w:right w:val="nil"/>
            </w:tcBorders>
            <w:vAlign w:val="center"/>
          </w:tcPr>
          <w:p w14:paraId="5ED9363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B</w:t>
            </w:r>
            <w:r>
              <w:rPr>
                <w:rFonts w:ascii="Times New Roman" w:hAnsi="Times New Roman" w:hint="eastAsia"/>
                <w:color w:val="000000"/>
                <w:sz w:val="11"/>
                <w:szCs w:val="11"/>
              </w:rPr>
              <w:t>reast cancer</w:t>
            </w:r>
          </w:p>
        </w:tc>
        <w:tc>
          <w:tcPr>
            <w:tcW w:w="0" w:type="auto"/>
            <w:tcBorders>
              <w:top w:val="nil"/>
              <w:left w:val="nil"/>
              <w:bottom w:val="nil"/>
              <w:right w:val="nil"/>
            </w:tcBorders>
            <w:vAlign w:val="center"/>
          </w:tcPr>
          <w:p w14:paraId="4E020984"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applicable</w:t>
            </w:r>
          </w:p>
        </w:tc>
        <w:tc>
          <w:tcPr>
            <w:tcW w:w="0" w:type="auto"/>
            <w:tcBorders>
              <w:top w:val="nil"/>
              <w:left w:val="nil"/>
              <w:bottom w:val="nil"/>
              <w:right w:val="nil"/>
            </w:tcBorders>
            <w:vAlign w:val="center"/>
          </w:tcPr>
          <w:p w14:paraId="3F33DA81"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39</w:t>
            </w:r>
          </w:p>
        </w:tc>
        <w:tc>
          <w:tcPr>
            <w:tcW w:w="0" w:type="auto"/>
            <w:tcBorders>
              <w:top w:val="nil"/>
              <w:left w:val="nil"/>
              <w:bottom w:val="nil"/>
              <w:right w:val="nil"/>
            </w:tcBorders>
            <w:vAlign w:val="center"/>
          </w:tcPr>
          <w:p w14:paraId="435260A1"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46</w:t>
            </w:r>
          </w:p>
        </w:tc>
        <w:tc>
          <w:tcPr>
            <w:tcW w:w="0" w:type="auto"/>
            <w:tcBorders>
              <w:top w:val="nil"/>
              <w:left w:val="nil"/>
              <w:bottom w:val="nil"/>
              <w:right w:val="nil"/>
            </w:tcBorders>
            <w:vAlign w:val="center"/>
          </w:tcPr>
          <w:p w14:paraId="4A51CB31"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0</w:t>
            </w:r>
            <w:r>
              <w:rPr>
                <w:rFonts w:ascii="Times New Roman" w:hAnsi="Times New Roman" w:hint="eastAsia"/>
                <w:color w:val="000000"/>
                <w:sz w:val="11"/>
                <w:szCs w:val="11"/>
              </w:rPr>
              <w:t>/</w:t>
            </w:r>
            <w:r>
              <w:rPr>
                <w:rFonts w:ascii="Times New Roman" w:hAnsi="Times New Roman"/>
                <w:color w:val="000000"/>
                <w:sz w:val="11"/>
                <w:szCs w:val="11"/>
              </w:rPr>
              <w:t>39</w:t>
            </w:r>
          </w:p>
        </w:tc>
        <w:tc>
          <w:tcPr>
            <w:tcW w:w="0" w:type="auto"/>
            <w:tcBorders>
              <w:top w:val="nil"/>
              <w:left w:val="nil"/>
              <w:bottom w:val="nil"/>
              <w:right w:val="nil"/>
            </w:tcBorders>
            <w:vAlign w:val="center"/>
          </w:tcPr>
          <w:p w14:paraId="3EECF45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11/39</w:t>
            </w:r>
          </w:p>
        </w:tc>
        <w:tc>
          <w:tcPr>
            <w:tcW w:w="0" w:type="auto"/>
            <w:tcBorders>
              <w:top w:val="nil"/>
              <w:left w:val="nil"/>
              <w:bottom w:val="nil"/>
              <w:right w:val="nil"/>
            </w:tcBorders>
            <w:vAlign w:val="center"/>
          </w:tcPr>
          <w:p w14:paraId="23656EEA"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28.21</w:t>
            </w:r>
          </w:p>
        </w:tc>
        <w:tc>
          <w:tcPr>
            <w:tcW w:w="0" w:type="auto"/>
            <w:tcBorders>
              <w:top w:val="nil"/>
              <w:left w:val="nil"/>
              <w:bottom w:val="nil"/>
              <w:right w:val="nil"/>
            </w:tcBorders>
            <w:vAlign w:val="center"/>
          </w:tcPr>
          <w:p w14:paraId="055CD64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w:t>
            </w:r>
          </w:p>
        </w:tc>
        <w:tc>
          <w:tcPr>
            <w:tcW w:w="0" w:type="auto"/>
            <w:tcBorders>
              <w:top w:val="nil"/>
              <w:left w:val="nil"/>
              <w:bottom w:val="nil"/>
              <w:right w:val="nil"/>
            </w:tcBorders>
            <w:vAlign w:val="center"/>
          </w:tcPr>
          <w:p w14:paraId="559568B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D</w:t>
            </w:r>
            <w:r>
              <w:rPr>
                <w:rFonts w:ascii="Times New Roman" w:hAnsi="Times New Roman" w:hint="eastAsia"/>
                <w:color w:val="000000"/>
                <w:sz w:val="11"/>
                <w:szCs w:val="11"/>
              </w:rPr>
              <w:t>oxorubicin</w:t>
            </w:r>
          </w:p>
        </w:tc>
      </w:tr>
      <w:tr w:rsidR="005A5C01" w14:paraId="22206177" w14:textId="77777777">
        <w:trPr>
          <w:jc w:val="center"/>
        </w:trPr>
        <w:tc>
          <w:tcPr>
            <w:tcW w:w="1033" w:type="dxa"/>
            <w:tcBorders>
              <w:top w:val="nil"/>
              <w:left w:val="nil"/>
              <w:bottom w:val="nil"/>
              <w:right w:val="nil"/>
            </w:tcBorders>
            <w:vAlign w:val="center"/>
          </w:tcPr>
          <w:p w14:paraId="2E79FB4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Gupta 2002</w:t>
            </w:r>
            <w:r>
              <w:rPr>
                <w:rStyle w:val="EndnoteReference"/>
                <w:rFonts w:ascii="Times New Roman" w:hAnsi="Times New Roman"/>
                <w:color w:val="000000"/>
                <w:sz w:val="11"/>
                <w:szCs w:val="11"/>
              </w:rPr>
              <w:endnoteReference w:id="24"/>
            </w:r>
          </w:p>
        </w:tc>
        <w:tc>
          <w:tcPr>
            <w:tcW w:w="1079" w:type="dxa"/>
            <w:tcBorders>
              <w:top w:val="nil"/>
              <w:left w:val="nil"/>
              <w:bottom w:val="nil"/>
              <w:right w:val="nil"/>
            </w:tcBorders>
            <w:vAlign w:val="center"/>
          </w:tcPr>
          <w:p w14:paraId="18A88FD5"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U</w:t>
            </w:r>
            <w:r>
              <w:rPr>
                <w:rFonts w:ascii="Times New Roman" w:hAnsi="Times New Roman"/>
                <w:color w:val="000000"/>
                <w:sz w:val="11"/>
                <w:szCs w:val="11"/>
              </w:rPr>
              <w:t>SA</w:t>
            </w:r>
          </w:p>
        </w:tc>
        <w:tc>
          <w:tcPr>
            <w:tcW w:w="0" w:type="auto"/>
            <w:tcBorders>
              <w:top w:val="nil"/>
              <w:left w:val="nil"/>
              <w:bottom w:val="nil"/>
              <w:right w:val="nil"/>
            </w:tcBorders>
            <w:vAlign w:val="center"/>
          </w:tcPr>
          <w:p w14:paraId="15A2A01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1AE477A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Not mentioned</w:t>
            </w:r>
          </w:p>
        </w:tc>
        <w:tc>
          <w:tcPr>
            <w:tcW w:w="0" w:type="auto"/>
            <w:tcBorders>
              <w:top w:val="nil"/>
              <w:left w:val="nil"/>
              <w:bottom w:val="nil"/>
              <w:right w:val="nil"/>
            </w:tcBorders>
            <w:vAlign w:val="center"/>
          </w:tcPr>
          <w:p w14:paraId="49CF580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 xml:space="preserve">Non-Hodgkin lymphoma, Hodgkin lymphoma, rhabdomyosarcoma, osteogenic sarcoma, acute </w:t>
            </w:r>
            <w:r>
              <w:rPr>
                <w:rFonts w:ascii="Times New Roman" w:hAnsi="Times New Roman"/>
                <w:color w:val="000000"/>
                <w:sz w:val="11"/>
                <w:szCs w:val="11"/>
              </w:rPr>
              <w:t>lymphocytic leukemia, Ewing sarcoma, Wilms tumor, hemangiopericytoma</w:t>
            </w:r>
          </w:p>
        </w:tc>
        <w:tc>
          <w:tcPr>
            <w:tcW w:w="0" w:type="auto"/>
            <w:tcBorders>
              <w:top w:val="nil"/>
              <w:left w:val="nil"/>
              <w:bottom w:val="nil"/>
              <w:right w:val="nil"/>
            </w:tcBorders>
            <w:vAlign w:val="center"/>
          </w:tcPr>
          <w:p w14:paraId="3271B367"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Not mentioned</w:t>
            </w:r>
          </w:p>
        </w:tc>
        <w:tc>
          <w:tcPr>
            <w:tcW w:w="0" w:type="auto"/>
            <w:tcBorders>
              <w:top w:val="nil"/>
              <w:left w:val="nil"/>
              <w:bottom w:val="nil"/>
              <w:right w:val="nil"/>
            </w:tcBorders>
            <w:vAlign w:val="center"/>
          </w:tcPr>
          <w:p w14:paraId="4EFC579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6</w:t>
            </w:r>
            <w:r>
              <w:rPr>
                <w:rFonts w:ascii="Times New Roman" w:hAnsi="Times New Roman"/>
                <w:color w:val="000000"/>
                <w:sz w:val="11"/>
                <w:szCs w:val="11"/>
              </w:rPr>
              <w:t>4</w:t>
            </w:r>
          </w:p>
        </w:tc>
        <w:tc>
          <w:tcPr>
            <w:tcW w:w="0" w:type="auto"/>
            <w:tcBorders>
              <w:top w:val="nil"/>
              <w:left w:val="nil"/>
              <w:bottom w:val="nil"/>
              <w:right w:val="nil"/>
            </w:tcBorders>
            <w:vAlign w:val="center"/>
          </w:tcPr>
          <w:p w14:paraId="41B978FA"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11±5</w:t>
            </w:r>
          </w:p>
        </w:tc>
        <w:tc>
          <w:tcPr>
            <w:tcW w:w="0" w:type="auto"/>
            <w:tcBorders>
              <w:top w:val="nil"/>
              <w:left w:val="nil"/>
              <w:bottom w:val="nil"/>
              <w:right w:val="nil"/>
            </w:tcBorders>
            <w:vAlign w:val="center"/>
          </w:tcPr>
          <w:p w14:paraId="0362D3F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34/30</w:t>
            </w:r>
          </w:p>
        </w:tc>
        <w:tc>
          <w:tcPr>
            <w:tcW w:w="0" w:type="auto"/>
            <w:tcBorders>
              <w:top w:val="nil"/>
              <w:left w:val="nil"/>
              <w:bottom w:val="nil"/>
              <w:right w:val="nil"/>
            </w:tcBorders>
            <w:vAlign w:val="center"/>
          </w:tcPr>
          <w:p w14:paraId="016B10C4"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17/64</w:t>
            </w:r>
          </w:p>
        </w:tc>
        <w:tc>
          <w:tcPr>
            <w:tcW w:w="0" w:type="auto"/>
            <w:tcBorders>
              <w:top w:val="nil"/>
              <w:left w:val="nil"/>
              <w:bottom w:val="nil"/>
              <w:right w:val="nil"/>
            </w:tcBorders>
            <w:vAlign w:val="center"/>
          </w:tcPr>
          <w:p w14:paraId="036ED4B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2</w:t>
            </w:r>
            <w:r>
              <w:rPr>
                <w:rFonts w:ascii="Times New Roman" w:hAnsi="Times New Roman"/>
                <w:color w:val="000000"/>
                <w:sz w:val="11"/>
                <w:szCs w:val="11"/>
              </w:rPr>
              <w:t>6.56</w:t>
            </w:r>
          </w:p>
        </w:tc>
        <w:tc>
          <w:tcPr>
            <w:tcW w:w="0" w:type="auto"/>
            <w:tcBorders>
              <w:top w:val="nil"/>
              <w:left w:val="nil"/>
              <w:bottom w:val="nil"/>
              <w:right w:val="nil"/>
            </w:tcBorders>
            <w:vAlign w:val="center"/>
          </w:tcPr>
          <w:p w14:paraId="4DE456F0" w14:textId="77777777" w:rsidR="005A5C01" w:rsidRDefault="008C226D">
            <w:pPr>
              <w:jc w:val="center"/>
              <w:rPr>
                <w:rFonts w:ascii="Times New Roman" w:hAnsi="Times New Roman"/>
                <w:color w:val="000000"/>
                <w:sz w:val="11"/>
                <w:szCs w:val="11"/>
              </w:rPr>
            </w:pPr>
            <w:r>
              <w:rPr>
                <w:rFonts w:ascii="Times New Roman" w:hAnsi="Times New Roman" w:hint="eastAsia"/>
                <w:color w:val="000000"/>
                <w:sz w:val="11"/>
                <w:szCs w:val="11"/>
              </w:rPr>
              <w:t>(</w:t>
            </w:r>
            <w:r>
              <w:rPr>
                <w:rFonts w:ascii="Times New Roman" w:hAnsi="Times New Roman"/>
                <w:color w:val="000000"/>
                <w:sz w:val="11"/>
                <w:szCs w:val="11"/>
              </w:rPr>
              <w:t>3) (7)</w:t>
            </w:r>
          </w:p>
        </w:tc>
        <w:tc>
          <w:tcPr>
            <w:tcW w:w="0" w:type="auto"/>
            <w:tcBorders>
              <w:top w:val="nil"/>
              <w:left w:val="nil"/>
              <w:bottom w:val="nil"/>
              <w:right w:val="nil"/>
            </w:tcBorders>
            <w:vAlign w:val="center"/>
          </w:tcPr>
          <w:p w14:paraId="4BE8195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Anthracyclines</w:t>
            </w:r>
          </w:p>
        </w:tc>
      </w:tr>
      <w:tr w:rsidR="005A5C01" w14:paraId="3BB3A4F9" w14:textId="77777777">
        <w:trPr>
          <w:jc w:val="center"/>
        </w:trPr>
        <w:tc>
          <w:tcPr>
            <w:tcW w:w="1033" w:type="dxa"/>
            <w:tcBorders>
              <w:top w:val="nil"/>
              <w:left w:val="nil"/>
              <w:bottom w:val="nil"/>
              <w:right w:val="nil"/>
            </w:tcBorders>
            <w:vAlign w:val="center"/>
          </w:tcPr>
          <w:p w14:paraId="4F47E3A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Postma 2002</w:t>
            </w:r>
            <w:r>
              <w:rPr>
                <w:rStyle w:val="EndnoteReference"/>
                <w:rFonts w:ascii="Times New Roman" w:hAnsi="Times New Roman" w:hint="eastAsia"/>
                <w:color w:val="000000"/>
                <w:sz w:val="11"/>
                <w:szCs w:val="11"/>
              </w:rPr>
              <w:endnoteReference w:id="25"/>
            </w:r>
          </w:p>
        </w:tc>
        <w:tc>
          <w:tcPr>
            <w:tcW w:w="1079" w:type="dxa"/>
            <w:tcBorders>
              <w:top w:val="nil"/>
              <w:left w:val="nil"/>
              <w:bottom w:val="nil"/>
              <w:right w:val="nil"/>
            </w:tcBorders>
            <w:vAlign w:val="center"/>
          </w:tcPr>
          <w:p w14:paraId="13F64EB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The</w:t>
            </w:r>
            <w:r>
              <w:rPr>
                <w:rFonts w:ascii="Times New Roman" w:hAnsi="Times New Roman"/>
                <w:color w:val="000000"/>
                <w:sz w:val="11"/>
                <w:szCs w:val="11"/>
              </w:rPr>
              <w:t xml:space="preserve"> </w:t>
            </w:r>
            <w:r>
              <w:rPr>
                <w:rFonts w:ascii="Times New Roman" w:hAnsi="Times New Roman" w:hint="eastAsia"/>
                <w:color w:val="000000"/>
                <w:sz w:val="11"/>
                <w:szCs w:val="11"/>
              </w:rPr>
              <w:t>Netherlands</w:t>
            </w:r>
          </w:p>
        </w:tc>
        <w:tc>
          <w:tcPr>
            <w:tcW w:w="0" w:type="auto"/>
            <w:tcBorders>
              <w:top w:val="nil"/>
              <w:left w:val="nil"/>
              <w:bottom w:val="nil"/>
              <w:right w:val="nil"/>
            </w:tcBorders>
            <w:vAlign w:val="center"/>
          </w:tcPr>
          <w:p w14:paraId="6B35DD4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0C75D13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applicable</w:t>
            </w:r>
          </w:p>
        </w:tc>
        <w:tc>
          <w:tcPr>
            <w:tcW w:w="0" w:type="auto"/>
            <w:tcBorders>
              <w:top w:val="nil"/>
              <w:left w:val="nil"/>
              <w:bottom w:val="nil"/>
              <w:right w:val="nil"/>
            </w:tcBorders>
            <w:vAlign w:val="center"/>
          </w:tcPr>
          <w:p w14:paraId="1EE90E11"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B</w:t>
            </w:r>
            <w:r>
              <w:rPr>
                <w:rFonts w:ascii="Times New Roman" w:hAnsi="Times New Roman" w:hint="eastAsia"/>
                <w:color w:val="000000"/>
                <w:sz w:val="11"/>
                <w:szCs w:val="11"/>
              </w:rPr>
              <w:t>one tumor</w:t>
            </w:r>
          </w:p>
        </w:tc>
        <w:tc>
          <w:tcPr>
            <w:tcW w:w="0" w:type="auto"/>
            <w:tcBorders>
              <w:top w:val="nil"/>
              <w:left w:val="nil"/>
              <w:bottom w:val="nil"/>
              <w:right w:val="nil"/>
            </w:tcBorders>
            <w:vAlign w:val="center"/>
          </w:tcPr>
          <w:p w14:paraId="6DCD7425"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14.1</w:t>
            </w:r>
            <w:r>
              <w:rPr>
                <w:rFonts w:ascii="Times New Roman" w:hAnsi="Times New Roman"/>
                <w:color w:val="000000"/>
                <w:sz w:val="11"/>
                <w:szCs w:val="11"/>
              </w:rPr>
              <w:t xml:space="preserve"> </w:t>
            </w:r>
            <w:r>
              <w:rPr>
                <w:rFonts w:ascii="Times New Roman" w:hAnsi="Times New Roman" w:hint="eastAsia"/>
                <w:color w:val="000000"/>
                <w:sz w:val="11"/>
                <w:szCs w:val="11"/>
              </w:rPr>
              <w:t>y</w:t>
            </w:r>
            <w:r>
              <w:rPr>
                <w:rFonts w:ascii="Times New Roman" w:hAnsi="Times New Roman"/>
                <w:color w:val="000000"/>
                <w:sz w:val="11"/>
                <w:szCs w:val="11"/>
              </w:rPr>
              <w:t>ears</w:t>
            </w:r>
          </w:p>
        </w:tc>
        <w:tc>
          <w:tcPr>
            <w:tcW w:w="0" w:type="auto"/>
            <w:tcBorders>
              <w:top w:val="nil"/>
              <w:left w:val="nil"/>
              <w:bottom w:val="nil"/>
              <w:right w:val="nil"/>
            </w:tcBorders>
            <w:vAlign w:val="center"/>
          </w:tcPr>
          <w:p w14:paraId="7DEDA4B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39</w:t>
            </w:r>
          </w:p>
        </w:tc>
        <w:tc>
          <w:tcPr>
            <w:tcW w:w="0" w:type="auto"/>
            <w:tcBorders>
              <w:top w:val="nil"/>
              <w:left w:val="nil"/>
              <w:bottom w:val="nil"/>
              <w:right w:val="nil"/>
            </w:tcBorders>
            <w:vAlign w:val="center"/>
          </w:tcPr>
          <w:p w14:paraId="20D47192"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32.5</w:t>
            </w:r>
          </w:p>
        </w:tc>
        <w:tc>
          <w:tcPr>
            <w:tcW w:w="0" w:type="auto"/>
            <w:tcBorders>
              <w:top w:val="nil"/>
              <w:left w:val="nil"/>
              <w:bottom w:val="nil"/>
              <w:right w:val="nil"/>
            </w:tcBorders>
            <w:vAlign w:val="center"/>
          </w:tcPr>
          <w:p w14:paraId="1115C256"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25/14</w:t>
            </w:r>
          </w:p>
        </w:tc>
        <w:tc>
          <w:tcPr>
            <w:tcW w:w="0" w:type="auto"/>
            <w:tcBorders>
              <w:top w:val="nil"/>
              <w:left w:val="nil"/>
              <w:bottom w:val="nil"/>
              <w:right w:val="nil"/>
            </w:tcBorders>
            <w:vAlign w:val="center"/>
          </w:tcPr>
          <w:p w14:paraId="0ACD1DF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12/29</w:t>
            </w:r>
          </w:p>
        </w:tc>
        <w:tc>
          <w:tcPr>
            <w:tcW w:w="0" w:type="auto"/>
            <w:tcBorders>
              <w:top w:val="nil"/>
              <w:left w:val="nil"/>
              <w:bottom w:val="nil"/>
              <w:right w:val="nil"/>
            </w:tcBorders>
            <w:vAlign w:val="center"/>
          </w:tcPr>
          <w:p w14:paraId="7A03FD9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41.38</w:t>
            </w:r>
          </w:p>
        </w:tc>
        <w:tc>
          <w:tcPr>
            <w:tcW w:w="0" w:type="auto"/>
            <w:tcBorders>
              <w:top w:val="nil"/>
              <w:left w:val="nil"/>
              <w:bottom w:val="nil"/>
              <w:right w:val="nil"/>
            </w:tcBorders>
            <w:vAlign w:val="center"/>
          </w:tcPr>
          <w:p w14:paraId="0625BBFE" w14:textId="77777777" w:rsidR="005A5C01" w:rsidRDefault="008C226D">
            <w:pPr>
              <w:jc w:val="center"/>
              <w:rPr>
                <w:rFonts w:ascii="Times New Roman" w:hAnsi="Times New Roman"/>
                <w:color w:val="000000"/>
                <w:sz w:val="11"/>
                <w:szCs w:val="11"/>
              </w:rPr>
            </w:pPr>
            <w:r>
              <w:rPr>
                <w:rFonts w:ascii="Times New Roman" w:hAnsi="Times New Roman"/>
                <w:color w:val="000000"/>
                <w:sz w:val="11"/>
                <w:szCs w:val="11"/>
              </w:rPr>
              <w:t>(1) (2)</w:t>
            </w:r>
          </w:p>
        </w:tc>
        <w:tc>
          <w:tcPr>
            <w:tcW w:w="0" w:type="auto"/>
            <w:tcBorders>
              <w:top w:val="nil"/>
              <w:left w:val="nil"/>
              <w:bottom w:val="nil"/>
              <w:right w:val="nil"/>
            </w:tcBorders>
            <w:vAlign w:val="center"/>
          </w:tcPr>
          <w:p w14:paraId="70A9C33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A</w:t>
            </w:r>
            <w:r>
              <w:rPr>
                <w:rFonts w:ascii="Times New Roman" w:hAnsi="Times New Roman" w:hint="eastAsia"/>
                <w:color w:val="000000"/>
                <w:sz w:val="11"/>
                <w:szCs w:val="11"/>
              </w:rPr>
              <w:t>nthracycline</w:t>
            </w:r>
            <w:r>
              <w:rPr>
                <w:rFonts w:ascii="Times New Roman" w:hAnsi="Times New Roman"/>
                <w:color w:val="000000"/>
                <w:sz w:val="11"/>
                <w:szCs w:val="11"/>
              </w:rPr>
              <w:t>s</w:t>
            </w:r>
          </w:p>
        </w:tc>
      </w:tr>
      <w:tr w:rsidR="005A5C01" w14:paraId="5A33D73D" w14:textId="77777777">
        <w:trPr>
          <w:jc w:val="center"/>
        </w:trPr>
        <w:tc>
          <w:tcPr>
            <w:tcW w:w="1033" w:type="dxa"/>
            <w:tcBorders>
              <w:top w:val="nil"/>
              <w:left w:val="nil"/>
              <w:bottom w:val="nil"/>
              <w:right w:val="nil"/>
            </w:tcBorders>
            <w:vAlign w:val="center"/>
          </w:tcPr>
          <w:p w14:paraId="75CCA5B7"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Sally 2003</w:t>
            </w:r>
            <w:r>
              <w:rPr>
                <w:rStyle w:val="EndnoteReference"/>
                <w:rFonts w:ascii="Times New Roman" w:hAnsi="Times New Roman"/>
                <w:color w:val="000000"/>
                <w:sz w:val="11"/>
                <w:szCs w:val="11"/>
              </w:rPr>
              <w:endnoteReference w:id="26"/>
            </w:r>
          </w:p>
        </w:tc>
        <w:tc>
          <w:tcPr>
            <w:tcW w:w="1079" w:type="dxa"/>
            <w:tcBorders>
              <w:top w:val="nil"/>
              <w:left w:val="nil"/>
              <w:bottom w:val="nil"/>
              <w:right w:val="nil"/>
            </w:tcBorders>
            <w:vAlign w:val="center"/>
          </w:tcPr>
          <w:p w14:paraId="46FE65B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U</w:t>
            </w:r>
            <w:r>
              <w:rPr>
                <w:rFonts w:ascii="Times New Roman" w:hAnsi="Times New Roman"/>
                <w:color w:val="000000"/>
                <w:sz w:val="11"/>
                <w:szCs w:val="11"/>
              </w:rPr>
              <w:t>K</w:t>
            </w:r>
          </w:p>
        </w:tc>
        <w:tc>
          <w:tcPr>
            <w:tcW w:w="0" w:type="auto"/>
            <w:tcBorders>
              <w:top w:val="nil"/>
              <w:left w:val="nil"/>
              <w:bottom w:val="nil"/>
              <w:right w:val="nil"/>
            </w:tcBorders>
            <w:vAlign w:val="center"/>
          </w:tcPr>
          <w:p w14:paraId="2890668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46BB5052"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Not mentioned</w:t>
            </w:r>
          </w:p>
        </w:tc>
        <w:tc>
          <w:tcPr>
            <w:tcW w:w="0" w:type="auto"/>
            <w:tcBorders>
              <w:top w:val="nil"/>
              <w:left w:val="nil"/>
              <w:bottom w:val="nil"/>
              <w:right w:val="nil"/>
            </w:tcBorders>
            <w:vAlign w:val="center"/>
          </w:tcPr>
          <w:p w14:paraId="1B05217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applicable</w:t>
            </w:r>
          </w:p>
        </w:tc>
        <w:tc>
          <w:tcPr>
            <w:tcW w:w="0" w:type="auto"/>
            <w:tcBorders>
              <w:top w:val="nil"/>
              <w:left w:val="nil"/>
              <w:bottom w:val="nil"/>
              <w:right w:val="nil"/>
            </w:tcBorders>
            <w:vAlign w:val="center"/>
          </w:tcPr>
          <w:p w14:paraId="2EE2D875"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applicable</w:t>
            </w:r>
          </w:p>
        </w:tc>
        <w:tc>
          <w:tcPr>
            <w:tcW w:w="0" w:type="auto"/>
            <w:tcBorders>
              <w:top w:val="nil"/>
              <w:left w:val="nil"/>
              <w:bottom w:val="nil"/>
              <w:right w:val="nil"/>
            </w:tcBorders>
            <w:vAlign w:val="center"/>
          </w:tcPr>
          <w:p w14:paraId="4F96D9BE"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1</w:t>
            </w:r>
            <w:r>
              <w:rPr>
                <w:rFonts w:ascii="Times New Roman" w:hAnsi="Times New Roman"/>
                <w:color w:val="000000"/>
                <w:sz w:val="11"/>
                <w:szCs w:val="11"/>
              </w:rPr>
              <w:t>4</w:t>
            </w:r>
          </w:p>
        </w:tc>
        <w:tc>
          <w:tcPr>
            <w:tcW w:w="0" w:type="auto"/>
            <w:tcBorders>
              <w:top w:val="nil"/>
              <w:left w:val="nil"/>
              <w:bottom w:val="nil"/>
              <w:right w:val="nil"/>
            </w:tcBorders>
            <w:vAlign w:val="center"/>
          </w:tcPr>
          <w:p w14:paraId="692C34A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5FEDA4D7"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1</w:t>
            </w:r>
            <w:r>
              <w:rPr>
                <w:rFonts w:ascii="Times New Roman" w:hAnsi="Times New Roman"/>
                <w:color w:val="000000"/>
                <w:sz w:val="11"/>
                <w:szCs w:val="11"/>
              </w:rPr>
              <w:t>3/1</w:t>
            </w:r>
          </w:p>
        </w:tc>
        <w:tc>
          <w:tcPr>
            <w:tcW w:w="0" w:type="auto"/>
            <w:tcBorders>
              <w:top w:val="nil"/>
              <w:left w:val="nil"/>
              <w:bottom w:val="nil"/>
              <w:right w:val="nil"/>
            </w:tcBorders>
            <w:vAlign w:val="center"/>
          </w:tcPr>
          <w:p w14:paraId="3AD9BDB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9</w:t>
            </w:r>
            <w:r>
              <w:rPr>
                <w:rFonts w:ascii="Times New Roman" w:hAnsi="Times New Roman"/>
                <w:color w:val="000000"/>
                <w:sz w:val="11"/>
                <w:szCs w:val="11"/>
              </w:rPr>
              <w:t>/14</w:t>
            </w:r>
          </w:p>
        </w:tc>
        <w:tc>
          <w:tcPr>
            <w:tcW w:w="0" w:type="auto"/>
            <w:tcBorders>
              <w:top w:val="nil"/>
              <w:left w:val="nil"/>
              <w:bottom w:val="nil"/>
              <w:right w:val="nil"/>
            </w:tcBorders>
            <w:vAlign w:val="center"/>
          </w:tcPr>
          <w:p w14:paraId="4E4F3D97"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6</w:t>
            </w:r>
            <w:r>
              <w:rPr>
                <w:rFonts w:ascii="Times New Roman" w:hAnsi="Times New Roman"/>
                <w:color w:val="000000"/>
                <w:sz w:val="11"/>
                <w:szCs w:val="11"/>
              </w:rPr>
              <w:t>4.29</w:t>
            </w:r>
          </w:p>
        </w:tc>
        <w:tc>
          <w:tcPr>
            <w:tcW w:w="0" w:type="auto"/>
            <w:tcBorders>
              <w:top w:val="nil"/>
              <w:left w:val="nil"/>
              <w:bottom w:val="nil"/>
              <w:right w:val="nil"/>
            </w:tcBorders>
            <w:vAlign w:val="center"/>
          </w:tcPr>
          <w:p w14:paraId="50FAA139" w14:textId="77777777" w:rsidR="005A5C01" w:rsidRDefault="008C226D">
            <w:pPr>
              <w:jc w:val="center"/>
              <w:rPr>
                <w:rFonts w:ascii="Times New Roman" w:hAnsi="Times New Roman"/>
                <w:color w:val="000000"/>
                <w:sz w:val="11"/>
                <w:szCs w:val="11"/>
              </w:rPr>
            </w:pPr>
            <w:r>
              <w:rPr>
                <w:rFonts w:ascii="Times New Roman" w:hAnsi="Times New Roman" w:hint="eastAsia"/>
                <w:color w:val="000000"/>
                <w:sz w:val="11"/>
                <w:szCs w:val="11"/>
              </w:rPr>
              <w:t>(</w:t>
            </w:r>
            <w:r>
              <w:rPr>
                <w:rFonts w:ascii="Times New Roman" w:hAnsi="Times New Roman"/>
                <w:color w:val="000000"/>
                <w:sz w:val="11"/>
                <w:szCs w:val="11"/>
              </w:rPr>
              <w:t>6)</w:t>
            </w:r>
          </w:p>
        </w:tc>
        <w:tc>
          <w:tcPr>
            <w:tcW w:w="0" w:type="auto"/>
            <w:tcBorders>
              <w:top w:val="nil"/>
              <w:left w:val="nil"/>
              <w:bottom w:val="nil"/>
              <w:right w:val="nil"/>
            </w:tcBorders>
            <w:vAlign w:val="center"/>
          </w:tcPr>
          <w:p w14:paraId="3A07D99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Anthracyclines</w:t>
            </w:r>
          </w:p>
        </w:tc>
      </w:tr>
      <w:tr w:rsidR="005A5C01" w14:paraId="059C5358" w14:textId="77777777">
        <w:trPr>
          <w:trHeight w:val="466"/>
          <w:jc w:val="center"/>
        </w:trPr>
        <w:tc>
          <w:tcPr>
            <w:tcW w:w="1033" w:type="dxa"/>
            <w:tcBorders>
              <w:top w:val="nil"/>
              <w:left w:val="nil"/>
              <w:bottom w:val="nil"/>
              <w:right w:val="nil"/>
            </w:tcBorders>
            <w:vAlign w:val="center"/>
          </w:tcPr>
          <w:p w14:paraId="11D5276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Pignata</w:t>
            </w:r>
            <w:r>
              <w:rPr>
                <w:rFonts w:ascii="Times New Roman" w:hAnsi="Times New Roman"/>
                <w:color w:val="000000"/>
                <w:sz w:val="11"/>
                <w:szCs w:val="11"/>
              </w:rPr>
              <w:t xml:space="preserve"> </w:t>
            </w:r>
            <w:r>
              <w:rPr>
                <w:rFonts w:ascii="Times New Roman" w:hAnsi="Times New Roman" w:hint="eastAsia"/>
                <w:color w:val="000000"/>
                <w:sz w:val="11"/>
                <w:szCs w:val="11"/>
              </w:rPr>
              <w:t>2006</w:t>
            </w:r>
            <w:r>
              <w:rPr>
                <w:rStyle w:val="EndnoteReference"/>
                <w:rFonts w:ascii="Times New Roman" w:hAnsi="Times New Roman" w:hint="eastAsia"/>
                <w:color w:val="000000"/>
                <w:sz w:val="11"/>
                <w:szCs w:val="11"/>
              </w:rPr>
              <w:endnoteReference w:id="27"/>
            </w:r>
          </w:p>
        </w:tc>
        <w:tc>
          <w:tcPr>
            <w:tcW w:w="1079" w:type="dxa"/>
            <w:tcBorders>
              <w:top w:val="nil"/>
              <w:left w:val="nil"/>
              <w:bottom w:val="nil"/>
              <w:right w:val="nil"/>
            </w:tcBorders>
            <w:vAlign w:val="center"/>
          </w:tcPr>
          <w:p w14:paraId="3954CDD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Italy</w:t>
            </w:r>
          </w:p>
        </w:tc>
        <w:tc>
          <w:tcPr>
            <w:tcW w:w="0" w:type="auto"/>
            <w:tcBorders>
              <w:top w:val="nil"/>
              <w:left w:val="nil"/>
              <w:bottom w:val="nil"/>
              <w:right w:val="nil"/>
            </w:tcBorders>
            <w:vAlign w:val="center"/>
          </w:tcPr>
          <w:p w14:paraId="056998E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Associazione Italiana per la Ricerca sul Cancro</w:t>
            </w:r>
          </w:p>
        </w:tc>
        <w:tc>
          <w:tcPr>
            <w:tcW w:w="0" w:type="auto"/>
            <w:tcBorders>
              <w:top w:val="nil"/>
              <w:left w:val="nil"/>
              <w:bottom w:val="nil"/>
              <w:right w:val="nil"/>
            </w:tcBorders>
            <w:vAlign w:val="center"/>
          </w:tcPr>
          <w:p w14:paraId="3F1ADF8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January 2003 to July 2004</w:t>
            </w:r>
          </w:p>
        </w:tc>
        <w:tc>
          <w:tcPr>
            <w:tcW w:w="0" w:type="auto"/>
            <w:tcBorders>
              <w:top w:val="nil"/>
              <w:left w:val="nil"/>
              <w:bottom w:val="nil"/>
              <w:right w:val="nil"/>
            </w:tcBorders>
            <w:vAlign w:val="center"/>
          </w:tcPr>
          <w:p w14:paraId="04FE3E8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 xml:space="preserve">Ovarian </w:t>
            </w:r>
            <w:r>
              <w:rPr>
                <w:rFonts w:ascii="Times New Roman" w:hAnsi="Times New Roman"/>
                <w:color w:val="000000"/>
                <w:sz w:val="11"/>
                <w:szCs w:val="11"/>
              </w:rPr>
              <w:t>cancer</w:t>
            </w:r>
          </w:p>
        </w:tc>
        <w:tc>
          <w:tcPr>
            <w:tcW w:w="0" w:type="auto"/>
            <w:tcBorders>
              <w:top w:val="nil"/>
              <w:left w:val="nil"/>
              <w:bottom w:val="nil"/>
              <w:right w:val="nil"/>
            </w:tcBorders>
            <w:vAlign w:val="center"/>
          </w:tcPr>
          <w:p w14:paraId="28B2480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21</w:t>
            </w:r>
            <w:r>
              <w:rPr>
                <w:rFonts w:ascii="Times New Roman" w:hAnsi="Times New Roman"/>
                <w:color w:val="000000"/>
                <w:sz w:val="11"/>
                <w:szCs w:val="11"/>
              </w:rPr>
              <w:t>-</w:t>
            </w:r>
            <w:r>
              <w:rPr>
                <w:rFonts w:ascii="Times New Roman" w:hAnsi="Times New Roman" w:hint="eastAsia"/>
                <w:color w:val="000000"/>
                <w:sz w:val="11"/>
                <w:szCs w:val="11"/>
              </w:rPr>
              <w:t>day</w:t>
            </w:r>
            <w:r>
              <w:rPr>
                <w:rFonts w:ascii="Times New Roman" w:hAnsi="Times New Roman"/>
                <w:color w:val="000000"/>
                <w:sz w:val="11"/>
                <w:szCs w:val="11"/>
              </w:rPr>
              <w:t xml:space="preserve"> </w:t>
            </w:r>
            <w:r>
              <w:rPr>
                <w:rFonts w:ascii="Times New Roman" w:hAnsi="Times New Roman" w:hint="eastAsia"/>
                <w:color w:val="000000"/>
                <w:sz w:val="11"/>
                <w:szCs w:val="11"/>
              </w:rPr>
              <w:t>cycle,</w:t>
            </w:r>
            <w:r>
              <w:rPr>
                <w:rFonts w:ascii="Times New Roman" w:hAnsi="Times New Roman"/>
                <w:color w:val="000000"/>
                <w:sz w:val="11"/>
                <w:szCs w:val="11"/>
              </w:rPr>
              <w:t xml:space="preserve"> </w:t>
            </w:r>
            <w:r>
              <w:rPr>
                <w:rFonts w:ascii="Times New Roman" w:hAnsi="Times New Roman" w:hint="eastAsia"/>
                <w:color w:val="000000"/>
                <w:sz w:val="11"/>
                <w:szCs w:val="11"/>
              </w:rPr>
              <w:t>6</w:t>
            </w:r>
            <w:r>
              <w:rPr>
                <w:rFonts w:ascii="Times New Roman" w:hAnsi="Times New Roman"/>
                <w:color w:val="000000"/>
                <w:sz w:val="11"/>
                <w:szCs w:val="11"/>
              </w:rPr>
              <w:t xml:space="preserve"> </w:t>
            </w:r>
            <w:r>
              <w:rPr>
                <w:rFonts w:ascii="Times New Roman" w:hAnsi="Times New Roman" w:hint="eastAsia"/>
                <w:color w:val="000000"/>
                <w:sz w:val="11"/>
                <w:szCs w:val="11"/>
              </w:rPr>
              <w:t>cycles</w:t>
            </w:r>
          </w:p>
        </w:tc>
        <w:tc>
          <w:tcPr>
            <w:tcW w:w="0" w:type="auto"/>
            <w:tcBorders>
              <w:top w:val="nil"/>
              <w:left w:val="nil"/>
              <w:bottom w:val="nil"/>
              <w:right w:val="nil"/>
            </w:tcBorders>
            <w:vAlign w:val="center"/>
          </w:tcPr>
          <w:p w14:paraId="5A8296E6"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50</w:t>
            </w:r>
          </w:p>
        </w:tc>
        <w:tc>
          <w:tcPr>
            <w:tcW w:w="0" w:type="auto"/>
            <w:tcBorders>
              <w:top w:val="nil"/>
              <w:left w:val="nil"/>
              <w:bottom w:val="nil"/>
              <w:right w:val="nil"/>
            </w:tcBorders>
            <w:vAlign w:val="center"/>
          </w:tcPr>
          <w:p w14:paraId="5EE3EBA4"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60</w:t>
            </w:r>
          </w:p>
        </w:tc>
        <w:tc>
          <w:tcPr>
            <w:tcW w:w="0" w:type="auto"/>
            <w:tcBorders>
              <w:top w:val="nil"/>
              <w:left w:val="nil"/>
              <w:bottom w:val="nil"/>
              <w:right w:val="nil"/>
            </w:tcBorders>
            <w:vAlign w:val="center"/>
          </w:tcPr>
          <w:p w14:paraId="68D3D69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0/50</w:t>
            </w:r>
          </w:p>
        </w:tc>
        <w:tc>
          <w:tcPr>
            <w:tcW w:w="0" w:type="auto"/>
            <w:tcBorders>
              <w:top w:val="nil"/>
              <w:left w:val="nil"/>
              <w:bottom w:val="nil"/>
              <w:right w:val="nil"/>
            </w:tcBorders>
            <w:vAlign w:val="center"/>
          </w:tcPr>
          <w:p w14:paraId="21DCE4F5"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2/50</w:t>
            </w:r>
          </w:p>
        </w:tc>
        <w:tc>
          <w:tcPr>
            <w:tcW w:w="0" w:type="auto"/>
            <w:tcBorders>
              <w:top w:val="nil"/>
              <w:left w:val="nil"/>
              <w:bottom w:val="nil"/>
              <w:right w:val="nil"/>
            </w:tcBorders>
            <w:vAlign w:val="center"/>
          </w:tcPr>
          <w:p w14:paraId="32484D04"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4.00</w:t>
            </w:r>
          </w:p>
        </w:tc>
        <w:tc>
          <w:tcPr>
            <w:tcW w:w="0" w:type="auto"/>
            <w:tcBorders>
              <w:top w:val="nil"/>
              <w:left w:val="nil"/>
              <w:bottom w:val="nil"/>
              <w:right w:val="nil"/>
            </w:tcBorders>
            <w:vAlign w:val="center"/>
          </w:tcPr>
          <w:p w14:paraId="1ABF6D45"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applicable</w:t>
            </w:r>
          </w:p>
        </w:tc>
        <w:tc>
          <w:tcPr>
            <w:tcW w:w="0" w:type="auto"/>
            <w:tcBorders>
              <w:top w:val="nil"/>
              <w:left w:val="nil"/>
              <w:bottom w:val="nil"/>
              <w:right w:val="nil"/>
            </w:tcBorders>
            <w:vAlign w:val="center"/>
          </w:tcPr>
          <w:p w14:paraId="3CCFA93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pegylated liposomal doxorubicin</w:t>
            </w:r>
          </w:p>
        </w:tc>
      </w:tr>
      <w:tr w:rsidR="005A5C01" w14:paraId="7D2BA766" w14:textId="77777777">
        <w:trPr>
          <w:jc w:val="center"/>
        </w:trPr>
        <w:tc>
          <w:tcPr>
            <w:tcW w:w="1033" w:type="dxa"/>
            <w:tcBorders>
              <w:top w:val="nil"/>
              <w:left w:val="nil"/>
              <w:bottom w:val="nil"/>
              <w:right w:val="nil"/>
            </w:tcBorders>
            <w:vAlign w:val="center"/>
          </w:tcPr>
          <w:p w14:paraId="593603B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Chen</w:t>
            </w:r>
            <w:r>
              <w:rPr>
                <w:rFonts w:ascii="Times New Roman" w:hAnsi="Times New Roman"/>
                <w:color w:val="000000"/>
                <w:sz w:val="11"/>
                <w:szCs w:val="11"/>
              </w:rPr>
              <w:t xml:space="preserve"> </w:t>
            </w:r>
            <w:r>
              <w:rPr>
                <w:rFonts w:ascii="Times New Roman" w:hAnsi="Times New Roman" w:hint="eastAsia"/>
                <w:color w:val="000000"/>
                <w:sz w:val="11"/>
                <w:szCs w:val="11"/>
              </w:rPr>
              <w:t>2009</w:t>
            </w:r>
            <w:r>
              <w:rPr>
                <w:rStyle w:val="EndnoteReference"/>
                <w:rFonts w:ascii="Times New Roman" w:hAnsi="Times New Roman" w:hint="eastAsia"/>
                <w:color w:val="000000"/>
                <w:sz w:val="11"/>
                <w:szCs w:val="11"/>
              </w:rPr>
              <w:endnoteReference w:id="28"/>
            </w:r>
          </w:p>
        </w:tc>
        <w:tc>
          <w:tcPr>
            <w:tcW w:w="1079" w:type="dxa"/>
            <w:tcBorders>
              <w:top w:val="nil"/>
              <w:left w:val="nil"/>
              <w:bottom w:val="nil"/>
              <w:right w:val="nil"/>
            </w:tcBorders>
            <w:vAlign w:val="center"/>
          </w:tcPr>
          <w:p w14:paraId="0838D4B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Germany</w:t>
            </w:r>
          </w:p>
        </w:tc>
        <w:tc>
          <w:tcPr>
            <w:tcW w:w="0" w:type="auto"/>
            <w:tcBorders>
              <w:top w:val="nil"/>
              <w:left w:val="nil"/>
              <w:bottom w:val="nil"/>
              <w:right w:val="nil"/>
            </w:tcBorders>
            <w:vAlign w:val="center"/>
          </w:tcPr>
          <w:p w14:paraId="0745B03A"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17864D95"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2000-2004</w:t>
            </w:r>
          </w:p>
        </w:tc>
        <w:tc>
          <w:tcPr>
            <w:tcW w:w="0" w:type="auto"/>
            <w:tcBorders>
              <w:top w:val="nil"/>
              <w:left w:val="nil"/>
              <w:bottom w:val="nil"/>
              <w:right w:val="nil"/>
            </w:tcBorders>
            <w:vAlign w:val="center"/>
          </w:tcPr>
          <w:p w14:paraId="165AFC9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M</w:t>
            </w:r>
            <w:r>
              <w:rPr>
                <w:rFonts w:ascii="Times New Roman" w:hAnsi="Times New Roman" w:hint="eastAsia"/>
                <w:color w:val="000000"/>
                <w:sz w:val="11"/>
                <w:szCs w:val="11"/>
              </w:rPr>
              <w:t>alignant tumor</w:t>
            </w:r>
          </w:p>
        </w:tc>
        <w:tc>
          <w:tcPr>
            <w:tcW w:w="0" w:type="auto"/>
            <w:tcBorders>
              <w:top w:val="nil"/>
              <w:left w:val="nil"/>
              <w:bottom w:val="nil"/>
              <w:right w:val="nil"/>
            </w:tcBorders>
            <w:vAlign w:val="center"/>
          </w:tcPr>
          <w:p w14:paraId="3B97D2F7"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3.2-8 years</w:t>
            </w:r>
          </w:p>
        </w:tc>
        <w:tc>
          <w:tcPr>
            <w:tcW w:w="0" w:type="auto"/>
            <w:tcBorders>
              <w:top w:val="nil"/>
              <w:left w:val="nil"/>
              <w:bottom w:val="nil"/>
              <w:right w:val="nil"/>
            </w:tcBorders>
            <w:vAlign w:val="center"/>
          </w:tcPr>
          <w:p w14:paraId="4A851F7A"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168</w:t>
            </w:r>
          </w:p>
        </w:tc>
        <w:tc>
          <w:tcPr>
            <w:tcW w:w="0" w:type="auto"/>
            <w:tcBorders>
              <w:top w:val="nil"/>
              <w:left w:val="nil"/>
              <w:bottom w:val="nil"/>
              <w:right w:val="nil"/>
            </w:tcBorders>
            <w:vAlign w:val="center"/>
          </w:tcPr>
          <w:p w14:paraId="70156BAD" w14:textId="77777777" w:rsidR="005A5C01" w:rsidRDefault="008C226D">
            <w:pPr>
              <w:spacing w:line="160" w:lineRule="exact"/>
              <w:jc w:val="center"/>
              <w:rPr>
                <w:rFonts w:ascii="Times New Roman" w:hAnsi="Times New Roman"/>
                <w:color w:val="000000"/>
                <w:sz w:val="11"/>
                <w:szCs w:val="11"/>
              </w:rPr>
            </w:pPr>
            <w:bookmarkStart w:id="0" w:name="OLE_LINK1"/>
            <w:r>
              <w:rPr>
                <w:rFonts w:ascii="Times New Roman" w:hAnsi="Times New Roman"/>
                <w:color w:val="000000"/>
                <w:sz w:val="11"/>
                <w:szCs w:val="11"/>
              </w:rPr>
              <w:t>8.1</w:t>
            </w:r>
            <w:r>
              <w:rPr>
                <w:rFonts w:ascii="Times New Roman" w:hAnsi="Times New Roman" w:hint="eastAsia"/>
                <w:color w:val="000000"/>
                <w:sz w:val="11"/>
                <w:szCs w:val="11"/>
              </w:rPr>
              <w:t>±</w:t>
            </w:r>
            <w:r>
              <w:rPr>
                <w:rFonts w:ascii="Times New Roman" w:hAnsi="Times New Roman"/>
                <w:color w:val="000000"/>
                <w:sz w:val="11"/>
                <w:szCs w:val="11"/>
              </w:rPr>
              <w:t>5.3</w:t>
            </w:r>
            <w:bookmarkEnd w:id="0"/>
          </w:p>
        </w:tc>
        <w:tc>
          <w:tcPr>
            <w:tcW w:w="0" w:type="auto"/>
            <w:tcBorders>
              <w:top w:val="nil"/>
              <w:left w:val="nil"/>
              <w:bottom w:val="nil"/>
              <w:right w:val="nil"/>
            </w:tcBorders>
            <w:vAlign w:val="center"/>
          </w:tcPr>
          <w:p w14:paraId="00D0BC52"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110/58</w:t>
            </w:r>
          </w:p>
        </w:tc>
        <w:tc>
          <w:tcPr>
            <w:tcW w:w="0" w:type="auto"/>
            <w:tcBorders>
              <w:top w:val="nil"/>
              <w:left w:val="nil"/>
              <w:bottom w:val="nil"/>
              <w:right w:val="nil"/>
            </w:tcBorders>
            <w:vAlign w:val="center"/>
          </w:tcPr>
          <w:p w14:paraId="62D53BA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4/168</w:t>
            </w:r>
          </w:p>
        </w:tc>
        <w:tc>
          <w:tcPr>
            <w:tcW w:w="0" w:type="auto"/>
            <w:tcBorders>
              <w:top w:val="nil"/>
              <w:left w:val="nil"/>
              <w:bottom w:val="nil"/>
              <w:right w:val="nil"/>
            </w:tcBorders>
            <w:vAlign w:val="center"/>
          </w:tcPr>
          <w:p w14:paraId="295D5EEA"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2.38</w:t>
            </w:r>
          </w:p>
        </w:tc>
        <w:tc>
          <w:tcPr>
            <w:tcW w:w="0" w:type="auto"/>
            <w:tcBorders>
              <w:top w:val="nil"/>
              <w:left w:val="nil"/>
              <w:bottom w:val="nil"/>
              <w:right w:val="nil"/>
            </w:tcBorders>
            <w:vAlign w:val="center"/>
          </w:tcPr>
          <w:p w14:paraId="7E0F0AA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(6)</w:t>
            </w:r>
          </w:p>
        </w:tc>
        <w:tc>
          <w:tcPr>
            <w:tcW w:w="0" w:type="auto"/>
            <w:tcBorders>
              <w:top w:val="nil"/>
              <w:left w:val="nil"/>
              <w:bottom w:val="nil"/>
              <w:right w:val="nil"/>
            </w:tcBorders>
            <w:vAlign w:val="center"/>
          </w:tcPr>
          <w:p w14:paraId="2217913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Anthracyclines</w:t>
            </w:r>
          </w:p>
        </w:tc>
      </w:tr>
      <w:tr w:rsidR="005A5C01" w14:paraId="7F246DEF" w14:textId="77777777">
        <w:trPr>
          <w:jc w:val="center"/>
        </w:trPr>
        <w:tc>
          <w:tcPr>
            <w:tcW w:w="1033" w:type="dxa"/>
            <w:tcBorders>
              <w:top w:val="nil"/>
              <w:left w:val="nil"/>
              <w:bottom w:val="nil"/>
              <w:right w:val="nil"/>
            </w:tcBorders>
            <w:vAlign w:val="center"/>
          </w:tcPr>
          <w:p w14:paraId="0EC1F6E2"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Ricevuto 2015</w:t>
            </w:r>
            <w:r>
              <w:rPr>
                <w:rStyle w:val="EndnoteReference"/>
                <w:rFonts w:ascii="Times New Roman" w:hAnsi="Times New Roman"/>
                <w:color w:val="000000"/>
                <w:sz w:val="11"/>
                <w:szCs w:val="11"/>
              </w:rPr>
              <w:endnoteReference w:id="29"/>
            </w:r>
          </w:p>
        </w:tc>
        <w:tc>
          <w:tcPr>
            <w:tcW w:w="1079" w:type="dxa"/>
            <w:tcBorders>
              <w:top w:val="nil"/>
              <w:left w:val="nil"/>
              <w:bottom w:val="nil"/>
              <w:right w:val="nil"/>
            </w:tcBorders>
            <w:vAlign w:val="center"/>
          </w:tcPr>
          <w:p w14:paraId="4228F546"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Italy</w:t>
            </w:r>
          </w:p>
        </w:tc>
        <w:tc>
          <w:tcPr>
            <w:tcW w:w="0" w:type="auto"/>
            <w:tcBorders>
              <w:top w:val="nil"/>
              <w:left w:val="nil"/>
              <w:bottom w:val="nil"/>
              <w:right w:val="nil"/>
            </w:tcBorders>
            <w:vAlign w:val="center"/>
          </w:tcPr>
          <w:p w14:paraId="3856489C"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 xml:space="preserve">ot </w:t>
            </w:r>
            <w:r>
              <w:rPr>
                <w:rFonts w:ascii="Times New Roman" w:hAnsi="Times New Roman" w:hint="eastAsia"/>
                <w:color w:val="000000"/>
                <w:sz w:val="11"/>
                <w:szCs w:val="11"/>
              </w:rPr>
              <w:t>mentioned</w:t>
            </w:r>
          </w:p>
        </w:tc>
        <w:tc>
          <w:tcPr>
            <w:tcW w:w="0" w:type="auto"/>
            <w:tcBorders>
              <w:top w:val="nil"/>
              <w:left w:val="nil"/>
              <w:bottom w:val="nil"/>
              <w:right w:val="nil"/>
            </w:tcBorders>
            <w:vAlign w:val="center"/>
          </w:tcPr>
          <w:p w14:paraId="612C5BC4"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7DC958E6"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Breast cancer</w:t>
            </w:r>
          </w:p>
        </w:tc>
        <w:tc>
          <w:tcPr>
            <w:tcW w:w="0" w:type="auto"/>
            <w:tcBorders>
              <w:top w:val="nil"/>
              <w:left w:val="nil"/>
              <w:bottom w:val="nil"/>
              <w:right w:val="nil"/>
            </w:tcBorders>
            <w:vAlign w:val="center"/>
          </w:tcPr>
          <w:p w14:paraId="30646292"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No</w:t>
            </w:r>
            <w:r>
              <w:rPr>
                <w:rFonts w:ascii="Times New Roman" w:hAnsi="Times New Roman" w:hint="eastAsia"/>
                <w:color w:val="000000"/>
                <w:sz w:val="11"/>
                <w:szCs w:val="11"/>
              </w:rPr>
              <w:t>t mentioned</w:t>
            </w:r>
          </w:p>
        </w:tc>
        <w:tc>
          <w:tcPr>
            <w:tcW w:w="0" w:type="auto"/>
            <w:tcBorders>
              <w:top w:val="nil"/>
              <w:left w:val="nil"/>
              <w:bottom w:val="nil"/>
              <w:right w:val="nil"/>
            </w:tcBorders>
            <w:vAlign w:val="center"/>
          </w:tcPr>
          <w:p w14:paraId="16264DF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2</w:t>
            </w:r>
            <w:r>
              <w:rPr>
                <w:rFonts w:ascii="Times New Roman" w:hAnsi="Times New Roman"/>
                <w:color w:val="000000"/>
                <w:sz w:val="11"/>
                <w:szCs w:val="11"/>
              </w:rPr>
              <w:t>4</w:t>
            </w:r>
          </w:p>
        </w:tc>
        <w:tc>
          <w:tcPr>
            <w:tcW w:w="0" w:type="auto"/>
            <w:tcBorders>
              <w:top w:val="nil"/>
              <w:left w:val="nil"/>
              <w:bottom w:val="nil"/>
              <w:right w:val="nil"/>
            </w:tcBorders>
            <w:vAlign w:val="center"/>
          </w:tcPr>
          <w:p w14:paraId="568A994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nil"/>
              <w:right w:val="nil"/>
            </w:tcBorders>
            <w:vAlign w:val="center"/>
          </w:tcPr>
          <w:p w14:paraId="1E28409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0</w:t>
            </w:r>
            <w:r>
              <w:rPr>
                <w:rFonts w:ascii="Times New Roman" w:hAnsi="Times New Roman"/>
                <w:color w:val="000000"/>
                <w:sz w:val="11"/>
                <w:szCs w:val="11"/>
              </w:rPr>
              <w:t>/24</w:t>
            </w:r>
          </w:p>
        </w:tc>
        <w:tc>
          <w:tcPr>
            <w:tcW w:w="0" w:type="auto"/>
            <w:tcBorders>
              <w:top w:val="nil"/>
              <w:left w:val="nil"/>
              <w:bottom w:val="nil"/>
              <w:right w:val="nil"/>
            </w:tcBorders>
            <w:vAlign w:val="center"/>
          </w:tcPr>
          <w:p w14:paraId="0942D958"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1</w:t>
            </w:r>
            <w:r>
              <w:rPr>
                <w:rFonts w:ascii="Times New Roman" w:hAnsi="Times New Roman"/>
                <w:color w:val="000000"/>
                <w:sz w:val="11"/>
                <w:szCs w:val="11"/>
              </w:rPr>
              <w:t>4/24</w:t>
            </w:r>
          </w:p>
        </w:tc>
        <w:tc>
          <w:tcPr>
            <w:tcW w:w="0" w:type="auto"/>
            <w:tcBorders>
              <w:top w:val="nil"/>
              <w:left w:val="nil"/>
              <w:bottom w:val="nil"/>
              <w:right w:val="nil"/>
            </w:tcBorders>
            <w:vAlign w:val="center"/>
          </w:tcPr>
          <w:p w14:paraId="6498BB71"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5</w:t>
            </w:r>
            <w:r>
              <w:rPr>
                <w:rFonts w:ascii="Times New Roman" w:hAnsi="Times New Roman"/>
                <w:color w:val="000000"/>
                <w:sz w:val="11"/>
                <w:szCs w:val="11"/>
              </w:rPr>
              <w:t>8.33</w:t>
            </w:r>
          </w:p>
        </w:tc>
        <w:tc>
          <w:tcPr>
            <w:tcW w:w="0" w:type="auto"/>
            <w:tcBorders>
              <w:top w:val="nil"/>
              <w:left w:val="nil"/>
              <w:bottom w:val="nil"/>
              <w:right w:val="nil"/>
            </w:tcBorders>
            <w:vAlign w:val="center"/>
          </w:tcPr>
          <w:p w14:paraId="525BB9E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w:t>
            </w:r>
            <w:r>
              <w:rPr>
                <w:rFonts w:ascii="Times New Roman" w:hAnsi="Times New Roman"/>
                <w:color w:val="000000"/>
                <w:sz w:val="11"/>
                <w:szCs w:val="11"/>
              </w:rPr>
              <w:t>6) (7)</w:t>
            </w:r>
          </w:p>
        </w:tc>
        <w:tc>
          <w:tcPr>
            <w:tcW w:w="0" w:type="auto"/>
            <w:tcBorders>
              <w:top w:val="nil"/>
              <w:left w:val="nil"/>
              <w:bottom w:val="nil"/>
              <w:right w:val="nil"/>
            </w:tcBorders>
            <w:vAlign w:val="center"/>
          </w:tcPr>
          <w:p w14:paraId="23F81403"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Nonpegylated Liposomal Doxorubicin</w:t>
            </w:r>
          </w:p>
        </w:tc>
      </w:tr>
      <w:tr w:rsidR="005A5C01" w14:paraId="6D9F499D" w14:textId="77777777">
        <w:trPr>
          <w:jc w:val="center"/>
        </w:trPr>
        <w:tc>
          <w:tcPr>
            <w:tcW w:w="1033" w:type="dxa"/>
            <w:tcBorders>
              <w:top w:val="nil"/>
              <w:left w:val="nil"/>
              <w:bottom w:val="single" w:sz="4" w:space="0" w:color="auto"/>
              <w:right w:val="nil"/>
            </w:tcBorders>
            <w:vAlign w:val="center"/>
          </w:tcPr>
          <w:p w14:paraId="339A6887"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Markman</w:t>
            </w:r>
            <w:r>
              <w:rPr>
                <w:rFonts w:ascii="Times New Roman" w:hAnsi="Times New Roman"/>
                <w:color w:val="000000"/>
                <w:sz w:val="11"/>
                <w:szCs w:val="11"/>
              </w:rPr>
              <w:t xml:space="preserve"> </w:t>
            </w:r>
            <w:r>
              <w:rPr>
                <w:rFonts w:ascii="Times New Roman" w:hAnsi="Times New Roman" w:hint="eastAsia"/>
                <w:color w:val="000000"/>
                <w:sz w:val="11"/>
                <w:szCs w:val="11"/>
              </w:rPr>
              <w:t>2017</w:t>
            </w:r>
            <w:r>
              <w:rPr>
                <w:rStyle w:val="EndnoteReference"/>
                <w:rFonts w:ascii="Times New Roman" w:hAnsi="Times New Roman" w:hint="eastAsia"/>
                <w:color w:val="000000"/>
                <w:sz w:val="11"/>
                <w:szCs w:val="11"/>
              </w:rPr>
              <w:endnoteReference w:id="30"/>
            </w:r>
          </w:p>
        </w:tc>
        <w:tc>
          <w:tcPr>
            <w:tcW w:w="1079" w:type="dxa"/>
            <w:tcBorders>
              <w:top w:val="nil"/>
              <w:left w:val="nil"/>
              <w:bottom w:val="single" w:sz="4" w:space="0" w:color="auto"/>
              <w:right w:val="nil"/>
            </w:tcBorders>
            <w:vAlign w:val="center"/>
          </w:tcPr>
          <w:p w14:paraId="45A8E2E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USA</w:t>
            </w:r>
          </w:p>
        </w:tc>
        <w:tc>
          <w:tcPr>
            <w:tcW w:w="0" w:type="auto"/>
            <w:tcBorders>
              <w:top w:val="nil"/>
              <w:left w:val="nil"/>
              <w:bottom w:val="single" w:sz="4" w:space="0" w:color="auto"/>
              <w:right w:val="nil"/>
            </w:tcBorders>
            <w:vAlign w:val="center"/>
          </w:tcPr>
          <w:p w14:paraId="7B14916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N</w:t>
            </w:r>
            <w:r>
              <w:rPr>
                <w:rFonts w:ascii="Times New Roman" w:hAnsi="Times New Roman" w:hint="eastAsia"/>
                <w:color w:val="000000"/>
                <w:sz w:val="11"/>
                <w:szCs w:val="11"/>
              </w:rPr>
              <w:t>ot mentioned</w:t>
            </w:r>
          </w:p>
        </w:tc>
        <w:tc>
          <w:tcPr>
            <w:tcW w:w="0" w:type="auto"/>
            <w:tcBorders>
              <w:top w:val="nil"/>
              <w:left w:val="nil"/>
              <w:bottom w:val="single" w:sz="4" w:space="0" w:color="auto"/>
              <w:right w:val="nil"/>
            </w:tcBorders>
            <w:vAlign w:val="center"/>
          </w:tcPr>
          <w:p w14:paraId="5F1BEB92"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1984-2015</w:t>
            </w:r>
          </w:p>
        </w:tc>
        <w:tc>
          <w:tcPr>
            <w:tcW w:w="0" w:type="auto"/>
            <w:tcBorders>
              <w:top w:val="nil"/>
              <w:left w:val="nil"/>
              <w:bottom w:val="single" w:sz="4" w:space="0" w:color="auto"/>
              <w:right w:val="nil"/>
            </w:tcBorders>
            <w:vAlign w:val="center"/>
          </w:tcPr>
          <w:p w14:paraId="4D292C4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V</w:t>
            </w:r>
            <w:r>
              <w:rPr>
                <w:rFonts w:ascii="Times New Roman" w:hAnsi="Times New Roman" w:hint="eastAsia"/>
                <w:color w:val="000000"/>
                <w:sz w:val="11"/>
                <w:szCs w:val="11"/>
              </w:rPr>
              <w:t>arious types of cancer</w:t>
            </w:r>
          </w:p>
        </w:tc>
        <w:tc>
          <w:tcPr>
            <w:tcW w:w="0" w:type="auto"/>
            <w:tcBorders>
              <w:top w:val="nil"/>
              <w:left w:val="nil"/>
              <w:bottom w:val="single" w:sz="4" w:space="0" w:color="auto"/>
              <w:right w:val="nil"/>
            </w:tcBorders>
            <w:vAlign w:val="center"/>
          </w:tcPr>
          <w:p w14:paraId="3F95BE99"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14</w:t>
            </w:r>
            <w:r>
              <w:rPr>
                <w:rFonts w:ascii="Times New Roman" w:hAnsi="Times New Roman" w:hint="eastAsia"/>
                <w:color w:val="000000"/>
                <w:sz w:val="11"/>
                <w:szCs w:val="11"/>
              </w:rPr>
              <w:t>±</w:t>
            </w:r>
            <w:r>
              <w:rPr>
                <w:rFonts w:ascii="Times New Roman" w:hAnsi="Times New Roman"/>
                <w:color w:val="000000"/>
                <w:sz w:val="11"/>
                <w:szCs w:val="11"/>
              </w:rPr>
              <w:t>7y</w:t>
            </w:r>
          </w:p>
        </w:tc>
        <w:tc>
          <w:tcPr>
            <w:tcW w:w="0" w:type="auto"/>
            <w:tcBorders>
              <w:top w:val="nil"/>
              <w:left w:val="nil"/>
              <w:bottom w:val="single" w:sz="4" w:space="0" w:color="auto"/>
              <w:right w:val="nil"/>
            </w:tcBorders>
            <w:vAlign w:val="center"/>
          </w:tcPr>
          <w:p w14:paraId="6EBDBCA2"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134</w:t>
            </w:r>
          </w:p>
        </w:tc>
        <w:tc>
          <w:tcPr>
            <w:tcW w:w="0" w:type="auto"/>
            <w:tcBorders>
              <w:top w:val="nil"/>
              <w:left w:val="nil"/>
              <w:bottom w:val="single" w:sz="4" w:space="0" w:color="auto"/>
              <w:right w:val="nil"/>
            </w:tcBorders>
            <w:vAlign w:val="center"/>
          </w:tcPr>
          <w:p w14:paraId="7FFA96DF"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30.4±5.6</w:t>
            </w:r>
          </w:p>
        </w:tc>
        <w:tc>
          <w:tcPr>
            <w:tcW w:w="0" w:type="auto"/>
            <w:tcBorders>
              <w:top w:val="nil"/>
              <w:left w:val="nil"/>
              <w:bottom w:val="single" w:sz="4" w:space="0" w:color="auto"/>
              <w:right w:val="nil"/>
            </w:tcBorders>
            <w:vAlign w:val="center"/>
          </w:tcPr>
          <w:p w14:paraId="4B7AEB50" w14:textId="77777777" w:rsidR="005A5C01" w:rsidRDefault="008C226D">
            <w:pPr>
              <w:spacing w:line="160" w:lineRule="exact"/>
              <w:jc w:val="center"/>
              <w:rPr>
                <w:rFonts w:ascii="Times New Roman" w:hAnsi="Times New Roman"/>
                <w:color w:val="000000"/>
                <w:sz w:val="11"/>
                <w:szCs w:val="11"/>
              </w:rPr>
            </w:pPr>
            <w:r>
              <w:rPr>
                <w:rFonts w:ascii="Times New Roman" w:hAnsi="Times New Roman" w:hint="eastAsia"/>
                <w:color w:val="000000"/>
                <w:sz w:val="11"/>
                <w:szCs w:val="11"/>
              </w:rPr>
              <w:t>70/64</w:t>
            </w:r>
          </w:p>
        </w:tc>
        <w:tc>
          <w:tcPr>
            <w:tcW w:w="0" w:type="auto"/>
            <w:tcBorders>
              <w:top w:val="nil"/>
              <w:left w:val="nil"/>
              <w:bottom w:val="single" w:sz="4" w:space="0" w:color="auto"/>
              <w:right w:val="nil"/>
            </w:tcBorders>
            <w:vAlign w:val="center"/>
          </w:tcPr>
          <w:p w14:paraId="45A2311B"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17/134</w:t>
            </w:r>
          </w:p>
        </w:tc>
        <w:tc>
          <w:tcPr>
            <w:tcW w:w="0" w:type="auto"/>
            <w:tcBorders>
              <w:top w:val="nil"/>
              <w:left w:val="nil"/>
              <w:bottom w:val="single" w:sz="4" w:space="0" w:color="auto"/>
              <w:right w:val="nil"/>
            </w:tcBorders>
            <w:vAlign w:val="center"/>
          </w:tcPr>
          <w:p w14:paraId="7A42B8D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12.69</w:t>
            </w:r>
          </w:p>
        </w:tc>
        <w:tc>
          <w:tcPr>
            <w:tcW w:w="0" w:type="auto"/>
            <w:tcBorders>
              <w:top w:val="nil"/>
              <w:left w:val="nil"/>
              <w:bottom w:val="single" w:sz="4" w:space="0" w:color="auto"/>
              <w:right w:val="nil"/>
            </w:tcBorders>
            <w:vAlign w:val="center"/>
          </w:tcPr>
          <w:p w14:paraId="6CBAF13D"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(3) (7)</w:t>
            </w:r>
          </w:p>
        </w:tc>
        <w:tc>
          <w:tcPr>
            <w:tcW w:w="0" w:type="auto"/>
            <w:tcBorders>
              <w:top w:val="nil"/>
              <w:left w:val="nil"/>
              <w:bottom w:val="single" w:sz="4" w:space="0" w:color="auto"/>
              <w:right w:val="nil"/>
            </w:tcBorders>
            <w:vAlign w:val="center"/>
          </w:tcPr>
          <w:p w14:paraId="5AC5B435" w14:textId="77777777" w:rsidR="005A5C01" w:rsidRDefault="008C226D">
            <w:pPr>
              <w:spacing w:line="160" w:lineRule="exact"/>
              <w:jc w:val="center"/>
              <w:rPr>
                <w:rFonts w:ascii="Times New Roman" w:hAnsi="Times New Roman"/>
                <w:color w:val="000000"/>
                <w:sz w:val="11"/>
                <w:szCs w:val="11"/>
              </w:rPr>
            </w:pPr>
            <w:r>
              <w:rPr>
                <w:rFonts w:ascii="Times New Roman" w:hAnsi="Times New Roman"/>
                <w:color w:val="000000"/>
                <w:sz w:val="11"/>
                <w:szCs w:val="11"/>
              </w:rPr>
              <w:t>Anthracyclines</w:t>
            </w:r>
          </w:p>
        </w:tc>
      </w:tr>
    </w:tbl>
    <w:p w14:paraId="12D80F9D" w14:textId="77777777" w:rsidR="005A5C01" w:rsidRDefault="008C226D">
      <w:pPr>
        <w:jc w:val="left"/>
        <w:rPr>
          <w:rFonts w:ascii="Times New Roman" w:hAnsi="Times New Roman" w:cs="Times New Roman"/>
          <w:szCs w:val="21"/>
        </w:rPr>
      </w:pPr>
      <w:r>
        <w:rPr>
          <w:rFonts w:ascii="Times New Roman" w:hAnsi="Times New Roman" w:cs="Times New Roman"/>
          <w:szCs w:val="21"/>
        </w:rPr>
        <w:t xml:space="preserve"> (1): ST-T change</w:t>
      </w:r>
      <w:r>
        <w:rPr>
          <w:rFonts w:ascii="Times New Roman" w:hAnsi="Times New Roman" w:cs="Times New Roman" w:hint="eastAsia"/>
          <w:szCs w:val="21"/>
        </w:rPr>
        <w:t>;</w:t>
      </w:r>
      <w:r>
        <w:rPr>
          <w:rFonts w:ascii="Times New Roman" w:hAnsi="Times New Roman" w:cs="Times New Roman"/>
          <w:szCs w:val="21"/>
        </w:rPr>
        <w:t xml:space="preserve"> (2):</w:t>
      </w:r>
      <w:r>
        <w:rPr>
          <w:rFonts w:ascii="Times New Roman" w:hAnsi="Times New Roman" w:cs="Times New Roman" w:hint="eastAsia"/>
          <w:szCs w:val="21"/>
        </w:rPr>
        <w:t xml:space="preserve"> sinus arrhythmia</w:t>
      </w:r>
      <w:r>
        <w:rPr>
          <w:rFonts w:ascii="Times New Roman" w:hAnsi="Times New Roman" w:cs="Times New Roman"/>
          <w:szCs w:val="21"/>
        </w:rPr>
        <w:t>; (3):</w:t>
      </w:r>
      <w:r>
        <w:rPr>
          <w:rFonts w:ascii="Times New Roman" w:eastAsia="SimSun" w:hAnsi="Times New Roman" w:cs="Times New Roman"/>
          <w:szCs w:val="21"/>
        </w:rPr>
        <w:t xml:space="preserve"> QT</w:t>
      </w:r>
      <w:r>
        <w:rPr>
          <w:rFonts w:ascii="Times New Roman" w:hAnsi="Times New Roman" w:cs="Times New Roman"/>
          <w:szCs w:val="21"/>
        </w:rPr>
        <w:t xml:space="preserve"> prolongation; (4): </w:t>
      </w:r>
      <w:r>
        <w:rPr>
          <w:rFonts w:ascii="Times New Roman" w:hAnsi="Times New Roman" w:cs="Times New Roman" w:hint="eastAsia"/>
          <w:szCs w:val="21"/>
        </w:rPr>
        <w:t>bradycardia</w:t>
      </w:r>
      <w:r>
        <w:rPr>
          <w:rFonts w:ascii="Times New Roman" w:hAnsi="Times New Roman" w:cs="Times New Roman"/>
          <w:szCs w:val="21"/>
        </w:rPr>
        <w:t>; (5):</w:t>
      </w:r>
      <w:r>
        <w:t xml:space="preserve"> </w:t>
      </w:r>
      <w:r>
        <w:rPr>
          <w:rFonts w:ascii="Times New Roman" w:hAnsi="Times New Roman" w:cs="Times New Roman"/>
          <w:szCs w:val="21"/>
        </w:rPr>
        <w:t>atrial fibrillation; (6):</w:t>
      </w:r>
      <w:r>
        <w:t xml:space="preserve"> </w:t>
      </w:r>
      <w:r>
        <w:rPr>
          <w:rFonts w:ascii="Times New Roman" w:hAnsi="Times New Roman" w:cs="Times New Roman"/>
          <w:szCs w:val="21"/>
        </w:rPr>
        <w:t>tachycardia; (7): others</w:t>
      </w:r>
      <w:r>
        <w:rPr>
          <w:rFonts w:ascii="Times New Roman" w:eastAsia="SimSun" w:hAnsi="Times New Roman" w:cs="Times New Roman"/>
          <w:szCs w:val="21"/>
        </w:rPr>
        <w:t>.</w:t>
      </w:r>
    </w:p>
    <w:p w14:paraId="05DBAC04" w14:textId="77777777" w:rsidR="005A5C01" w:rsidRDefault="005A5C01">
      <w:pPr>
        <w:rPr>
          <w:rFonts w:ascii="Times New Roman" w:hAnsi="Times New Roman" w:cs="Times New Roman"/>
          <w:szCs w:val="21"/>
        </w:rPr>
      </w:pPr>
    </w:p>
    <w:p w14:paraId="5762CED9" w14:textId="77777777" w:rsidR="005A5C01" w:rsidRDefault="005A5C01">
      <w:pPr>
        <w:rPr>
          <w:rFonts w:ascii="Times New Roman" w:hAnsi="Times New Roman" w:cs="Times New Roman"/>
          <w:szCs w:val="21"/>
        </w:rPr>
      </w:pPr>
    </w:p>
    <w:p w14:paraId="04A639EC" w14:textId="77777777" w:rsidR="005A5C01" w:rsidRDefault="005A5C01">
      <w:pPr>
        <w:rPr>
          <w:rFonts w:ascii="Times New Roman" w:hAnsi="Times New Roman" w:cs="Times New Roman"/>
          <w:szCs w:val="21"/>
        </w:rPr>
        <w:sectPr w:rsidR="005A5C01">
          <w:headerReference w:type="default" r:id="rId6"/>
          <w:footerReference w:type="default" r:id="rId7"/>
          <w:endnotePr>
            <w:numFmt w:val="decimal"/>
          </w:endnotePr>
          <w:pgSz w:w="16838" w:h="11906" w:orient="landscape"/>
          <w:pgMar w:top="1797" w:right="1440" w:bottom="1797" w:left="1440" w:header="851" w:footer="992" w:gutter="0"/>
          <w:cols w:space="425"/>
          <w:docGrid w:type="linesAndChars" w:linePitch="312"/>
        </w:sectPr>
      </w:pPr>
    </w:p>
    <w:p w14:paraId="5895467D" w14:textId="77777777" w:rsidR="005A5C01" w:rsidRDefault="005A5C01">
      <w:pPr>
        <w:rPr>
          <w:rFonts w:ascii="Times New Roman" w:hAnsi="Times New Roman" w:cs="Times New Roman"/>
          <w:szCs w:val="21"/>
        </w:rPr>
      </w:pPr>
    </w:p>
    <w:p w14:paraId="71BE0B0A" w14:textId="77777777" w:rsidR="005A5C01" w:rsidRDefault="008C226D">
      <w:pPr>
        <w:jc w:val="center"/>
        <w:rPr>
          <w:rFonts w:ascii="Times New Roman" w:hAnsi="Times New Roman" w:cs="Times New Roman"/>
          <w:szCs w:val="21"/>
        </w:rPr>
      </w:pPr>
      <w:r>
        <w:rPr>
          <w:rFonts w:ascii="Times New Roman" w:hAnsi="Times New Roman" w:cs="Times New Roman"/>
          <w:szCs w:val="21"/>
        </w:rPr>
        <w:t>Table 3: Treatment ranked by the probability of the highest risk of arrhythmia</w:t>
      </w:r>
    </w:p>
    <w:p w14:paraId="22BA7279" w14:textId="77777777" w:rsidR="005A5C01" w:rsidRDefault="008C226D">
      <w:pPr>
        <w:jc w:val="center"/>
        <w:rPr>
          <w:rFonts w:ascii="Times New Roman" w:hAnsi="Times New Roman" w:cs="Times New Roman"/>
          <w:szCs w:val="21"/>
        </w:rPr>
      </w:pPr>
      <w:r>
        <w:rPr>
          <w:noProof/>
        </w:rPr>
        <w:drawing>
          <wp:inline distT="0" distB="0" distL="114300" distR="114300" wp14:anchorId="0DA781B8" wp14:editId="6E2834B3">
            <wp:extent cx="4418965" cy="1730375"/>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8"/>
                    <a:srcRect r="16177"/>
                    <a:stretch>
                      <a:fillRect/>
                    </a:stretch>
                  </pic:blipFill>
                  <pic:spPr>
                    <a:xfrm>
                      <a:off x="0" y="0"/>
                      <a:ext cx="4418965" cy="1730375"/>
                    </a:xfrm>
                    <a:prstGeom prst="rect">
                      <a:avLst/>
                    </a:prstGeom>
                    <a:noFill/>
                    <a:ln>
                      <a:noFill/>
                    </a:ln>
                  </pic:spPr>
                </pic:pic>
              </a:graphicData>
            </a:graphic>
          </wp:inline>
        </w:drawing>
      </w:r>
    </w:p>
    <w:p w14:paraId="0633A0AF" w14:textId="1965802E" w:rsidR="005A5C01" w:rsidRDefault="008C226D" w:rsidP="00C94A23">
      <w:pPr>
        <w:rPr>
          <w:rFonts w:ascii="Times New Roman" w:hAnsi="Times New Roman" w:cs="Times New Roman"/>
          <w:szCs w:val="21"/>
        </w:rPr>
      </w:pPr>
      <w:r>
        <w:rPr>
          <w:rFonts w:ascii="Times New Roman" w:hAnsi="Times New Roman" w:cs="Times New Roman"/>
          <w:sz w:val="18"/>
          <w:szCs w:val="18"/>
          <w:vertAlign w:val="superscript"/>
        </w:rPr>
        <w:t>a</w:t>
      </w:r>
      <w:r>
        <w:rPr>
          <w:rFonts w:ascii="Times New Roman" w:hAnsi="Times New Roman" w:cs="Times New Roman"/>
          <w:sz w:val="18"/>
          <w:szCs w:val="18"/>
        </w:rPr>
        <w:t xml:space="preserve">Rank probabilities were derived from the </w:t>
      </w:r>
      <w:r>
        <w:rPr>
          <w:rFonts w:ascii="Times New Roman" w:hAnsi="Times New Roman" w:cs="Times New Roman"/>
          <w:sz w:val="18"/>
          <w:szCs w:val="18"/>
        </w:rPr>
        <w:t>network meta-analysis. The ranking indicates the probability of being the best treatment, second best treatment, third best treatment, and so on. Rank 7 corresponded to the highest probability of inducing arrhythmia. Rank 1 corresponded to the lowest proba</w:t>
      </w:r>
      <w:r>
        <w:rPr>
          <w:rFonts w:ascii="Times New Roman" w:hAnsi="Times New Roman" w:cs="Times New Roman"/>
          <w:sz w:val="18"/>
          <w:szCs w:val="18"/>
        </w:rPr>
        <w:t>bility of inducing arrhythmia.</w:t>
      </w:r>
    </w:p>
    <w:sectPr w:rsidR="005A5C01">
      <w:endnotePr>
        <w:numFmt w:val="decimal"/>
      </w:endnotePr>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11CD1C" w14:textId="77777777" w:rsidR="008C226D" w:rsidRDefault="008C226D"/>
  </w:endnote>
  <w:endnote w:type="continuationSeparator" w:id="0">
    <w:p w14:paraId="2A542D0B" w14:textId="77777777" w:rsidR="008C226D" w:rsidRDefault="008C226D"/>
  </w:endnote>
  <w:endnote w:id="1">
    <w:p w14:paraId="5610FD83"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Valagussa P, Zambetti M, Biasi S, Moliterni A, Zucali R, Bonadonna G. Cardiac effects following adjuvant chemotherapy and breast irradiation in operable breast</w:t>
      </w:r>
      <w:r>
        <w:rPr>
          <w:rFonts w:ascii="Times New Roman" w:hAnsi="Times New Roman" w:cs="Times New Roman"/>
          <w:sz w:val="18"/>
          <w:szCs w:val="18"/>
        </w:rPr>
        <w:t xml:space="preserve"> cancer. </w:t>
      </w:r>
      <w:r>
        <w:rPr>
          <w:rFonts w:ascii="Times New Roman" w:hAnsi="Times New Roman" w:cs="Times New Roman"/>
          <w:i/>
          <w:iCs/>
          <w:sz w:val="18"/>
          <w:szCs w:val="18"/>
        </w:rPr>
        <w:t>Ann Oncol.</w:t>
      </w:r>
      <w:r>
        <w:rPr>
          <w:rFonts w:ascii="Times New Roman" w:hAnsi="Times New Roman" w:cs="Times New Roman"/>
          <w:sz w:val="18"/>
          <w:szCs w:val="18"/>
        </w:rPr>
        <w:t xml:space="preserve"> 1994</w:t>
      </w:r>
      <w:r>
        <w:rPr>
          <w:rFonts w:ascii="Times New Roman" w:hAnsi="Times New Roman" w:cs="Times New Roman" w:hint="eastAsia"/>
          <w:sz w:val="18"/>
          <w:szCs w:val="18"/>
        </w:rPr>
        <w:t>,</w:t>
      </w:r>
      <w:r>
        <w:rPr>
          <w:rFonts w:ascii="Times New Roman" w:hAnsi="Times New Roman" w:cs="Times New Roman"/>
          <w:sz w:val="18"/>
          <w:szCs w:val="18"/>
        </w:rPr>
        <w:t>5(3):209-16.</w:t>
      </w:r>
    </w:p>
  </w:endnote>
  <w:endnote w:id="2">
    <w:p w14:paraId="64DA69F9"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Martoni A, Guaraldi M, Piana E, Strocchi E, Petralia A, Busutti L, Preti P, Robustelli G, Raimondi M, Ferrara G, Palomba G, Lelli G, Picece V, Recaldin E, Caffo O, Ambrosini G, Sarobba G, Farris A, Pannuti F. Multice</w:t>
      </w:r>
      <w:r>
        <w:rPr>
          <w:rFonts w:ascii="Times New Roman" w:hAnsi="Times New Roman" w:cs="Times New Roman"/>
          <w:sz w:val="18"/>
          <w:szCs w:val="18"/>
        </w:rPr>
        <w:t xml:space="preserve">nter randomized clinical trial on high-dose epirubicin plus cis-platinum versus vinorelbine plus cis-platinum in advanced non small cell lung cancer. </w:t>
      </w:r>
      <w:r>
        <w:rPr>
          <w:rFonts w:ascii="Times New Roman" w:hAnsi="Times New Roman" w:cs="Times New Roman"/>
          <w:i/>
          <w:iCs/>
          <w:sz w:val="18"/>
          <w:szCs w:val="18"/>
        </w:rPr>
        <w:t>Lung Cancer</w:t>
      </w:r>
      <w:r>
        <w:rPr>
          <w:rFonts w:ascii="Times New Roman" w:hAnsi="Times New Roman" w:cs="Times New Roman"/>
          <w:sz w:val="18"/>
          <w:szCs w:val="18"/>
        </w:rPr>
        <w:t>. 1998</w:t>
      </w:r>
      <w:r>
        <w:rPr>
          <w:rFonts w:ascii="Times New Roman" w:hAnsi="Times New Roman" w:cs="Times New Roman" w:hint="eastAsia"/>
          <w:sz w:val="18"/>
          <w:szCs w:val="18"/>
        </w:rPr>
        <w:t>,</w:t>
      </w:r>
      <w:r>
        <w:rPr>
          <w:rFonts w:ascii="Times New Roman" w:hAnsi="Times New Roman" w:cs="Times New Roman"/>
          <w:sz w:val="18"/>
          <w:szCs w:val="18"/>
        </w:rPr>
        <w:t>22(1):31-8.</w:t>
      </w:r>
    </w:p>
  </w:endnote>
  <w:endnote w:id="3">
    <w:p w14:paraId="2A205810"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Fargeot P, Bonneterre J, Roché H, Lortholary A, Campone M, Van Praagh I, M</w:t>
      </w:r>
      <w:r>
        <w:rPr>
          <w:rFonts w:ascii="Times New Roman" w:hAnsi="Times New Roman" w:cs="Times New Roman"/>
          <w:sz w:val="18"/>
          <w:szCs w:val="18"/>
        </w:rPr>
        <w:t>onnier A, Namer M, Schraub S, Barats JC, Guastalla JP, Goudier MJ, Chapelle-Marcillac I. Disease-free survival advantage of weekly epirubicin plus tamoxifen versus tamoxifen alone as adjuvant treatment of operable, node-positive, elderly breast cancer pati</w:t>
      </w:r>
      <w:r>
        <w:rPr>
          <w:rFonts w:ascii="Times New Roman" w:hAnsi="Times New Roman" w:cs="Times New Roman"/>
          <w:sz w:val="18"/>
          <w:szCs w:val="18"/>
        </w:rPr>
        <w:t xml:space="preserve">ents: 6-year follow-up results of the French adjuvant study group 08 trial. </w:t>
      </w:r>
      <w:r>
        <w:rPr>
          <w:rFonts w:ascii="Times New Roman" w:hAnsi="Times New Roman" w:cs="Times New Roman"/>
          <w:i/>
          <w:iCs/>
          <w:sz w:val="18"/>
          <w:szCs w:val="18"/>
        </w:rPr>
        <w:t>J Clin Oncol</w:t>
      </w:r>
      <w:r>
        <w:rPr>
          <w:rFonts w:ascii="Times New Roman" w:hAnsi="Times New Roman" w:cs="Times New Roman"/>
          <w:sz w:val="18"/>
          <w:szCs w:val="18"/>
        </w:rPr>
        <w:t>. 2004</w:t>
      </w:r>
      <w:r>
        <w:rPr>
          <w:rFonts w:ascii="Times New Roman" w:hAnsi="Times New Roman" w:cs="Times New Roman" w:hint="eastAsia"/>
          <w:sz w:val="18"/>
          <w:szCs w:val="18"/>
        </w:rPr>
        <w:t>,</w:t>
      </w:r>
      <w:r>
        <w:rPr>
          <w:rFonts w:ascii="Times New Roman" w:hAnsi="Times New Roman" w:cs="Times New Roman"/>
          <w:sz w:val="18"/>
          <w:szCs w:val="18"/>
        </w:rPr>
        <w:t xml:space="preserve">22(23):4622-30. </w:t>
      </w:r>
    </w:p>
  </w:endnote>
  <w:endnote w:id="4">
    <w:p w14:paraId="35DF3927"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Owczuk R, Wujtewicz MA, Sawicka W, Wujtewicz M, Swierblewski M. Is prolongation of the QTc interval during isoflurane anaesthesia more promine</w:t>
      </w:r>
      <w:r>
        <w:rPr>
          <w:rFonts w:ascii="Times New Roman" w:hAnsi="Times New Roman" w:cs="Times New Roman"/>
          <w:sz w:val="18"/>
          <w:szCs w:val="18"/>
        </w:rPr>
        <w:t xml:space="preserve">nt in women pretreated with anthracyclines for breast cancer? </w:t>
      </w:r>
      <w:r>
        <w:rPr>
          <w:rFonts w:ascii="Times New Roman" w:hAnsi="Times New Roman" w:cs="Times New Roman"/>
          <w:i/>
          <w:iCs/>
          <w:sz w:val="18"/>
          <w:szCs w:val="18"/>
        </w:rPr>
        <w:t>Br J Anaesth</w:t>
      </w:r>
      <w:r>
        <w:rPr>
          <w:rFonts w:ascii="Times New Roman" w:hAnsi="Times New Roman" w:cs="Times New Roman"/>
          <w:sz w:val="18"/>
          <w:szCs w:val="18"/>
        </w:rPr>
        <w:t>. 2004</w:t>
      </w:r>
      <w:r>
        <w:rPr>
          <w:rFonts w:ascii="Times New Roman" w:hAnsi="Times New Roman" w:cs="Times New Roman" w:hint="eastAsia"/>
          <w:sz w:val="18"/>
          <w:szCs w:val="18"/>
        </w:rPr>
        <w:t>,</w:t>
      </w:r>
      <w:r>
        <w:rPr>
          <w:rFonts w:ascii="Times New Roman" w:hAnsi="Times New Roman" w:cs="Times New Roman"/>
          <w:sz w:val="18"/>
          <w:szCs w:val="18"/>
        </w:rPr>
        <w:t xml:space="preserve">92(5):658-61. </w:t>
      </w:r>
    </w:p>
  </w:endnote>
  <w:endnote w:id="5">
    <w:p w14:paraId="4FA050C1"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Fountzilas G, Kalofonos HP, Dafni U, Papadimitriou C, Bafaloukos D, Papakostas P, Kalogera-Fountzila A, Gogas H, Aravantinos G, Moulopoulos LA, Economopoulos </w:t>
      </w:r>
      <w:r>
        <w:rPr>
          <w:rFonts w:ascii="Times New Roman" w:hAnsi="Times New Roman" w:cs="Times New Roman"/>
          <w:sz w:val="18"/>
          <w:szCs w:val="18"/>
        </w:rPr>
        <w:t xml:space="preserve">T, Pectasides D, Maniadakis N, Siafaka V, Briasoulis E, Christodoulou C, Tsavdaridis D, Makrantonakis P, Razis E, Kosmidis P, Skarlos D, Dimopoulos MA. Paclitaxel and epirubicin versus paclitaxel and carboplatin as first-line chemotherapy in patients with </w:t>
      </w:r>
      <w:r>
        <w:rPr>
          <w:rFonts w:ascii="Times New Roman" w:hAnsi="Times New Roman" w:cs="Times New Roman"/>
          <w:sz w:val="18"/>
          <w:szCs w:val="18"/>
        </w:rPr>
        <w:t xml:space="preserve">advanced breast cancer: a phase III study conducted by the Hellenic Cooperative Oncology Group. </w:t>
      </w:r>
      <w:r>
        <w:rPr>
          <w:rFonts w:ascii="Times New Roman" w:hAnsi="Times New Roman" w:cs="Times New Roman"/>
          <w:i/>
          <w:iCs/>
          <w:sz w:val="18"/>
          <w:szCs w:val="18"/>
        </w:rPr>
        <w:t>Ann Oncol.</w:t>
      </w:r>
      <w:r>
        <w:rPr>
          <w:rFonts w:ascii="Times New Roman" w:hAnsi="Times New Roman" w:cs="Times New Roman"/>
          <w:sz w:val="18"/>
          <w:szCs w:val="18"/>
        </w:rPr>
        <w:t xml:space="preserve"> 2004</w:t>
      </w:r>
      <w:r>
        <w:rPr>
          <w:rFonts w:ascii="Times New Roman" w:hAnsi="Times New Roman" w:cs="Times New Roman" w:hint="eastAsia"/>
          <w:sz w:val="18"/>
          <w:szCs w:val="18"/>
        </w:rPr>
        <w:t>,</w:t>
      </w:r>
      <w:r>
        <w:rPr>
          <w:rFonts w:ascii="Times New Roman" w:hAnsi="Times New Roman" w:cs="Times New Roman"/>
          <w:sz w:val="18"/>
          <w:szCs w:val="18"/>
        </w:rPr>
        <w:t xml:space="preserve">15(10):1517-26. </w:t>
      </w:r>
    </w:p>
  </w:endnote>
  <w:endnote w:id="6">
    <w:p w14:paraId="5446CFCF"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Feher O, Vodvarka P, Jassem J, Morack G, Advani SH, Khoo KS, Doval DC, Ermisch S, Roychowdhury D, Miller MA, von Minckwitz G.</w:t>
      </w:r>
      <w:r>
        <w:rPr>
          <w:rFonts w:ascii="Times New Roman" w:hAnsi="Times New Roman" w:cs="Times New Roman"/>
          <w:sz w:val="18"/>
          <w:szCs w:val="18"/>
        </w:rPr>
        <w:t xml:space="preserve"> First-line gemcitabine versus epirubicin in postmenopausal women aged 60 or older with metastatic breast cancer: a multicenter, randomized, phase III study. </w:t>
      </w:r>
      <w:r>
        <w:rPr>
          <w:rFonts w:ascii="Times New Roman" w:hAnsi="Times New Roman" w:cs="Times New Roman"/>
          <w:i/>
          <w:iCs/>
          <w:sz w:val="18"/>
          <w:szCs w:val="18"/>
        </w:rPr>
        <w:t>Ann Oncol</w:t>
      </w:r>
      <w:r>
        <w:rPr>
          <w:rFonts w:ascii="Times New Roman" w:hAnsi="Times New Roman" w:cs="Times New Roman"/>
          <w:sz w:val="18"/>
          <w:szCs w:val="18"/>
        </w:rPr>
        <w:t>. 2005</w:t>
      </w:r>
      <w:r>
        <w:rPr>
          <w:rFonts w:ascii="Times New Roman" w:hAnsi="Times New Roman" w:cs="Times New Roman" w:hint="eastAsia"/>
          <w:sz w:val="18"/>
          <w:szCs w:val="18"/>
        </w:rPr>
        <w:t>,</w:t>
      </w:r>
      <w:r>
        <w:rPr>
          <w:rFonts w:ascii="Times New Roman" w:hAnsi="Times New Roman" w:cs="Times New Roman"/>
          <w:sz w:val="18"/>
          <w:szCs w:val="18"/>
        </w:rPr>
        <w:t xml:space="preserve">16(6):899-908. </w:t>
      </w:r>
    </w:p>
  </w:endnote>
  <w:endnote w:id="7">
    <w:p w14:paraId="3B9F0DEB"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Hutchins LF, Green SJ, Ravdin PM, Lew D, Martino S, Abeloff M, L</w:t>
      </w:r>
      <w:r>
        <w:rPr>
          <w:rFonts w:ascii="Times New Roman" w:hAnsi="Times New Roman" w:cs="Times New Roman"/>
          <w:sz w:val="18"/>
          <w:szCs w:val="18"/>
        </w:rPr>
        <w:t>yss AP, Allred C, Rivkin SE, Osborne CK. Randomized, controlled trial of cyclophosphamide, methotrexate, and fluorouracil versus cyclophosphamide, doxorubicin, and fluorouracil with and without tamoxifen for high-risk, node-negative breast cancer: treatmen</w:t>
      </w:r>
      <w:r>
        <w:rPr>
          <w:rFonts w:ascii="Times New Roman" w:hAnsi="Times New Roman" w:cs="Times New Roman"/>
          <w:sz w:val="18"/>
          <w:szCs w:val="18"/>
        </w:rPr>
        <w:t xml:space="preserve">t results of Intergroup Protocol INT-0102. </w:t>
      </w:r>
      <w:r>
        <w:rPr>
          <w:rFonts w:ascii="Times New Roman" w:hAnsi="Times New Roman" w:cs="Times New Roman"/>
          <w:i/>
          <w:iCs/>
          <w:sz w:val="18"/>
          <w:szCs w:val="18"/>
        </w:rPr>
        <w:t>J Clin Oncol</w:t>
      </w:r>
      <w:r>
        <w:rPr>
          <w:rFonts w:ascii="Times New Roman" w:hAnsi="Times New Roman" w:cs="Times New Roman"/>
          <w:sz w:val="18"/>
          <w:szCs w:val="18"/>
        </w:rPr>
        <w:t>. 2005</w:t>
      </w:r>
      <w:r>
        <w:rPr>
          <w:rFonts w:ascii="Times New Roman" w:hAnsi="Times New Roman" w:cs="Times New Roman" w:hint="eastAsia"/>
          <w:sz w:val="18"/>
          <w:szCs w:val="18"/>
        </w:rPr>
        <w:t>,</w:t>
      </w:r>
      <w:r>
        <w:rPr>
          <w:rFonts w:ascii="Times New Roman" w:hAnsi="Times New Roman" w:cs="Times New Roman"/>
          <w:sz w:val="18"/>
          <w:szCs w:val="18"/>
        </w:rPr>
        <w:t xml:space="preserve">23(33):8313-21. </w:t>
      </w:r>
    </w:p>
  </w:endnote>
  <w:endnote w:id="8">
    <w:p w14:paraId="5FE5C26A"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Pignata S, Scambia G, Savarese A, Breda E, Scollo P, De Vivo R, Rossi E, Gebbia V, Natale D, Del Gaizo F, Naglieri E, Ferro A, Musso P, D'Arco AM, Sorio R, Pisano C, Di Maio M, Signoriello G, Annunziata A, Perrone F; MITO Investigators. Safety of a 3-week</w:t>
      </w:r>
      <w:r>
        <w:rPr>
          <w:rFonts w:ascii="Times New Roman" w:hAnsi="Times New Roman" w:cs="Times New Roman"/>
          <w:sz w:val="18"/>
          <w:szCs w:val="18"/>
        </w:rPr>
        <w:t xml:space="preserve">ly schedule of carboplatin plus pegylated liposomal doxorubicin as first line chemotherapy in patients with ovarian cancer: preliminary results of the MITO-2 randomized trial. </w:t>
      </w:r>
      <w:r>
        <w:rPr>
          <w:rFonts w:ascii="Times New Roman" w:hAnsi="Times New Roman" w:cs="Times New Roman"/>
          <w:i/>
          <w:iCs/>
          <w:sz w:val="18"/>
          <w:szCs w:val="18"/>
        </w:rPr>
        <w:t>BMC Cancer</w:t>
      </w:r>
      <w:r>
        <w:rPr>
          <w:rFonts w:ascii="Times New Roman" w:hAnsi="Times New Roman" w:cs="Times New Roman"/>
          <w:sz w:val="18"/>
          <w:szCs w:val="18"/>
        </w:rPr>
        <w:t>. 2006</w:t>
      </w:r>
      <w:r>
        <w:rPr>
          <w:rFonts w:ascii="Times New Roman" w:hAnsi="Times New Roman" w:cs="Times New Roman" w:hint="eastAsia"/>
          <w:sz w:val="18"/>
          <w:szCs w:val="18"/>
        </w:rPr>
        <w:t>,</w:t>
      </w:r>
      <w:r>
        <w:rPr>
          <w:rFonts w:ascii="Times New Roman" w:hAnsi="Times New Roman" w:cs="Times New Roman"/>
          <w:sz w:val="18"/>
          <w:szCs w:val="18"/>
        </w:rPr>
        <w:t>6:202.</w:t>
      </w:r>
    </w:p>
  </w:endnote>
  <w:endnote w:id="9">
    <w:p w14:paraId="0C6058BE"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Nickel AC, Patel A, Saba NF, Leon AR, El-Chami MF, Mer</w:t>
      </w:r>
      <w:r>
        <w:rPr>
          <w:rFonts w:ascii="Times New Roman" w:hAnsi="Times New Roman" w:cs="Times New Roman"/>
          <w:sz w:val="18"/>
          <w:szCs w:val="18"/>
        </w:rPr>
        <w:t>chant FM. Incidence of Cancer Treatment-Induced Arrhythmia Associated With Novel Targeted Chemotherapeutic Agents. J Am Heart Assoc. 2018</w:t>
      </w:r>
      <w:r>
        <w:rPr>
          <w:rFonts w:ascii="Times New Roman" w:hAnsi="Times New Roman" w:cs="Times New Roman" w:hint="eastAsia"/>
          <w:sz w:val="18"/>
          <w:szCs w:val="18"/>
        </w:rPr>
        <w:t>,</w:t>
      </w:r>
      <w:r>
        <w:rPr>
          <w:rFonts w:ascii="Times New Roman" w:hAnsi="Times New Roman" w:cs="Times New Roman"/>
          <w:sz w:val="18"/>
          <w:szCs w:val="18"/>
        </w:rPr>
        <w:t xml:space="preserve">7(20):e010101. </w:t>
      </w:r>
    </w:p>
  </w:endnote>
  <w:endnote w:id="10">
    <w:p w14:paraId="67392AA4"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Heidenreich A, Sommer F, Ohlmann CH, Schrader AJ, Olbert P, Goecke J, Engelmann UH. Prospective rand</w:t>
      </w:r>
      <w:r>
        <w:rPr>
          <w:rFonts w:ascii="Times New Roman" w:hAnsi="Times New Roman" w:cs="Times New Roman"/>
          <w:sz w:val="18"/>
          <w:szCs w:val="18"/>
        </w:rPr>
        <w:t xml:space="preserve">omized Phase II trial of pegylated doxorubicin in the management of symptomatic hormone-refractory prostate carcinoma. </w:t>
      </w:r>
      <w:r>
        <w:rPr>
          <w:rFonts w:ascii="Times New Roman" w:hAnsi="Times New Roman" w:cs="Times New Roman"/>
          <w:i/>
          <w:iCs/>
          <w:sz w:val="18"/>
          <w:szCs w:val="18"/>
        </w:rPr>
        <w:t>Cancer</w:t>
      </w:r>
      <w:r>
        <w:rPr>
          <w:rFonts w:ascii="Times New Roman" w:hAnsi="Times New Roman" w:cs="Times New Roman"/>
          <w:sz w:val="18"/>
          <w:szCs w:val="18"/>
        </w:rPr>
        <w:t>. 2004</w:t>
      </w:r>
      <w:r>
        <w:rPr>
          <w:rFonts w:ascii="Times New Roman" w:hAnsi="Times New Roman" w:cs="Times New Roman" w:hint="eastAsia"/>
          <w:sz w:val="18"/>
          <w:szCs w:val="18"/>
        </w:rPr>
        <w:t>,</w:t>
      </w:r>
      <w:r>
        <w:rPr>
          <w:rFonts w:ascii="Times New Roman" w:hAnsi="Times New Roman" w:cs="Times New Roman"/>
          <w:sz w:val="18"/>
          <w:szCs w:val="18"/>
        </w:rPr>
        <w:t xml:space="preserve">101(5):948-56. </w:t>
      </w:r>
    </w:p>
  </w:endnote>
  <w:endnote w:id="11">
    <w:p w14:paraId="1725C992"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Zhai L, Guo C, Cao Y, Xiao J, Fu X, Huang J, Huang H, Guan Z, Lin T. Long-term results of pirarubicin vers</w:t>
      </w:r>
      <w:r>
        <w:rPr>
          <w:rFonts w:ascii="Times New Roman" w:hAnsi="Times New Roman" w:cs="Times New Roman"/>
          <w:sz w:val="18"/>
          <w:szCs w:val="18"/>
        </w:rPr>
        <w:t xml:space="preserve">us doxorubicin in combination chemotherapy for aggressive non-Hodgkin's lymphoma: single center, 15-year experience. </w:t>
      </w:r>
      <w:r>
        <w:rPr>
          <w:rFonts w:ascii="Times New Roman" w:hAnsi="Times New Roman" w:cs="Times New Roman"/>
          <w:i/>
          <w:iCs/>
          <w:sz w:val="18"/>
          <w:szCs w:val="18"/>
        </w:rPr>
        <w:t>Int J Hematol</w:t>
      </w:r>
      <w:r>
        <w:rPr>
          <w:rFonts w:ascii="Times New Roman" w:hAnsi="Times New Roman" w:cs="Times New Roman"/>
          <w:sz w:val="18"/>
          <w:szCs w:val="18"/>
        </w:rPr>
        <w:t>. 2010</w:t>
      </w:r>
      <w:r>
        <w:rPr>
          <w:rFonts w:ascii="Times New Roman" w:hAnsi="Times New Roman" w:cs="Times New Roman" w:hint="eastAsia"/>
          <w:sz w:val="18"/>
          <w:szCs w:val="18"/>
        </w:rPr>
        <w:t>,</w:t>
      </w:r>
      <w:r>
        <w:rPr>
          <w:rFonts w:ascii="Times New Roman" w:hAnsi="Times New Roman" w:cs="Times New Roman"/>
          <w:sz w:val="18"/>
          <w:szCs w:val="18"/>
        </w:rPr>
        <w:t xml:space="preserve">91(1):78-86. </w:t>
      </w:r>
    </w:p>
  </w:endnote>
  <w:endnote w:id="12">
    <w:p w14:paraId="1FB2A069"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Vici P, Colucci G, Giotta F, Sergi D, Filippelli G, Perri P, Botti C, Vizza E, Carpino A, Pizzuti L, La</w:t>
      </w:r>
      <w:r>
        <w:rPr>
          <w:rFonts w:ascii="Times New Roman" w:hAnsi="Times New Roman" w:cs="Times New Roman"/>
          <w:sz w:val="18"/>
          <w:szCs w:val="18"/>
        </w:rPr>
        <w:t xml:space="preserve">torre A, Giannarelli D, Lopez M, Di Lauro L. A multicenter prospective phase II randomized trial of epirubicin/vinorelbine versus pegylated liposomal doxorubicin/vinorelbine as first-line treatment in advanced breast cancer. A GOIM study. </w:t>
      </w:r>
      <w:r>
        <w:rPr>
          <w:rFonts w:ascii="Times New Roman" w:hAnsi="Times New Roman" w:cs="Times New Roman"/>
          <w:i/>
          <w:iCs/>
          <w:sz w:val="18"/>
          <w:szCs w:val="18"/>
        </w:rPr>
        <w:t>J Exp Clin Cancer</w:t>
      </w:r>
      <w:r>
        <w:rPr>
          <w:rFonts w:ascii="Times New Roman" w:hAnsi="Times New Roman" w:cs="Times New Roman"/>
          <w:i/>
          <w:iCs/>
          <w:sz w:val="18"/>
          <w:szCs w:val="18"/>
        </w:rPr>
        <w:t xml:space="preserve"> Res</w:t>
      </w:r>
      <w:r>
        <w:rPr>
          <w:rFonts w:ascii="Times New Roman" w:hAnsi="Times New Roman" w:cs="Times New Roman"/>
          <w:sz w:val="18"/>
          <w:szCs w:val="18"/>
        </w:rPr>
        <w:t>. 2011</w:t>
      </w:r>
      <w:r>
        <w:rPr>
          <w:rFonts w:ascii="Times New Roman" w:hAnsi="Times New Roman" w:cs="Times New Roman" w:hint="eastAsia"/>
          <w:sz w:val="18"/>
          <w:szCs w:val="18"/>
        </w:rPr>
        <w:t>,</w:t>
      </w:r>
      <w:r>
        <w:rPr>
          <w:rFonts w:ascii="Times New Roman" w:hAnsi="Times New Roman" w:cs="Times New Roman"/>
          <w:sz w:val="18"/>
          <w:szCs w:val="18"/>
        </w:rPr>
        <w:t xml:space="preserve">30(1):39. </w:t>
      </w:r>
    </w:p>
  </w:endnote>
  <w:endnote w:id="13">
    <w:p w14:paraId="22C0A2BB"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Ragab AH, Sutow WW, Komp DM, Starling KA, Lyon GM Jr, George S. Adriamycin in the treatment of childhood acute leukemia. A Southwest Oncology Group study. </w:t>
      </w:r>
      <w:r>
        <w:rPr>
          <w:rFonts w:ascii="Times New Roman" w:hAnsi="Times New Roman" w:cs="Times New Roman"/>
          <w:i/>
          <w:iCs/>
          <w:sz w:val="18"/>
          <w:szCs w:val="18"/>
        </w:rPr>
        <w:t>Cancer</w:t>
      </w:r>
      <w:r>
        <w:rPr>
          <w:rFonts w:ascii="Times New Roman" w:hAnsi="Times New Roman" w:cs="Times New Roman"/>
          <w:sz w:val="18"/>
          <w:szCs w:val="18"/>
        </w:rPr>
        <w:t>. 1975</w:t>
      </w:r>
      <w:r>
        <w:rPr>
          <w:rFonts w:ascii="Times New Roman" w:hAnsi="Times New Roman" w:cs="Times New Roman" w:hint="eastAsia"/>
          <w:sz w:val="18"/>
          <w:szCs w:val="18"/>
        </w:rPr>
        <w:t>,</w:t>
      </w:r>
      <w:r>
        <w:rPr>
          <w:rFonts w:ascii="Times New Roman" w:hAnsi="Times New Roman" w:cs="Times New Roman"/>
          <w:sz w:val="18"/>
          <w:szCs w:val="18"/>
        </w:rPr>
        <w:t>36(4):1223-6.</w:t>
      </w:r>
    </w:p>
  </w:endnote>
  <w:endnote w:id="14">
    <w:p w14:paraId="532F9774"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Von Hoff DD, Rozencweig M, Layard M, Slavik M, Muggia FM. Daunomycin-in</w:t>
      </w:r>
      <w:r>
        <w:rPr>
          <w:rFonts w:ascii="Times New Roman" w:hAnsi="Times New Roman" w:cs="Times New Roman"/>
          <w:sz w:val="18"/>
          <w:szCs w:val="18"/>
        </w:rPr>
        <w:t xml:space="preserve">duced cardiotoxicity in children and adults. A review of 110 cases. </w:t>
      </w:r>
      <w:r>
        <w:rPr>
          <w:rFonts w:ascii="Times New Roman" w:hAnsi="Times New Roman" w:cs="Times New Roman"/>
          <w:i/>
          <w:iCs/>
          <w:sz w:val="18"/>
          <w:szCs w:val="18"/>
        </w:rPr>
        <w:t>Am J Med</w:t>
      </w:r>
      <w:r>
        <w:rPr>
          <w:rFonts w:ascii="Times New Roman" w:hAnsi="Times New Roman" w:cs="Times New Roman"/>
          <w:sz w:val="18"/>
          <w:szCs w:val="18"/>
        </w:rPr>
        <w:t>. 1977</w:t>
      </w:r>
      <w:r>
        <w:rPr>
          <w:rFonts w:ascii="Times New Roman" w:hAnsi="Times New Roman" w:cs="Times New Roman" w:hint="eastAsia"/>
          <w:sz w:val="18"/>
          <w:szCs w:val="18"/>
        </w:rPr>
        <w:t>,</w:t>
      </w:r>
      <w:r>
        <w:rPr>
          <w:rFonts w:ascii="Times New Roman" w:hAnsi="Times New Roman" w:cs="Times New Roman"/>
          <w:sz w:val="18"/>
          <w:szCs w:val="18"/>
        </w:rPr>
        <w:t xml:space="preserve">62(2):200-8. </w:t>
      </w:r>
    </w:p>
  </w:endnote>
  <w:endnote w:id="15">
    <w:p w14:paraId="63D22DD5"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Bonfante V, Villani F, Bonadonna G. Toxic and therapeutic activity of 4'-epi-doxorubicin. </w:t>
      </w:r>
      <w:r>
        <w:rPr>
          <w:rFonts w:ascii="Times New Roman" w:hAnsi="Times New Roman" w:cs="Times New Roman"/>
          <w:i/>
          <w:iCs/>
          <w:sz w:val="18"/>
          <w:szCs w:val="18"/>
        </w:rPr>
        <w:t>Tumori</w:t>
      </w:r>
      <w:r>
        <w:rPr>
          <w:rFonts w:ascii="Times New Roman" w:hAnsi="Times New Roman" w:cs="Times New Roman"/>
          <w:sz w:val="18"/>
          <w:szCs w:val="18"/>
        </w:rPr>
        <w:t>. 1982</w:t>
      </w:r>
      <w:r>
        <w:rPr>
          <w:rFonts w:ascii="Times New Roman" w:hAnsi="Times New Roman" w:cs="Times New Roman" w:hint="eastAsia"/>
          <w:sz w:val="18"/>
          <w:szCs w:val="18"/>
        </w:rPr>
        <w:t>,</w:t>
      </w:r>
      <w:r>
        <w:rPr>
          <w:rFonts w:ascii="Times New Roman" w:hAnsi="Times New Roman" w:cs="Times New Roman"/>
          <w:sz w:val="18"/>
          <w:szCs w:val="18"/>
        </w:rPr>
        <w:t xml:space="preserve">68(2):105-11. </w:t>
      </w:r>
    </w:p>
  </w:endnote>
  <w:endnote w:id="16">
    <w:p w14:paraId="1135256A"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Antman K, Suit H, Amato D, Corson J, </w:t>
      </w:r>
      <w:r>
        <w:rPr>
          <w:rFonts w:ascii="Times New Roman" w:hAnsi="Times New Roman" w:cs="Times New Roman"/>
          <w:sz w:val="18"/>
          <w:szCs w:val="18"/>
        </w:rPr>
        <w:t xml:space="preserve">Wood W, Proppe K, Harmon D, Carey R, Greenberger J, Blum R, et al. Preliminary results of a randomized trial of adjuvant doxorubicin for sarcomas: lack of apparent difference between treatment groups. </w:t>
      </w:r>
      <w:r>
        <w:rPr>
          <w:rFonts w:ascii="Times New Roman" w:hAnsi="Times New Roman" w:cs="Times New Roman"/>
          <w:i/>
          <w:iCs/>
          <w:sz w:val="18"/>
          <w:szCs w:val="18"/>
        </w:rPr>
        <w:t>J Clin Oncol</w:t>
      </w:r>
      <w:r>
        <w:rPr>
          <w:rFonts w:ascii="Times New Roman" w:hAnsi="Times New Roman" w:cs="Times New Roman"/>
          <w:sz w:val="18"/>
          <w:szCs w:val="18"/>
        </w:rPr>
        <w:t>. 1984</w:t>
      </w:r>
      <w:r>
        <w:rPr>
          <w:rFonts w:ascii="Times New Roman" w:hAnsi="Times New Roman" w:cs="Times New Roman" w:hint="eastAsia"/>
          <w:sz w:val="18"/>
          <w:szCs w:val="18"/>
        </w:rPr>
        <w:t>,</w:t>
      </w:r>
      <w:r>
        <w:rPr>
          <w:rFonts w:ascii="Times New Roman" w:hAnsi="Times New Roman" w:cs="Times New Roman"/>
          <w:sz w:val="18"/>
          <w:szCs w:val="18"/>
        </w:rPr>
        <w:t xml:space="preserve">2(6):601-8. </w:t>
      </w:r>
    </w:p>
  </w:endnote>
  <w:endnote w:id="17">
    <w:p w14:paraId="3EE90F9A"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Steinberg JS, Cohen A</w:t>
      </w:r>
      <w:r>
        <w:rPr>
          <w:rFonts w:ascii="Times New Roman" w:hAnsi="Times New Roman" w:cs="Times New Roman"/>
          <w:sz w:val="18"/>
          <w:szCs w:val="18"/>
        </w:rPr>
        <w:t xml:space="preserve">J, Wasserman AG, Cohen P, Ross AM. Acute arrhythmogenicity of doxorubicin administration. </w:t>
      </w:r>
      <w:r>
        <w:rPr>
          <w:rFonts w:ascii="Times New Roman" w:hAnsi="Times New Roman" w:cs="Times New Roman"/>
          <w:i/>
          <w:iCs/>
          <w:sz w:val="18"/>
          <w:szCs w:val="18"/>
        </w:rPr>
        <w:t>Cancer</w:t>
      </w:r>
      <w:r>
        <w:rPr>
          <w:rFonts w:ascii="Times New Roman" w:hAnsi="Times New Roman" w:cs="Times New Roman"/>
          <w:sz w:val="18"/>
          <w:szCs w:val="18"/>
        </w:rPr>
        <w:t>. 1987</w:t>
      </w:r>
      <w:r>
        <w:rPr>
          <w:rFonts w:ascii="Times New Roman" w:hAnsi="Times New Roman" w:cs="Times New Roman" w:hint="eastAsia"/>
          <w:sz w:val="18"/>
          <w:szCs w:val="18"/>
        </w:rPr>
        <w:t>,</w:t>
      </w:r>
      <w:r>
        <w:rPr>
          <w:rFonts w:ascii="Times New Roman" w:hAnsi="Times New Roman" w:cs="Times New Roman"/>
          <w:sz w:val="18"/>
          <w:szCs w:val="18"/>
        </w:rPr>
        <w:t>60(6):1213-8.</w:t>
      </w:r>
    </w:p>
  </w:endnote>
  <w:endnote w:id="18">
    <w:p w14:paraId="0E08545A"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Kaukel E, Koschel G, Gatzemeyer U, Salewski E. A phase II study of pirarubicin in malignant pleural mesothelioma. </w:t>
      </w:r>
      <w:r>
        <w:rPr>
          <w:rFonts w:ascii="Times New Roman" w:hAnsi="Times New Roman" w:cs="Times New Roman"/>
          <w:i/>
          <w:iCs/>
          <w:sz w:val="18"/>
          <w:szCs w:val="18"/>
        </w:rPr>
        <w:t>Cancer</w:t>
      </w:r>
      <w:r>
        <w:rPr>
          <w:rFonts w:ascii="Times New Roman" w:hAnsi="Times New Roman" w:cs="Times New Roman"/>
          <w:sz w:val="18"/>
          <w:szCs w:val="18"/>
        </w:rPr>
        <w:t>. 1990</w:t>
      </w:r>
      <w:r>
        <w:rPr>
          <w:rFonts w:ascii="Times New Roman" w:hAnsi="Times New Roman" w:cs="Times New Roman" w:hint="eastAsia"/>
          <w:sz w:val="18"/>
          <w:szCs w:val="18"/>
        </w:rPr>
        <w:t>,</w:t>
      </w:r>
      <w:r>
        <w:rPr>
          <w:rFonts w:ascii="Times New Roman" w:hAnsi="Times New Roman" w:cs="Times New Roman"/>
          <w:sz w:val="18"/>
          <w:szCs w:val="18"/>
        </w:rPr>
        <w:t>66(4):651-4.</w:t>
      </w:r>
    </w:p>
  </w:endnote>
  <w:endnote w:id="19">
    <w:p w14:paraId="7098A628"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Umsawasdi T, Felder TB, Jeffries D, Newman RA. Phase II study of 4-demethoxydaunorubicin in previously untreated extensive disease non-small cell lung cancer. </w:t>
      </w:r>
      <w:r>
        <w:rPr>
          <w:rFonts w:ascii="Times New Roman" w:hAnsi="Times New Roman" w:cs="Times New Roman"/>
          <w:i/>
          <w:iCs/>
          <w:sz w:val="18"/>
          <w:szCs w:val="18"/>
        </w:rPr>
        <w:t>Invest New Drugs</w:t>
      </w:r>
      <w:r>
        <w:rPr>
          <w:rFonts w:ascii="Times New Roman" w:hAnsi="Times New Roman" w:cs="Times New Roman"/>
          <w:sz w:val="18"/>
          <w:szCs w:val="18"/>
        </w:rPr>
        <w:t xml:space="preserve">. 1990;8 Suppl 1:S73-8. </w:t>
      </w:r>
    </w:p>
  </w:endnote>
  <w:endnote w:id="20">
    <w:p w14:paraId="2B2B45D7"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Fountzilas G, Skarlos D, Pavlidis NA, M</w:t>
      </w:r>
      <w:r>
        <w:rPr>
          <w:rFonts w:ascii="Times New Roman" w:hAnsi="Times New Roman" w:cs="Times New Roman"/>
          <w:sz w:val="18"/>
          <w:szCs w:val="18"/>
        </w:rPr>
        <w:t xml:space="preserve">akrantonakis P, Tsavaris N, Kalogera-Fountzila A, Giannakakis T, Beer M, Kosmidis P. High-dose epirubicin as a single agent in the treatment of patients with advanced breast cancer. A Hellenic Co-operative Oncology Group study. </w:t>
      </w:r>
      <w:r>
        <w:rPr>
          <w:rFonts w:ascii="Times New Roman" w:hAnsi="Times New Roman" w:cs="Times New Roman"/>
          <w:i/>
          <w:iCs/>
          <w:sz w:val="18"/>
          <w:szCs w:val="18"/>
        </w:rPr>
        <w:t>Tumori</w:t>
      </w:r>
      <w:r>
        <w:rPr>
          <w:rFonts w:ascii="Times New Roman" w:hAnsi="Times New Roman" w:cs="Times New Roman"/>
          <w:sz w:val="18"/>
          <w:szCs w:val="18"/>
        </w:rPr>
        <w:t>. 1991</w:t>
      </w:r>
      <w:r>
        <w:rPr>
          <w:rFonts w:ascii="Times New Roman" w:hAnsi="Times New Roman" w:cs="Times New Roman" w:hint="eastAsia"/>
          <w:sz w:val="18"/>
          <w:szCs w:val="18"/>
        </w:rPr>
        <w:t>,</w:t>
      </w:r>
      <w:r>
        <w:rPr>
          <w:rFonts w:ascii="Times New Roman" w:hAnsi="Times New Roman" w:cs="Times New Roman"/>
          <w:sz w:val="18"/>
          <w:szCs w:val="18"/>
        </w:rPr>
        <w:t xml:space="preserve">77(3):232-6. </w:t>
      </w:r>
    </w:p>
  </w:endnote>
  <w:endnote w:id="21">
    <w:p w14:paraId="362325F1"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Villani F, Galimberti M, Comazzi R. Early cardiac toxicity of 4'-iodo-4'-deoxydoxorubicin. </w:t>
      </w:r>
      <w:r>
        <w:rPr>
          <w:rFonts w:ascii="Times New Roman" w:hAnsi="Times New Roman" w:cs="Times New Roman"/>
          <w:i/>
          <w:iCs/>
          <w:sz w:val="18"/>
          <w:szCs w:val="18"/>
        </w:rPr>
        <w:t>Eur J Cancer</w:t>
      </w:r>
      <w:r>
        <w:rPr>
          <w:rFonts w:ascii="Times New Roman" w:hAnsi="Times New Roman" w:cs="Times New Roman"/>
          <w:sz w:val="18"/>
          <w:szCs w:val="18"/>
        </w:rPr>
        <w:t>. 1991</w:t>
      </w:r>
      <w:r>
        <w:rPr>
          <w:rFonts w:ascii="Times New Roman" w:hAnsi="Times New Roman" w:cs="Times New Roman" w:hint="eastAsia"/>
          <w:sz w:val="18"/>
          <w:szCs w:val="18"/>
        </w:rPr>
        <w:t>,</w:t>
      </w:r>
      <w:r>
        <w:rPr>
          <w:rFonts w:ascii="Times New Roman" w:hAnsi="Times New Roman" w:cs="Times New Roman"/>
          <w:sz w:val="18"/>
          <w:szCs w:val="18"/>
        </w:rPr>
        <w:t xml:space="preserve">27(12):1601-4. </w:t>
      </w:r>
    </w:p>
  </w:endnote>
  <w:endnote w:id="22">
    <w:p w14:paraId="7D736A69"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Larsen RL, Jakacki RI, Vetter VL, Meadows AT, Silber JH, Barber G. Electrocardiographic changes and arrhythmias after cancer th</w:t>
      </w:r>
      <w:r>
        <w:rPr>
          <w:rFonts w:ascii="Times New Roman" w:hAnsi="Times New Roman" w:cs="Times New Roman"/>
          <w:sz w:val="18"/>
          <w:szCs w:val="18"/>
        </w:rPr>
        <w:t xml:space="preserve">erapy in children and young adults. </w:t>
      </w:r>
      <w:r>
        <w:rPr>
          <w:rFonts w:ascii="Times New Roman" w:hAnsi="Times New Roman" w:cs="Times New Roman"/>
          <w:i/>
          <w:iCs/>
          <w:sz w:val="18"/>
          <w:szCs w:val="18"/>
        </w:rPr>
        <w:t>Am J Cardiol</w:t>
      </w:r>
      <w:r>
        <w:rPr>
          <w:rFonts w:ascii="Times New Roman" w:hAnsi="Times New Roman" w:cs="Times New Roman"/>
          <w:sz w:val="18"/>
          <w:szCs w:val="18"/>
        </w:rPr>
        <w:t>. 1992</w:t>
      </w:r>
      <w:r>
        <w:rPr>
          <w:rFonts w:ascii="Times New Roman" w:hAnsi="Times New Roman" w:cs="Times New Roman" w:hint="eastAsia"/>
          <w:sz w:val="18"/>
          <w:szCs w:val="18"/>
        </w:rPr>
        <w:t>,</w:t>
      </w:r>
      <w:r>
        <w:rPr>
          <w:rFonts w:ascii="Times New Roman" w:hAnsi="Times New Roman" w:cs="Times New Roman"/>
          <w:sz w:val="18"/>
          <w:szCs w:val="18"/>
        </w:rPr>
        <w:t>70(1):73-7.</w:t>
      </w:r>
    </w:p>
  </w:endnote>
  <w:endnote w:id="23">
    <w:p w14:paraId="4FC63282"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Ando M, Yokozawa T, Sawada J, Takaue Y, Togitani K, Kawahigashi N, Narabayashi M, Takeyama K, Tanosaki R, Mineishi S, Kobayashi Y, Watanabe T, Adachi I, Tobinai K. Cardiac conduction abno</w:t>
      </w:r>
      <w:r>
        <w:rPr>
          <w:rFonts w:ascii="Times New Roman" w:hAnsi="Times New Roman" w:cs="Times New Roman"/>
          <w:sz w:val="18"/>
          <w:szCs w:val="18"/>
        </w:rPr>
        <w:t xml:space="preserve">rmalities in patients with breast cancer undergoing high-dose chemotherapy and stem cell transplantation. </w:t>
      </w:r>
      <w:r>
        <w:rPr>
          <w:rFonts w:ascii="Times New Roman" w:hAnsi="Times New Roman" w:cs="Times New Roman"/>
          <w:i/>
          <w:iCs/>
          <w:sz w:val="18"/>
          <w:szCs w:val="18"/>
        </w:rPr>
        <w:t>Bone Marrow Transplant</w:t>
      </w:r>
      <w:r>
        <w:rPr>
          <w:rFonts w:ascii="Times New Roman" w:hAnsi="Times New Roman" w:cs="Times New Roman"/>
          <w:sz w:val="18"/>
          <w:szCs w:val="18"/>
        </w:rPr>
        <w:t>. 2000</w:t>
      </w:r>
      <w:r>
        <w:rPr>
          <w:rFonts w:ascii="Times New Roman" w:hAnsi="Times New Roman" w:cs="Times New Roman" w:hint="eastAsia"/>
          <w:sz w:val="18"/>
          <w:szCs w:val="18"/>
        </w:rPr>
        <w:t>,</w:t>
      </w:r>
      <w:r>
        <w:rPr>
          <w:rFonts w:ascii="Times New Roman" w:hAnsi="Times New Roman" w:cs="Times New Roman"/>
          <w:sz w:val="18"/>
          <w:szCs w:val="18"/>
        </w:rPr>
        <w:t xml:space="preserve">25(2):185-9. </w:t>
      </w:r>
    </w:p>
  </w:endnote>
  <w:endnote w:id="24">
    <w:p w14:paraId="018C8284"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Gupta M, Thaler HT, Friedman D, Steinherz L. Presence of prolonged dispersion of qt intervals in late sur</w:t>
      </w:r>
      <w:r>
        <w:rPr>
          <w:rFonts w:ascii="Times New Roman" w:hAnsi="Times New Roman" w:cs="Times New Roman"/>
          <w:sz w:val="18"/>
          <w:szCs w:val="18"/>
        </w:rPr>
        <w:t xml:space="preserve">vivors of childhood anthracycline therapy. </w:t>
      </w:r>
      <w:r>
        <w:rPr>
          <w:rFonts w:ascii="Times New Roman" w:hAnsi="Times New Roman" w:cs="Times New Roman"/>
          <w:i/>
          <w:iCs/>
          <w:sz w:val="18"/>
          <w:szCs w:val="18"/>
        </w:rPr>
        <w:t>Pediatr Hematol Oncol</w:t>
      </w:r>
      <w:r>
        <w:rPr>
          <w:rFonts w:ascii="Times New Roman" w:hAnsi="Times New Roman" w:cs="Times New Roman"/>
          <w:sz w:val="18"/>
          <w:szCs w:val="18"/>
        </w:rPr>
        <w:t>. 2002</w:t>
      </w:r>
      <w:r>
        <w:rPr>
          <w:rFonts w:ascii="Times New Roman" w:hAnsi="Times New Roman" w:cs="Times New Roman" w:hint="eastAsia"/>
          <w:sz w:val="18"/>
          <w:szCs w:val="18"/>
        </w:rPr>
        <w:t>,</w:t>
      </w:r>
      <w:r>
        <w:rPr>
          <w:rFonts w:ascii="Times New Roman" w:hAnsi="Times New Roman" w:cs="Times New Roman"/>
          <w:sz w:val="18"/>
          <w:szCs w:val="18"/>
        </w:rPr>
        <w:t>19(8):533-42.</w:t>
      </w:r>
    </w:p>
  </w:endnote>
  <w:endnote w:id="25">
    <w:p w14:paraId="0677BAE7"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Postma A, Elzenga NJ, Haaksma J, Schasfoort-Van Leeuwen MJ, Kamps WA, Bink-Boelkens MT. Cardiac status in bone tumor survivors up to nearly 19 years after treatment with</w:t>
      </w:r>
      <w:r>
        <w:rPr>
          <w:rFonts w:ascii="Times New Roman" w:hAnsi="Times New Roman" w:cs="Times New Roman"/>
          <w:sz w:val="18"/>
          <w:szCs w:val="18"/>
        </w:rPr>
        <w:t xml:space="preserve"> doxorubicin: a longitudinal study. </w:t>
      </w:r>
      <w:r>
        <w:rPr>
          <w:rFonts w:ascii="Times New Roman" w:hAnsi="Times New Roman" w:cs="Times New Roman"/>
          <w:i/>
          <w:iCs/>
          <w:sz w:val="18"/>
          <w:szCs w:val="18"/>
        </w:rPr>
        <w:t>Med Pediatr Oncol</w:t>
      </w:r>
      <w:r>
        <w:rPr>
          <w:rFonts w:ascii="Times New Roman" w:hAnsi="Times New Roman" w:cs="Times New Roman"/>
          <w:sz w:val="18"/>
          <w:szCs w:val="18"/>
        </w:rPr>
        <w:t>. 2002</w:t>
      </w:r>
      <w:r>
        <w:rPr>
          <w:rFonts w:ascii="Times New Roman" w:hAnsi="Times New Roman" w:cs="Times New Roman" w:hint="eastAsia"/>
          <w:sz w:val="18"/>
          <w:szCs w:val="18"/>
        </w:rPr>
        <w:t>,</w:t>
      </w:r>
      <w:r>
        <w:rPr>
          <w:rFonts w:ascii="Times New Roman" w:hAnsi="Times New Roman" w:cs="Times New Roman"/>
          <w:sz w:val="18"/>
          <w:szCs w:val="18"/>
        </w:rPr>
        <w:t xml:space="preserve">39(2):86-92. </w:t>
      </w:r>
    </w:p>
  </w:endnote>
  <w:endnote w:id="26">
    <w:p w14:paraId="3A49E532"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Evans SA, Cooke JN. Cardiac effects of anthracycline treatment and their implications for aeromedical certification. </w:t>
      </w:r>
      <w:r>
        <w:rPr>
          <w:rFonts w:ascii="Times New Roman" w:hAnsi="Times New Roman" w:cs="Times New Roman"/>
          <w:i/>
          <w:iCs/>
          <w:sz w:val="18"/>
          <w:szCs w:val="18"/>
        </w:rPr>
        <w:t>Aviat Space Environ Med</w:t>
      </w:r>
      <w:r>
        <w:rPr>
          <w:rFonts w:ascii="Times New Roman" w:hAnsi="Times New Roman" w:cs="Times New Roman"/>
          <w:sz w:val="18"/>
          <w:szCs w:val="18"/>
        </w:rPr>
        <w:t>. 2003</w:t>
      </w:r>
      <w:r>
        <w:rPr>
          <w:rFonts w:ascii="Times New Roman" w:hAnsi="Times New Roman" w:cs="Times New Roman" w:hint="eastAsia"/>
          <w:sz w:val="18"/>
          <w:szCs w:val="18"/>
        </w:rPr>
        <w:t>,</w:t>
      </w:r>
      <w:r>
        <w:rPr>
          <w:rFonts w:ascii="Times New Roman" w:hAnsi="Times New Roman" w:cs="Times New Roman"/>
          <w:sz w:val="18"/>
          <w:szCs w:val="18"/>
        </w:rPr>
        <w:t>74(9):1003-8. PMID: 14503683.</w:t>
      </w:r>
    </w:p>
  </w:endnote>
  <w:endnote w:id="27">
    <w:p w14:paraId="3FEA73C2"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P</w:t>
      </w:r>
      <w:r>
        <w:rPr>
          <w:rFonts w:ascii="Times New Roman" w:hAnsi="Times New Roman" w:cs="Times New Roman"/>
          <w:sz w:val="18"/>
          <w:szCs w:val="18"/>
        </w:rPr>
        <w:t>ignata S, Scambia G, Savarese A, Breda E, Scollo P, De Vivo R, Rossi E, Gebbia V, Natale D, Del Gaizo F, Naglieri E, Ferro A, Musso P, D'Arco AM, Sorio R, Pisano C, Di Maio M, Signoriello G, Annunziata A, Perrone F; MITO Investigators. Safety of a 3-weekly</w:t>
      </w:r>
      <w:r>
        <w:rPr>
          <w:rFonts w:ascii="Times New Roman" w:hAnsi="Times New Roman" w:cs="Times New Roman"/>
          <w:sz w:val="18"/>
          <w:szCs w:val="18"/>
        </w:rPr>
        <w:t xml:space="preserve"> schedule of carboplatin plus pegylated liposomal doxorubicin as first line chemotherapy in patients with ovarian cancer: preliminary results of the MITO-2 randomized trial. </w:t>
      </w:r>
      <w:r>
        <w:rPr>
          <w:rFonts w:ascii="Times New Roman" w:hAnsi="Times New Roman" w:cs="Times New Roman"/>
          <w:i/>
          <w:iCs/>
          <w:sz w:val="18"/>
          <w:szCs w:val="18"/>
        </w:rPr>
        <w:t>BMC Cancer</w:t>
      </w:r>
      <w:r>
        <w:rPr>
          <w:rFonts w:ascii="Times New Roman" w:hAnsi="Times New Roman" w:cs="Times New Roman"/>
          <w:sz w:val="18"/>
          <w:szCs w:val="18"/>
        </w:rPr>
        <w:t>. 2006</w:t>
      </w:r>
      <w:r>
        <w:rPr>
          <w:rFonts w:ascii="Times New Roman" w:hAnsi="Times New Roman" w:cs="Times New Roman" w:hint="eastAsia"/>
          <w:sz w:val="18"/>
          <w:szCs w:val="18"/>
        </w:rPr>
        <w:t>,</w:t>
      </w:r>
      <w:r>
        <w:rPr>
          <w:rFonts w:ascii="Times New Roman" w:hAnsi="Times New Roman" w:cs="Times New Roman"/>
          <w:sz w:val="18"/>
          <w:szCs w:val="18"/>
        </w:rPr>
        <w:t xml:space="preserve">6:202. </w:t>
      </w:r>
    </w:p>
  </w:endnote>
  <w:endnote w:id="28">
    <w:p w14:paraId="2067A3BC"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Chen C, Heusch A, Donner B, Janssen G, Göbel U, Schmidt</w:t>
      </w:r>
      <w:r>
        <w:rPr>
          <w:rFonts w:ascii="Times New Roman" w:hAnsi="Times New Roman" w:cs="Times New Roman"/>
          <w:sz w:val="18"/>
          <w:szCs w:val="18"/>
        </w:rPr>
        <w:t xml:space="preserve"> KG. Present risk of anthracycline or radiation-induced cardiac sequelae following therapy of malignancies in children and adolescents. </w:t>
      </w:r>
      <w:r>
        <w:rPr>
          <w:rFonts w:ascii="Times New Roman" w:hAnsi="Times New Roman" w:cs="Times New Roman"/>
          <w:i/>
          <w:iCs/>
          <w:sz w:val="18"/>
          <w:szCs w:val="18"/>
        </w:rPr>
        <w:t>Klin Padiatr</w:t>
      </w:r>
      <w:r>
        <w:rPr>
          <w:rFonts w:ascii="Times New Roman" w:hAnsi="Times New Roman" w:cs="Times New Roman"/>
          <w:sz w:val="18"/>
          <w:szCs w:val="18"/>
        </w:rPr>
        <w:t>. 2009</w:t>
      </w:r>
      <w:r>
        <w:rPr>
          <w:rFonts w:ascii="Times New Roman" w:hAnsi="Times New Roman" w:cs="Times New Roman" w:hint="eastAsia"/>
          <w:sz w:val="18"/>
          <w:szCs w:val="18"/>
        </w:rPr>
        <w:t>,</w:t>
      </w:r>
      <w:r>
        <w:rPr>
          <w:rFonts w:ascii="Times New Roman" w:hAnsi="Times New Roman" w:cs="Times New Roman"/>
          <w:sz w:val="18"/>
          <w:szCs w:val="18"/>
        </w:rPr>
        <w:t xml:space="preserve">221(3):162-6. </w:t>
      </w:r>
    </w:p>
  </w:endnote>
  <w:endnote w:id="29">
    <w:p w14:paraId="430116FF"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Ricevuto E, Cocciolone V, Mancini M, Cannita K, Romano S, Bruera G, Pelliccione M, A</w:t>
      </w:r>
      <w:r>
        <w:rPr>
          <w:rFonts w:ascii="Times New Roman" w:hAnsi="Times New Roman" w:cs="Times New Roman"/>
          <w:sz w:val="18"/>
          <w:szCs w:val="18"/>
        </w:rPr>
        <w:t xml:space="preserve">dinolfi MI, Ciccozzi A, Bafile A, Penco M, Ficorella C. Dose-dense nonpegylated liposomal Doxorubicin and docetaxel combination in breast cancer: dose-finding study. </w:t>
      </w:r>
      <w:r>
        <w:rPr>
          <w:rFonts w:ascii="Times New Roman" w:hAnsi="Times New Roman" w:cs="Times New Roman"/>
          <w:i/>
          <w:iCs/>
          <w:sz w:val="18"/>
          <w:szCs w:val="18"/>
        </w:rPr>
        <w:t>Oncologist</w:t>
      </w:r>
      <w:r>
        <w:rPr>
          <w:rFonts w:ascii="Times New Roman" w:hAnsi="Times New Roman" w:cs="Times New Roman"/>
          <w:sz w:val="18"/>
          <w:szCs w:val="18"/>
        </w:rPr>
        <w:t>. 2015</w:t>
      </w:r>
      <w:r>
        <w:rPr>
          <w:rFonts w:ascii="Times New Roman" w:hAnsi="Times New Roman" w:cs="Times New Roman" w:hint="eastAsia"/>
          <w:sz w:val="18"/>
          <w:szCs w:val="18"/>
        </w:rPr>
        <w:t>,</w:t>
      </w:r>
      <w:r>
        <w:rPr>
          <w:rFonts w:ascii="Times New Roman" w:hAnsi="Times New Roman" w:cs="Times New Roman"/>
          <w:sz w:val="18"/>
          <w:szCs w:val="18"/>
        </w:rPr>
        <w:t xml:space="preserve">20(2):109-10. </w:t>
      </w:r>
    </w:p>
  </w:endnote>
  <w:endnote w:id="30">
    <w:p w14:paraId="1BDC1B37" w14:textId="77777777" w:rsidR="005A5C01" w:rsidRDefault="008C226D">
      <w:pPr>
        <w:pStyle w:val="EndnoteText"/>
        <w:spacing w:line="360" w:lineRule="auto"/>
        <w:jc w:val="both"/>
        <w:rPr>
          <w:rFonts w:ascii="Times New Roman" w:hAnsi="Times New Roman" w:cs="Times New Roman"/>
          <w:sz w:val="18"/>
          <w:szCs w:val="18"/>
        </w:rPr>
      </w:pPr>
      <w:r>
        <w:rPr>
          <w:rStyle w:val="EndnoteReference"/>
          <w:rFonts w:ascii="Times New Roman" w:hAnsi="Times New Roman" w:cs="Times New Roman"/>
          <w:sz w:val="18"/>
          <w:szCs w:val="18"/>
        </w:rPr>
        <w:endnoteRef/>
      </w:r>
      <w:r>
        <w:rPr>
          <w:rFonts w:ascii="Times New Roman" w:hAnsi="Times New Roman" w:cs="Times New Roman"/>
          <w:sz w:val="18"/>
          <w:szCs w:val="18"/>
        </w:rPr>
        <w:t xml:space="preserve"> Markman TM, Ruble K, Loeb D, Chen A, Zhang Y, Beasley GS, Thompson WR, Nazarian S. Electrophysiological effects of anthracyclines in adult survivors of pediatric malignancy. </w:t>
      </w:r>
      <w:r>
        <w:rPr>
          <w:rFonts w:ascii="Times New Roman" w:hAnsi="Times New Roman" w:cs="Times New Roman"/>
          <w:i/>
          <w:iCs/>
          <w:sz w:val="18"/>
          <w:szCs w:val="18"/>
        </w:rPr>
        <w:t>Pediatr Blood Cancer</w:t>
      </w:r>
      <w:r>
        <w:rPr>
          <w:rFonts w:ascii="Times New Roman" w:hAnsi="Times New Roman" w:cs="Times New Roman"/>
          <w:sz w:val="18"/>
          <w:szCs w:val="18"/>
        </w:rPr>
        <w:t>. 2017</w:t>
      </w:r>
      <w:r>
        <w:rPr>
          <w:rFonts w:ascii="Times New Roman" w:hAnsi="Times New Roman" w:cs="Times New Roman" w:hint="eastAsia"/>
          <w:sz w:val="18"/>
          <w:szCs w:val="18"/>
        </w:rPr>
        <w:t>,</w:t>
      </w:r>
      <w:r>
        <w:rPr>
          <w:rFonts w:ascii="Times New Roman" w:hAnsi="Times New Roman" w:cs="Times New Roman"/>
          <w:sz w:val="18"/>
          <w:szCs w:val="18"/>
        </w:rPr>
        <w:t xml:space="preserve">64(11).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47047025"/>
    </w:sdtPr>
    <w:sdtEndPr/>
    <w:sdtContent>
      <w:p w14:paraId="743057BC" w14:textId="77777777" w:rsidR="005A5C01" w:rsidRDefault="008C226D">
        <w:pPr>
          <w:pStyle w:val="Footer"/>
          <w:jc w:val="right"/>
        </w:pPr>
        <w:r>
          <w:fldChar w:fldCharType="begin"/>
        </w:r>
        <w:r>
          <w:instrText xml:space="preserve"> PAGE   \* MERGEFORMAT </w:instrText>
        </w:r>
        <w:r>
          <w:fldChar w:fldCharType="separate"/>
        </w:r>
        <w:r>
          <w:t>10</w:t>
        </w:r>
        <w:r>
          <w:fldChar w:fldCharType="end"/>
        </w:r>
      </w:p>
    </w:sdtContent>
  </w:sdt>
  <w:p w14:paraId="7DA2AB9F" w14:textId="77777777" w:rsidR="005A5C01" w:rsidRDefault="005A5C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7474FE" w14:textId="77777777" w:rsidR="008C226D" w:rsidRDefault="008C226D"/>
  </w:footnote>
  <w:footnote w:type="continuationSeparator" w:id="0">
    <w:p w14:paraId="1589DBD1" w14:textId="77777777" w:rsidR="008C226D" w:rsidRDefault="008C226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75B53C" w14:textId="77777777" w:rsidR="005A5C01" w:rsidRDefault="005A5C01">
    <w:pPr>
      <w:pStyle w:val="Header"/>
      <w:pBdr>
        <w:bottom w:val="none" w:sz="0" w:space="1" w:color="auto"/>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numFmt w:val="decimal"/>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Tc2ZGZiNzZiNDVlOGViOWVmM2JhOTY0NGJkNjUyYzgifQ=="/>
  </w:docVars>
  <w:rsids>
    <w:rsidRoot w:val="00172A27"/>
    <w:rsid w:val="ADD7DAD8"/>
    <w:rsid w:val="D7FF8D21"/>
    <w:rsid w:val="DFF923BF"/>
    <w:rsid w:val="EFB3CF2A"/>
    <w:rsid w:val="F03F9669"/>
    <w:rsid w:val="F9769961"/>
    <w:rsid w:val="FBBE13E4"/>
    <w:rsid w:val="FE3EC103"/>
    <w:rsid w:val="FE7EA60A"/>
    <w:rsid w:val="FFFF880E"/>
    <w:rsid w:val="00004023"/>
    <w:rsid w:val="000046B7"/>
    <w:rsid w:val="00004C98"/>
    <w:rsid w:val="00010678"/>
    <w:rsid w:val="00013B3B"/>
    <w:rsid w:val="00017E89"/>
    <w:rsid w:val="000230ED"/>
    <w:rsid w:val="00027836"/>
    <w:rsid w:val="000278A6"/>
    <w:rsid w:val="000325A8"/>
    <w:rsid w:val="00033CED"/>
    <w:rsid w:val="00033D61"/>
    <w:rsid w:val="000344D0"/>
    <w:rsid w:val="00034F6C"/>
    <w:rsid w:val="000414D1"/>
    <w:rsid w:val="00041599"/>
    <w:rsid w:val="00041BAB"/>
    <w:rsid w:val="00044D44"/>
    <w:rsid w:val="000450D5"/>
    <w:rsid w:val="0004527F"/>
    <w:rsid w:val="00045616"/>
    <w:rsid w:val="00046B9D"/>
    <w:rsid w:val="00051477"/>
    <w:rsid w:val="000537A1"/>
    <w:rsid w:val="000602DE"/>
    <w:rsid w:val="000627CB"/>
    <w:rsid w:val="000647D1"/>
    <w:rsid w:val="00064A8A"/>
    <w:rsid w:val="000660B5"/>
    <w:rsid w:val="000705B3"/>
    <w:rsid w:val="00071B7B"/>
    <w:rsid w:val="0007309A"/>
    <w:rsid w:val="00074D26"/>
    <w:rsid w:val="0007546B"/>
    <w:rsid w:val="00075AC5"/>
    <w:rsid w:val="00075C8D"/>
    <w:rsid w:val="0007725E"/>
    <w:rsid w:val="00080F7D"/>
    <w:rsid w:val="00090491"/>
    <w:rsid w:val="00091B5A"/>
    <w:rsid w:val="000933AE"/>
    <w:rsid w:val="00093470"/>
    <w:rsid w:val="00093A0D"/>
    <w:rsid w:val="00097451"/>
    <w:rsid w:val="00097A77"/>
    <w:rsid w:val="00097E9E"/>
    <w:rsid w:val="000A01C0"/>
    <w:rsid w:val="000A0667"/>
    <w:rsid w:val="000A1672"/>
    <w:rsid w:val="000A21DD"/>
    <w:rsid w:val="000A3059"/>
    <w:rsid w:val="000A3E42"/>
    <w:rsid w:val="000A4544"/>
    <w:rsid w:val="000B20F8"/>
    <w:rsid w:val="000B38CE"/>
    <w:rsid w:val="000B4144"/>
    <w:rsid w:val="000B4534"/>
    <w:rsid w:val="000B6F7B"/>
    <w:rsid w:val="000B7BF4"/>
    <w:rsid w:val="000C048D"/>
    <w:rsid w:val="000C580F"/>
    <w:rsid w:val="000C5C82"/>
    <w:rsid w:val="000C68AE"/>
    <w:rsid w:val="000C6F28"/>
    <w:rsid w:val="000D0B0E"/>
    <w:rsid w:val="000D6F94"/>
    <w:rsid w:val="000D7A54"/>
    <w:rsid w:val="000E033B"/>
    <w:rsid w:val="000E5DAF"/>
    <w:rsid w:val="000E6072"/>
    <w:rsid w:val="000E70A4"/>
    <w:rsid w:val="000F0A2E"/>
    <w:rsid w:val="000F43A2"/>
    <w:rsid w:val="000F64A2"/>
    <w:rsid w:val="00100941"/>
    <w:rsid w:val="0010122F"/>
    <w:rsid w:val="001020B8"/>
    <w:rsid w:val="00103D42"/>
    <w:rsid w:val="00104E3F"/>
    <w:rsid w:val="001056C8"/>
    <w:rsid w:val="0010685A"/>
    <w:rsid w:val="00120B5E"/>
    <w:rsid w:val="00120F93"/>
    <w:rsid w:val="00124AFE"/>
    <w:rsid w:val="00125CD5"/>
    <w:rsid w:val="0012685A"/>
    <w:rsid w:val="00133F75"/>
    <w:rsid w:val="00135614"/>
    <w:rsid w:val="001402E9"/>
    <w:rsid w:val="00143931"/>
    <w:rsid w:val="001446D8"/>
    <w:rsid w:val="00144BF4"/>
    <w:rsid w:val="001452BE"/>
    <w:rsid w:val="00150271"/>
    <w:rsid w:val="00151172"/>
    <w:rsid w:val="001520E9"/>
    <w:rsid w:val="001563EE"/>
    <w:rsid w:val="001578C7"/>
    <w:rsid w:val="00157AFE"/>
    <w:rsid w:val="00160FB2"/>
    <w:rsid w:val="001627E8"/>
    <w:rsid w:val="00163340"/>
    <w:rsid w:val="00165154"/>
    <w:rsid w:val="00166399"/>
    <w:rsid w:val="00172A27"/>
    <w:rsid w:val="0017584B"/>
    <w:rsid w:val="00182EF7"/>
    <w:rsid w:val="0018341F"/>
    <w:rsid w:val="00183BB6"/>
    <w:rsid w:val="00185114"/>
    <w:rsid w:val="00185517"/>
    <w:rsid w:val="001865F3"/>
    <w:rsid w:val="00186A8F"/>
    <w:rsid w:val="00186BD7"/>
    <w:rsid w:val="00187A24"/>
    <w:rsid w:val="0019142C"/>
    <w:rsid w:val="001924C1"/>
    <w:rsid w:val="001930BB"/>
    <w:rsid w:val="00194483"/>
    <w:rsid w:val="00194903"/>
    <w:rsid w:val="00194E23"/>
    <w:rsid w:val="00196287"/>
    <w:rsid w:val="001A16E1"/>
    <w:rsid w:val="001A1A19"/>
    <w:rsid w:val="001A216E"/>
    <w:rsid w:val="001B1596"/>
    <w:rsid w:val="001B1D3F"/>
    <w:rsid w:val="001B36E8"/>
    <w:rsid w:val="001B565F"/>
    <w:rsid w:val="001B6631"/>
    <w:rsid w:val="001B697E"/>
    <w:rsid w:val="001B6A59"/>
    <w:rsid w:val="001C262B"/>
    <w:rsid w:val="001C2854"/>
    <w:rsid w:val="001C4D01"/>
    <w:rsid w:val="001C6EA3"/>
    <w:rsid w:val="001D1EFA"/>
    <w:rsid w:val="001D3A92"/>
    <w:rsid w:val="001E03A8"/>
    <w:rsid w:val="001E05EF"/>
    <w:rsid w:val="001E2F97"/>
    <w:rsid w:val="001E4FCF"/>
    <w:rsid w:val="001E7013"/>
    <w:rsid w:val="001F12D0"/>
    <w:rsid w:val="001F320E"/>
    <w:rsid w:val="001F44E9"/>
    <w:rsid w:val="001F5F25"/>
    <w:rsid w:val="001F6CAE"/>
    <w:rsid w:val="001F6D79"/>
    <w:rsid w:val="001F7919"/>
    <w:rsid w:val="00200130"/>
    <w:rsid w:val="00202161"/>
    <w:rsid w:val="002038B6"/>
    <w:rsid w:val="00203A86"/>
    <w:rsid w:val="00206A48"/>
    <w:rsid w:val="00207154"/>
    <w:rsid w:val="00207379"/>
    <w:rsid w:val="00212414"/>
    <w:rsid w:val="00213219"/>
    <w:rsid w:val="0021343A"/>
    <w:rsid w:val="002135D2"/>
    <w:rsid w:val="002218B4"/>
    <w:rsid w:val="0022418A"/>
    <w:rsid w:val="002243D2"/>
    <w:rsid w:val="00224C2D"/>
    <w:rsid w:val="002257C6"/>
    <w:rsid w:val="0022582B"/>
    <w:rsid w:val="00226448"/>
    <w:rsid w:val="00237417"/>
    <w:rsid w:val="00237E2A"/>
    <w:rsid w:val="00240E9E"/>
    <w:rsid w:val="0024332F"/>
    <w:rsid w:val="00244D31"/>
    <w:rsid w:val="002477E2"/>
    <w:rsid w:val="00250365"/>
    <w:rsid w:val="00250AE5"/>
    <w:rsid w:val="00250CF3"/>
    <w:rsid w:val="0026041C"/>
    <w:rsid w:val="00261730"/>
    <w:rsid w:val="00264A10"/>
    <w:rsid w:val="00267453"/>
    <w:rsid w:val="00271B16"/>
    <w:rsid w:val="00275B8A"/>
    <w:rsid w:val="00280B50"/>
    <w:rsid w:val="00281D03"/>
    <w:rsid w:val="00285323"/>
    <w:rsid w:val="00291C00"/>
    <w:rsid w:val="00291F61"/>
    <w:rsid w:val="002923CF"/>
    <w:rsid w:val="002933C1"/>
    <w:rsid w:val="0029641D"/>
    <w:rsid w:val="002965B1"/>
    <w:rsid w:val="002A16F4"/>
    <w:rsid w:val="002A286E"/>
    <w:rsid w:val="002A6C13"/>
    <w:rsid w:val="002B0DD0"/>
    <w:rsid w:val="002B1CA6"/>
    <w:rsid w:val="002B2043"/>
    <w:rsid w:val="002B3EB0"/>
    <w:rsid w:val="002B41E6"/>
    <w:rsid w:val="002B7A51"/>
    <w:rsid w:val="002C19D1"/>
    <w:rsid w:val="002C2D22"/>
    <w:rsid w:val="002C399D"/>
    <w:rsid w:val="002C3EDC"/>
    <w:rsid w:val="002C4577"/>
    <w:rsid w:val="002C78A6"/>
    <w:rsid w:val="002D5305"/>
    <w:rsid w:val="002D5C8D"/>
    <w:rsid w:val="002E1731"/>
    <w:rsid w:val="002E1981"/>
    <w:rsid w:val="002E3F31"/>
    <w:rsid w:val="002E3FBD"/>
    <w:rsid w:val="002E5FA6"/>
    <w:rsid w:val="002E7915"/>
    <w:rsid w:val="002F022D"/>
    <w:rsid w:val="002F06B9"/>
    <w:rsid w:val="002F3CCC"/>
    <w:rsid w:val="002F7859"/>
    <w:rsid w:val="003010F7"/>
    <w:rsid w:val="003073BD"/>
    <w:rsid w:val="003075E0"/>
    <w:rsid w:val="00307CF4"/>
    <w:rsid w:val="003147A4"/>
    <w:rsid w:val="00314B15"/>
    <w:rsid w:val="003169D8"/>
    <w:rsid w:val="00316A83"/>
    <w:rsid w:val="003218AE"/>
    <w:rsid w:val="00322BCC"/>
    <w:rsid w:val="003232D9"/>
    <w:rsid w:val="00324145"/>
    <w:rsid w:val="0032420A"/>
    <w:rsid w:val="003266A8"/>
    <w:rsid w:val="00330506"/>
    <w:rsid w:val="00330D97"/>
    <w:rsid w:val="00333899"/>
    <w:rsid w:val="00335206"/>
    <w:rsid w:val="00340746"/>
    <w:rsid w:val="00341EF0"/>
    <w:rsid w:val="003421FF"/>
    <w:rsid w:val="00343AC4"/>
    <w:rsid w:val="00343E5D"/>
    <w:rsid w:val="00345B9E"/>
    <w:rsid w:val="00352794"/>
    <w:rsid w:val="00354522"/>
    <w:rsid w:val="0036122A"/>
    <w:rsid w:val="00363277"/>
    <w:rsid w:val="0036329F"/>
    <w:rsid w:val="00363F07"/>
    <w:rsid w:val="003768BC"/>
    <w:rsid w:val="00376F59"/>
    <w:rsid w:val="00381C25"/>
    <w:rsid w:val="003854AE"/>
    <w:rsid w:val="00386DC0"/>
    <w:rsid w:val="00390D59"/>
    <w:rsid w:val="00391D97"/>
    <w:rsid w:val="0039570E"/>
    <w:rsid w:val="0039644B"/>
    <w:rsid w:val="00397F69"/>
    <w:rsid w:val="003A2059"/>
    <w:rsid w:val="003A2F47"/>
    <w:rsid w:val="003A3956"/>
    <w:rsid w:val="003A4EA3"/>
    <w:rsid w:val="003B0024"/>
    <w:rsid w:val="003B0A7D"/>
    <w:rsid w:val="003B1E18"/>
    <w:rsid w:val="003B2F31"/>
    <w:rsid w:val="003B653A"/>
    <w:rsid w:val="003B7257"/>
    <w:rsid w:val="003B78D0"/>
    <w:rsid w:val="003C0137"/>
    <w:rsid w:val="003C0E51"/>
    <w:rsid w:val="003C209C"/>
    <w:rsid w:val="003C513E"/>
    <w:rsid w:val="003C5B48"/>
    <w:rsid w:val="003C791A"/>
    <w:rsid w:val="003D0393"/>
    <w:rsid w:val="003D2CC1"/>
    <w:rsid w:val="003D46FD"/>
    <w:rsid w:val="003D6C12"/>
    <w:rsid w:val="003D762E"/>
    <w:rsid w:val="003E07F3"/>
    <w:rsid w:val="003E6C26"/>
    <w:rsid w:val="003F19F8"/>
    <w:rsid w:val="003F3369"/>
    <w:rsid w:val="003F4056"/>
    <w:rsid w:val="003F6769"/>
    <w:rsid w:val="003F69B8"/>
    <w:rsid w:val="0040001F"/>
    <w:rsid w:val="00400063"/>
    <w:rsid w:val="00401B98"/>
    <w:rsid w:val="0040301C"/>
    <w:rsid w:val="00404C1D"/>
    <w:rsid w:val="00407DAC"/>
    <w:rsid w:val="004105D5"/>
    <w:rsid w:val="00410B5B"/>
    <w:rsid w:val="004167AB"/>
    <w:rsid w:val="00416A74"/>
    <w:rsid w:val="004277E1"/>
    <w:rsid w:val="00431755"/>
    <w:rsid w:val="004330F5"/>
    <w:rsid w:val="004343BD"/>
    <w:rsid w:val="004351B8"/>
    <w:rsid w:val="00435F52"/>
    <w:rsid w:val="00442A91"/>
    <w:rsid w:val="00453AD7"/>
    <w:rsid w:val="00453B99"/>
    <w:rsid w:val="004545EB"/>
    <w:rsid w:val="00454D1A"/>
    <w:rsid w:val="00456AE3"/>
    <w:rsid w:val="00456D00"/>
    <w:rsid w:val="00457EF5"/>
    <w:rsid w:val="004637DA"/>
    <w:rsid w:val="00463A1A"/>
    <w:rsid w:val="0046564D"/>
    <w:rsid w:val="00466344"/>
    <w:rsid w:val="00476FE5"/>
    <w:rsid w:val="00480183"/>
    <w:rsid w:val="004846EF"/>
    <w:rsid w:val="004872AB"/>
    <w:rsid w:val="004922EE"/>
    <w:rsid w:val="00493CAC"/>
    <w:rsid w:val="00493DAE"/>
    <w:rsid w:val="00494362"/>
    <w:rsid w:val="00495ED9"/>
    <w:rsid w:val="0049731F"/>
    <w:rsid w:val="004A523A"/>
    <w:rsid w:val="004A72FF"/>
    <w:rsid w:val="004C17CF"/>
    <w:rsid w:val="004C619E"/>
    <w:rsid w:val="004C7134"/>
    <w:rsid w:val="004D0B0F"/>
    <w:rsid w:val="004D3605"/>
    <w:rsid w:val="004D5ADC"/>
    <w:rsid w:val="004D5FD0"/>
    <w:rsid w:val="004D6B78"/>
    <w:rsid w:val="004E0359"/>
    <w:rsid w:val="004E0BA4"/>
    <w:rsid w:val="004E15AE"/>
    <w:rsid w:val="004E3130"/>
    <w:rsid w:val="004E41B3"/>
    <w:rsid w:val="004E4742"/>
    <w:rsid w:val="004E7AD8"/>
    <w:rsid w:val="00501139"/>
    <w:rsid w:val="005057DA"/>
    <w:rsid w:val="00506CF7"/>
    <w:rsid w:val="00506EAA"/>
    <w:rsid w:val="00511273"/>
    <w:rsid w:val="00511E3B"/>
    <w:rsid w:val="005133DA"/>
    <w:rsid w:val="0051643E"/>
    <w:rsid w:val="00520867"/>
    <w:rsid w:val="005217D5"/>
    <w:rsid w:val="00525F71"/>
    <w:rsid w:val="0052701F"/>
    <w:rsid w:val="00530644"/>
    <w:rsid w:val="00530B0F"/>
    <w:rsid w:val="0053134E"/>
    <w:rsid w:val="005314F9"/>
    <w:rsid w:val="005317C1"/>
    <w:rsid w:val="005466F1"/>
    <w:rsid w:val="0054729B"/>
    <w:rsid w:val="005531C3"/>
    <w:rsid w:val="00553A41"/>
    <w:rsid w:val="0055698E"/>
    <w:rsid w:val="00556AFD"/>
    <w:rsid w:val="0055708F"/>
    <w:rsid w:val="005601C8"/>
    <w:rsid w:val="005604AC"/>
    <w:rsid w:val="0056585F"/>
    <w:rsid w:val="00565A58"/>
    <w:rsid w:val="00565C9A"/>
    <w:rsid w:val="0057118B"/>
    <w:rsid w:val="00571401"/>
    <w:rsid w:val="00571AF2"/>
    <w:rsid w:val="005727AB"/>
    <w:rsid w:val="005750D4"/>
    <w:rsid w:val="005768FC"/>
    <w:rsid w:val="00577BCE"/>
    <w:rsid w:val="00583C7E"/>
    <w:rsid w:val="005868A7"/>
    <w:rsid w:val="00587CDB"/>
    <w:rsid w:val="00591067"/>
    <w:rsid w:val="0059257E"/>
    <w:rsid w:val="00592D7B"/>
    <w:rsid w:val="005A0A5C"/>
    <w:rsid w:val="005A0B47"/>
    <w:rsid w:val="005A19FF"/>
    <w:rsid w:val="005A27E5"/>
    <w:rsid w:val="005A354F"/>
    <w:rsid w:val="005A5C01"/>
    <w:rsid w:val="005B0CFE"/>
    <w:rsid w:val="005B103D"/>
    <w:rsid w:val="005B4886"/>
    <w:rsid w:val="005C04F8"/>
    <w:rsid w:val="005C19AC"/>
    <w:rsid w:val="005C4453"/>
    <w:rsid w:val="005C64FE"/>
    <w:rsid w:val="005D1AED"/>
    <w:rsid w:val="005D2213"/>
    <w:rsid w:val="005D4DB6"/>
    <w:rsid w:val="005E09B1"/>
    <w:rsid w:val="005E1FFB"/>
    <w:rsid w:val="005E284F"/>
    <w:rsid w:val="005E4FFA"/>
    <w:rsid w:val="005E5234"/>
    <w:rsid w:val="005F3305"/>
    <w:rsid w:val="005F7AD1"/>
    <w:rsid w:val="00600C96"/>
    <w:rsid w:val="00607214"/>
    <w:rsid w:val="006116C6"/>
    <w:rsid w:val="00614890"/>
    <w:rsid w:val="00614DC9"/>
    <w:rsid w:val="00616CAE"/>
    <w:rsid w:val="00616D43"/>
    <w:rsid w:val="00617718"/>
    <w:rsid w:val="00622D37"/>
    <w:rsid w:val="006232A5"/>
    <w:rsid w:val="006237A4"/>
    <w:rsid w:val="00624746"/>
    <w:rsid w:val="00624F37"/>
    <w:rsid w:val="0062675C"/>
    <w:rsid w:val="006304C4"/>
    <w:rsid w:val="006309BA"/>
    <w:rsid w:val="00631ED2"/>
    <w:rsid w:val="00631F90"/>
    <w:rsid w:val="00635FFF"/>
    <w:rsid w:val="006429FD"/>
    <w:rsid w:val="00642DB8"/>
    <w:rsid w:val="00644C14"/>
    <w:rsid w:val="00646329"/>
    <w:rsid w:val="006479BF"/>
    <w:rsid w:val="0065012A"/>
    <w:rsid w:val="00652F2E"/>
    <w:rsid w:val="0065362F"/>
    <w:rsid w:val="00655151"/>
    <w:rsid w:val="00661449"/>
    <w:rsid w:val="00663B11"/>
    <w:rsid w:val="00664619"/>
    <w:rsid w:val="006655E3"/>
    <w:rsid w:val="006660EC"/>
    <w:rsid w:val="006665C8"/>
    <w:rsid w:val="006666C5"/>
    <w:rsid w:val="00670CB6"/>
    <w:rsid w:val="006723BF"/>
    <w:rsid w:val="00672C90"/>
    <w:rsid w:val="0067482F"/>
    <w:rsid w:val="006758DF"/>
    <w:rsid w:val="0068067E"/>
    <w:rsid w:val="006807EE"/>
    <w:rsid w:val="00680F97"/>
    <w:rsid w:val="00685573"/>
    <w:rsid w:val="00685CB4"/>
    <w:rsid w:val="0068620F"/>
    <w:rsid w:val="0068677C"/>
    <w:rsid w:val="006872DC"/>
    <w:rsid w:val="00687D47"/>
    <w:rsid w:val="00691DBF"/>
    <w:rsid w:val="0069331F"/>
    <w:rsid w:val="00693CB8"/>
    <w:rsid w:val="006A0339"/>
    <w:rsid w:val="006A179E"/>
    <w:rsid w:val="006A5913"/>
    <w:rsid w:val="006A68EA"/>
    <w:rsid w:val="006B016C"/>
    <w:rsid w:val="006B235B"/>
    <w:rsid w:val="006B23EB"/>
    <w:rsid w:val="006B29AA"/>
    <w:rsid w:val="006B33BE"/>
    <w:rsid w:val="006B472B"/>
    <w:rsid w:val="006B6FB6"/>
    <w:rsid w:val="006C06A0"/>
    <w:rsid w:val="006C328F"/>
    <w:rsid w:val="006C7ABE"/>
    <w:rsid w:val="006D026A"/>
    <w:rsid w:val="006D55D5"/>
    <w:rsid w:val="006D5CB1"/>
    <w:rsid w:val="006D7F8C"/>
    <w:rsid w:val="006E0EF4"/>
    <w:rsid w:val="006E2EFB"/>
    <w:rsid w:val="006E3284"/>
    <w:rsid w:val="006E32B9"/>
    <w:rsid w:val="006E63BC"/>
    <w:rsid w:val="006F16A3"/>
    <w:rsid w:val="006F214C"/>
    <w:rsid w:val="00700C76"/>
    <w:rsid w:val="00700FA5"/>
    <w:rsid w:val="007023E9"/>
    <w:rsid w:val="007024AF"/>
    <w:rsid w:val="007029A8"/>
    <w:rsid w:val="00704462"/>
    <w:rsid w:val="00705D85"/>
    <w:rsid w:val="007106BD"/>
    <w:rsid w:val="00711220"/>
    <w:rsid w:val="00711230"/>
    <w:rsid w:val="007126CD"/>
    <w:rsid w:val="007151E3"/>
    <w:rsid w:val="00715FC5"/>
    <w:rsid w:val="007171D1"/>
    <w:rsid w:val="00717C6B"/>
    <w:rsid w:val="00720E3A"/>
    <w:rsid w:val="00721CFF"/>
    <w:rsid w:val="007220B4"/>
    <w:rsid w:val="00726DCC"/>
    <w:rsid w:val="00730183"/>
    <w:rsid w:val="00732B31"/>
    <w:rsid w:val="0073407F"/>
    <w:rsid w:val="00734449"/>
    <w:rsid w:val="00742508"/>
    <w:rsid w:val="00742A17"/>
    <w:rsid w:val="00744AE2"/>
    <w:rsid w:val="007454C4"/>
    <w:rsid w:val="00745971"/>
    <w:rsid w:val="00746193"/>
    <w:rsid w:val="00747350"/>
    <w:rsid w:val="00750C2C"/>
    <w:rsid w:val="00751058"/>
    <w:rsid w:val="00753156"/>
    <w:rsid w:val="00754DF7"/>
    <w:rsid w:val="0075582F"/>
    <w:rsid w:val="00756C09"/>
    <w:rsid w:val="0075717C"/>
    <w:rsid w:val="00765170"/>
    <w:rsid w:val="00765F1B"/>
    <w:rsid w:val="00766512"/>
    <w:rsid w:val="007666DB"/>
    <w:rsid w:val="00773E30"/>
    <w:rsid w:val="00773E60"/>
    <w:rsid w:val="007763A1"/>
    <w:rsid w:val="007818AA"/>
    <w:rsid w:val="00782699"/>
    <w:rsid w:val="00790861"/>
    <w:rsid w:val="00793161"/>
    <w:rsid w:val="00793DAE"/>
    <w:rsid w:val="007961FB"/>
    <w:rsid w:val="00796588"/>
    <w:rsid w:val="007972A2"/>
    <w:rsid w:val="007A011D"/>
    <w:rsid w:val="007A49BC"/>
    <w:rsid w:val="007A738F"/>
    <w:rsid w:val="007A743E"/>
    <w:rsid w:val="007B03DF"/>
    <w:rsid w:val="007B15C2"/>
    <w:rsid w:val="007B25F5"/>
    <w:rsid w:val="007B3C77"/>
    <w:rsid w:val="007B4771"/>
    <w:rsid w:val="007B62CD"/>
    <w:rsid w:val="007B7F3D"/>
    <w:rsid w:val="007C7DB0"/>
    <w:rsid w:val="007D0DF4"/>
    <w:rsid w:val="007D586C"/>
    <w:rsid w:val="007D5EFB"/>
    <w:rsid w:val="007D75C8"/>
    <w:rsid w:val="007E0AB0"/>
    <w:rsid w:val="007E503D"/>
    <w:rsid w:val="007E6CF9"/>
    <w:rsid w:val="007F02ED"/>
    <w:rsid w:val="007F05C7"/>
    <w:rsid w:val="007F0BE5"/>
    <w:rsid w:val="007F2842"/>
    <w:rsid w:val="008001ED"/>
    <w:rsid w:val="00800253"/>
    <w:rsid w:val="00800A5D"/>
    <w:rsid w:val="00802182"/>
    <w:rsid w:val="00802E7D"/>
    <w:rsid w:val="00812DE4"/>
    <w:rsid w:val="0081440A"/>
    <w:rsid w:val="00814414"/>
    <w:rsid w:val="00816C71"/>
    <w:rsid w:val="0082243A"/>
    <w:rsid w:val="00824BBF"/>
    <w:rsid w:val="008250B1"/>
    <w:rsid w:val="008314E9"/>
    <w:rsid w:val="00833915"/>
    <w:rsid w:val="00835F68"/>
    <w:rsid w:val="00842117"/>
    <w:rsid w:val="008461EA"/>
    <w:rsid w:val="00851141"/>
    <w:rsid w:val="00852F1C"/>
    <w:rsid w:val="00856FBD"/>
    <w:rsid w:val="00861717"/>
    <w:rsid w:val="00865F04"/>
    <w:rsid w:val="00866983"/>
    <w:rsid w:val="008711E8"/>
    <w:rsid w:val="008718ED"/>
    <w:rsid w:val="00872DE6"/>
    <w:rsid w:val="008765CB"/>
    <w:rsid w:val="0088096F"/>
    <w:rsid w:val="00882DA2"/>
    <w:rsid w:val="00883675"/>
    <w:rsid w:val="00884402"/>
    <w:rsid w:val="008853EE"/>
    <w:rsid w:val="008949A4"/>
    <w:rsid w:val="008950CA"/>
    <w:rsid w:val="00895DC5"/>
    <w:rsid w:val="00897495"/>
    <w:rsid w:val="008A11B5"/>
    <w:rsid w:val="008A1533"/>
    <w:rsid w:val="008A2109"/>
    <w:rsid w:val="008A2B00"/>
    <w:rsid w:val="008B06F1"/>
    <w:rsid w:val="008B0F10"/>
    <w:rsid w:val="008B10F9"/>
    <w:rsid w:val="008B1222"/>
    <w:rsid w:val="008B15E1"/>
    <w:rsid w:val="008B495D"/>
    <w:rsid w:val="008B61EC"/>
    <w:rsid w:val="008B7C29"/>
    <w:rsid w:val="008C1C35"/>
    <w:rsid w:val="008C226D"/>
    <w:rsid w:val="008C3F27"/>
    <w:rsid w:val="008C6842"/>
    <w:rsid w:val="008D239E"/>
    <w:rsid w:val="008D2A8C"/>
    <w:rsid w:val="008D4331"/>
    <w:rsid w:val="008D4F0B"/>
    <w:rsid w:val="008D65FE"/>
    <w:rsid w:val="008D6730"/>
    <w:rsid w:val="008E7D8D"/>
    <w:rsid w:val="008F2872"/>
    <w:rsid w:val="008F4406"/>
    <w:rsid w:val="008F60EE"/>
    <w:rsid w:val="00900B46"/>
    <w:rsid w:val="00901DDC"/>
    <w:rsid w:val="00902A00"/>
    <w:rsid w:val="00904958"/>
    <w:rsid w:val="00905DEA"/>
    <w:rsid w:val="00911B88"/>
    <w:rsid w:val="00913EB1"/>
    <w:rsid w:val="00915451"/>
    <w:rsid w:val="009156E9"/>
    <w:rsid w:val="00917AFC"/>
    <w:rsid w:val="00920ED9"/>
    <w:rsid w:val="00920F24"/>
    <w:rsid w:val="00923539"/>
    <w:rsid w:val="00926D53"/>
    <w:rsid w:val="009276AE"/>
    <w:rsid w:val="009276DF"/>
    <w:rsid w:val="0092787D"/>
    <w:rsid w:val="00930CDB"/>
    <w:rsid w:val="00932DD5"/>
    <w:rsid w:val="00932DEC"/>
    <w:rsid w:val="009416CF"/>
    <w:rsid w:val="0094360B"/>
    <w:rsid w:val="00944478"/>
    <w:rsid w:val="0094560D"/>
    <w:rsid w:val="009477A4"/>
    <w:rsid w:val="0094791F"/>
    <w:rsid w:val="0095099A"/>
    <w:rsid w:val="00953ADC"/>
    <w:rsid w:val="00954500"/>
    <w:rsid w:val="0095586D"/>
    <w:rsid w:val="00961BB7"/>
    <w:rsid w:val="00962F2A"/>
    <w:rsid w:val="00964B23"/>
    <w:rsid w:val="00965D24"/>
    <w:rsid w:val="00966946"/>
    <w:rsid w:val="009709FD"/>
    <w:rsid w:val="00970AB2"/>
    <w:rsid w:val="0097167D"/>
    <w:rsid w:val="00972AC2"/>
    <w:rsid w:val="00973677"/>
    <w:rsid w:val="00974640"/>
    <w:rsid w:val="009777F9"/>
    <w:rsid w:val="00984493"/>
    <w:rsid w:val="00984E96"/>
    <w:rsid w:val="009860A9"/>
    <w:rsid w:val="00990914"/>
    <w:rsid w:val="00991E22"/>
    <w:rsid w:val="00992CB2"/>
    <w:rsid w:val="00992E81"/>
    <w:rsid w:val="009957AC"/>
    <w:rsid w:val="009A081C"/>
    <w:rsid w:val="009A0B4E"/>
    <w:rsid w:val="009A3107"/>
    <w:rsid w:val="009A70C7"/>
    <w:rsid w:val="009B1160"/>
    <w:rsid w:val="009B3CBD"/>
    <w:rsid w:val="009B5369"/>
    <w:rsid w:val="009B5620"/>
    <w:rsid w:val="009B6151"/>
    <w:rsid w:val="009B6B9C"/>
    <w:rsid w:val="009C10ED"/>
    <w:rsid w:val="009C1444"/>
    <w:rsid w:val="009C1A7E"/>
    <w:rsid w:val="009C3718"/>
    <w:rsid w:val="009C68CE"/>
    <w:rsid w:val="009C724A"/>
    <w:rsid w:val="009D09B7"/>
    <w:rsid w:val="009D241C"/>
    <w:rsid w:val="009D6915"/>
    <w:rsid w:val="009E12DA"/>
    <w:rsid w:val="009E3B46"/>
    <w:rsid w:val="009E4557"/>
    <w:rsid w:val="009E55F4"/>
    <w:rsid w:val="009E5A21"/>
    <w:rsid w:val="009F033A"/>
    <w:rsid w:val="009F4177"/>
    <w:rsid w:val="009F5AFD"/>
    <w:rsid w:val="00A01DB0"/>
    <w:rsid w:val="00A047EE"/>
    <w:rsid w:val="00A06517"/>
    <w:rsid w:val="00A07A05"/>
    <w:rsid w:val="00A10C9A"/>
    <w:rsid w:val="00A11B3F"/>
    <w:rsid w:val="00A11CA3"/>
    <w:rsid w:val="00A11D96"/>
    <w:rsid w:val="00A134D8"/>
    <w:rsid w:val="00A13986"/>
    <w:rsid w:val="00A172E8"/>
    <w:rsid w:val="00A17975"/>
    <w:rsid w:val="00A20F05"/>
    <w:rsid w:val="00A21B70"/>
    <w:rsid w:val="00A22BD2"/>
    <w:rsid w:val="00A240DD"/>
    <w:rsid w:val="00A241C4"/>
    <w:rsid w:val="00A24734"/>
    <w:rsid w:val="00A258BD"/>
    <w:rsid w:val="00A26E52"/>
    <w:rsid w:val="00A32DBD"/>
    <w:rsid w:val="00A34C70"/>
    <w:rsid w:val="00A3542C"/>
    <w:rsid w:val="00A36985"/>
    <w:rsid w:val="00A4177A"/>
    <w:rsid w:val="00A444FC"/>
    <w:rsid w:val="00A44D4B"/>
    <w:rsid w:val="00A451D3"/>
    <w:rsid w:val="00A4575C"/>
    <w:rsid w:val="00A45D11"/>
    <w:rsid w:val="00A47F74"/>
    <w:rsid w:val="00A50AA5"/>
    <w:rsid w:val="00A51B97"/>
    <w:rsid w:val="00A546C4"/>
    <w:rsid w:val="00A5557B"/>
    <w:rsid w:val="00A55C50"/>
    <w:rsid w:val="00A61A63"/>
    <w:rsid w:val="00A61F39"/>
    <w:rsid w:val="00A62CB9"/>
    <w:rsid w:val="00A653A3"/>
    <w:rsid w:val="00A65B52"/>
    <w:rsid w:val="00A7055B"/>
    <w:rsid w:val="00A70D72"/>
    <w:rsid w:val="00A737C8"/>
    <w:rsid w:val="00A73CB4"/>
    <w:rsid w:val="00A751F3"/>
    <w:rsid w:val="00A7522B"/>
    <w:rsid w:val="00A7667D"/>
    <w:rsid w:val="00A773FC"/>
    <w:rsid w:val="00A80B1F"/>
    <w:rsid w:val="00A81980"/>
    <w:rsid w:val="00A87009"/>
    <w:rsid w:val="00A87A34"/>
    <w:rsid w:val="00A902CC"/>
    <w:rsid w:val="00A90BBE"/>
    <w:rsid w:val="00A91506"/>
    <w:rsid w:val="00A929FA"/>
    <w:rsid w:val="00A92C58"/>
    <w:rsid w:val="00A944E7"/>
    <w:rsid w:val="00A94D8A"/>
    <w:rsid w:val="00A95D3E"/>
    <w:rsid w:val="00A97BAD"/>
    <w:rsid w:val="00AA0569"/>
    <w:rsid w:val="00AA0FA0"/>
    <w:rsid w:val="00AA13EC"/>
    <w:rsid w:val="00AA1CA9"/>
    <w:rsid w:val="00AA2680"/>
    <w:rsid w:val="00AA28BB"/>
    <w:rsid w:val="00AA35E3"/>
    <w:rsid w:val="00AA54BC"/>
    <w:rsid w:val="00AA72FE"/>
    <w:rsid w:val="00AA7AD5"/>
    <w:rsid w:val="00AB22B2"/>
    <w:rsid w:val="00AB26B1"/>
    <w:rsid w:val="00AB45DA"/>
    <w:rsid w:val="00AC0932"/>
    <w:rsid w:val="00AC5F97"/>
    <w:rsid w:val="00AD029C"/>
    <w:rsid w:val="00AD1A5A"/>
    <w:rsid w:val="00AD2E89"/>
    <w:rsid w:val="00AD32F0"/>
    <w:rsid w:val="00AE08D9"/>
    <w:rsid w:val="00AE12B7"/>
    <w:rsid w:val="00AE1633"/>
    <w:rsid w:val="00AE1F58"/>
    <w:rsid w:val="00AE2D9C"/>
    <w:rsid w:val="00AE2DA4"/>
    <w:rsid w:val="00AE2F01"/>
    <w:rsid w:val="00AE3017"/>
    <w:rsid w:val="00AE707E"/>
    <w:rsid w:val="00AF2478"/>
    <w:rsid w:val="00AF3F9D"/>
    <w:rsid w:val="00AF4226"/>
    <w:rsid w:val="00AF611F"/>
    <w:rsid w:val="00AF64B6"/>
    <w:rsid w:val="00AF754B"/>
    <w:rsid w:val="00AF785B"/>
    <w:rsid w:val="00B009F6"/>
    <w:rsid w:val="00B011D9"/>
    <w:rsid w:val="00B0176A"/>
    <w:rsid w:val="00B01799"/>
    <w:rsid w:val="00B02610"/>
    <w:rsid w:val="00B05921"/>
    <w:rsid w:val="00B0663A"/>
    <w:rsid w:val="00B079BA"/>
    <w:rsid w:val="00B11DB2"/>
    <w:rsid w:val="00B12D0B"/>
    <w:rsid w:val="00B13892"/>
    <w:rsid w:val="00B13ADE"/>
    <w:rsid w:val="00B13EBE"/>
    <w:rsid w:val="00B145B5"/>
    <w:rsid w:val="00B1525E"/>
    <w:rsid w:val="00B15B86"/>
    <w:rsid w:val="00B1651B"/>
    <w:rsid w:val="00B21342"/>
    <w:rsid w:val="00B242B0"/>
    <w:rsid w:val="00B265B8"/>
    <w:rsid w:val="00B278B2"/>
    <w:rsid w:val="00B34AB8"/>
    <w:rsid w:val="00B35067"/>
    <w:rsid w:val="00B376AE"/>
    <w:rsid w:val="00B406F2"/>
    <w:rsid w:val="00B42752"/>
    <w:rsid w:val="00B43A9B"/>
    <w:rsid w:val="00B446F4"/>
    <w:rsid w:val="00B506CB"/>
    <w:rsid w:val="00B5166D"/>
    <w:rsid w:val="00B54898"/>
    <w:rsid w:val="00B54CAE"/>
    <w:rsid w:val="00B55A07"/>
    <w:rsid w:val="00B57A98"/>
    <w:rsid w:val="00B60AD7"/>
    <w:rsid w:val="00B627AB"/>
    <w:rsid w:val="00B6335F"/>
    <w:rsid w:val="00B67D3F"/>
    <w:rsid w:val="00B71A67"/>
    <w:rsid w:val="00B71AC2"/>
    <w:rsid w:val="00B7451F"/>
    <w:rsid w:val="00B758A8"/>
    <w:rsid w:val="00B7590C"/>
    <w:rsid w:val="00B75ACA"/>
    <w:rsid w:val="00B76599"/>
    <w:rsid w:val="00B76FB8"/>
    <w:rsid w:val="00B7782A"/>
    <w:rsid w:val="00B8045F"/>
    <w:rsid w:val="00B80DCE"/>
    <w:rsid w:val="00B82C37"/>
    <w:rsid w:val="00B85018"/>
    <w:rsid w:val="00B85811"/>
    <w:rsid w:val="00B90761"/>
    <w:rsid w:val="00B91E5E"/>
    <w:rsid w:val="00B93ADD"/>
    <w:rsid w:val="00B93CEB"/>
    <w:rsid w:val="00B93DDD"/>
    <w:rsid w:val="00B94464"/>
    <w:rsid w:val="00B95E11"/>
    <w:rsid w:val="00BA4B79"/>
    <w:rsid w:val="00BA507B"/>
    <w:rsid w:val="00BA61D3"/>
    <w:rsid w:val="00BA7745"/>
    <w:rsid w:val="00BB09A2"/>
    <w:rsid w:val="00BB0BB5"/>
    <w:rsid w:val="00BB1136"/>
    <w:rsid w:val="00BB195A"/>
    <w:rsid w:val="00BB31B5"/>
    <w:rsid w:val="00BB53C0"/>
    <w:rsid w:val="00BC3145"/>
    <w:rsid w:val="00BC335B"/>
    <w:rsid w:val="00BC3559"/>
    <w:rsid w:val="00BD0642"/>
    <w:rsid w:val="00BD1F9E"/>
    <w:rsid w:val="00BD2154"/>
    <w:rsid w:val="00BD4038"/>
    <w:rsid w:val="00BD606B"/>
    <w:rsid w:val="00BD6DAA"/>
    <w:rsid w:val="00BD73A3"/>
    <w:rsid w:val="00BE584E"/>
    <w:rsid w:val="00BE7356"/>
    <w:rsid w:val="00BF20F0"/>
    <w:rsid w:val="00BF29B4"/>
    <w:rsid w:val="00BF30A3"/>
    <w:rsid w:val="00BF3140"/>
    <w:rsid w:val="00BF3BA3"/>
    <w:rsid w:val="00BF6CBF"/>
    <w:rsid w:val="00BF7B2D"/>
    <w:rsid w:val="00C021E6"/>
    <w:rsid w:val="00C06379"/>
    <w:rsid w:val="00C07006"/>
    <w:rsid w:val="00C07D2D"/>
    <w:rsid w:val="00C102AA"/>
    <w:rsid w:val="00C10ED9"/>
    <w:rsid w:val="00C11520"/>
    <w:rsid w:val="00C11C22"/>
    <w:rsid w:val="00C13F06"/>
    <w:rsid w:val="00C1411B"/>
    <w:rsid w:val="00C165A7"/>
    <w:rsid w:val="00C176EC"/>
    <w:rsid w:val="00C2058B"/>
    <w:rsid w:val="00C20F3F"/>
    <w:rsid w:val="00C21B21"/>
    <w:rsid w:val="00C2286B"/>
    <w:rsid w:val="00C27A8C"/>
    <w:rsid w:val="00C34C05"/>
    <w:rsid w:val="00C352F8"/>
    <w:rsid w:val="00C42145"/>
    <w:rsid w:val="00C51AA8"/>
    <w:rsid w:val="00C52963"/>
    <w:rsid w:val="00C532A9"/>
    <w:rsid w:val="00C53CFB"/>
    <w:rsid w:val="00C548AF"/>
    <w:rsid w:val="00C648F2"/>
    <w:rsid w:val="00C65E47"/>
    <w:rsid w:val="00C668B9"/>
    <w:rsid w:val="00C73216"/>
    <w:rsid w:val="00C74255"/>
    <w:rsid w:val="00C743CB"/>
    <w:rsid w:val="00C74ED0"/>
    <w:rsid w:val="00C81CF2"/>
    <w:rsid w:val="00C856B9"/>
    <w:rsid w:val="00C87713"/>
    <w:rsid w:val="00C90EEF"/>
    <w:rsid w:val="00C91FD8"/>
    <w:rsid w:val="00C92C01"/>
    <w:rsid w:val="00C94A23"/>
    <w:rsid w:val="00C94EC2"/>
    <w:rsid w:val="00C96185"/>
    <w:rsid w:val="00C9658C"/>
    <w:rsid w:val="00CA154E"/>
    <w:rsid w:val="00CA16F0"/>
    <w:rsid w:val="00CA1BB1"/>
    <w:rsid w:val="00CA2786"/>
    <w:rsid w:val="00CA40F8"/>
    <w:rsid w:val="00CA51FE"/>
    <w:rsid w:val="00CA5C53"/>
    <w:rsid w:val="00CB666E"/>
    <w:rsid w:val="00CB6947"/>
    <w:rsid w:val="00CC1B87"/>
    <w:rsid w:val="00CC455F"/>
    <w:rsid w:val="00CC53BD"/>
    <w:rsid w:val="00CC627B"/>
    <w:rsid w:val="00CC640B"/>
    <w:rsid w:val="00CC6C9F"/>
    <w:rsid w:val="00CC742C"/>
    <w:rsid w:val="00CD007C"/>
    <w:rsid w:val="00CD1018"/>
    <w:rsid w:val="00CD1F07"/>
    <w:rsid w:val="00CD43BC"/>
    <w:rsid w:val="00CD5133"/>
    <w:rsid w:val="00CD6B2B"/>
    <w:rsid w:val="00CD7E66"/>
    <w:rsid w:val="00CE0F4B"/>
    <w:rsid w:val="00CE26EF"/>
    <w:rsid w:val="00CE4975"/>
    <w:rsid w:val="00CE5DAD"/>
    <w:rsid w:val="00CE7D2C"/>
    <w:rsid w:val="00CF3933"/>
    <w:rsid w:val="00CF4205"/>
    <w:rsid w:val="00CF4803"/>
    <w:rsid w:val="00CF4C10"/>
    <w:rsid w:val="00CF6511"/>
    <w:rsid w:val="00CF73A1"/>
    <w:rsid w:val="00D03C3E"/>
    <w:rsid w:val="00D045FC"/>
    <w:rsid w:val="00D05611"/>
    <w:rsid w:val="00D05C19"/>
    <w:rsid w:val="00D06FF1"/>
    <w:rsid w:val="00D07D5C"/>
    <w:rsid w:val="00D12121"/>
    <w:rsid w:val="00D1350E"/>
    <w:rsid w:val="00D13E02"/>
    <w:rsid w:val="00D14576"/>
    <w:rsid w:val="00D15772"/>
    <w:rsid w:val="00D15E23"/>
    <w:rsid w:val="00D15E9B"/>
    <w:rsid w:val="00D209B1"/>
    <w:rsid w:val="00D23210"/>
    <w:rsid w:val="00D25611"/>
    <w:rsid w:val="00D25A6D"/>
    <w:rsid w:val="00D261DB"/>
    <w:rsid w:val="00D26A97"/>
    <w:rsid w:val="00D3116D"/>
    <w:rsid w:val="00D35BED"/>
    <w:rsid w:val="00D35C5E"/>
    <w:rsid w:val="00D376A5"/>
    <w:rsid w:val="00D418FB"/>
    <w:rsid w:val="00D43E31"/>
    <w:rsid w:val="00D448B0"/>
    <w:rsid w:val="00D4647E"/>
    <w:rsid w:val="00D503EE"/>
    <w:rsid w:val="00D508CE"/>
    <w:rsid w:val="00D543A4"/>
    <w:rsid w:val="00D57867"/>
    <w:rsid w:val="00D64CBC"/>
    <w:rsid w:val="00D65F96"/>
    <w:rsid w:val="00D66F82"/>
    <w:rsid w:val="00D705C5"/>
    <w:rsid w:val="00D7101B"/>
    <w:rsid w:val="00D72E9E"/>
    <w:rsid w:val="00D74CE9"/>
    <w:rsid w:val="00D7634A"/>
    <w:rsid w:val="00D7652A"/>
    <w:rsid w:val="00D769F0"/>
    <w:rsid w:val="00D77AE1"/>
    <w:rsid w:val="00D82C00"/>
    <w:rsid w:val="00D84C44"/>
    <w:rsid w:val="00D85AED"/>
    <w:rsid w:val="00D876CC"/>
    <w:rsid w:val="00D87B9C"/>
    <w:rsid w:val="00D92D16"/>
    <w:rsid w:val="00D96F6A"/>
    <w:rsid w:val="00DA24B9"/>
    <w:rsid w:val="00DA5961"/>
    <w:rsid w:val="00DA6239"/>
    <w:rsid w:val="00DA741F"/>
    <w:rsid w:val="00DA7E17"/>
    <w:rsid w:val="00DB520B"/>
    <w:rsid w:val="00DB54ED"/>
    <w:rsid w:val="00DB6FE4"/>
    <w:rsid w:val="00DC151A"/>
    <w:rsid w:val="00DC15DE"/>
    <w:rsid w:val="00DC4BC0"/>
    <w:rsid w:val="00DC722F"/>
    <w:rsid w:val="00DD060E"/>
    <w:rsid w:val="00DD321C"/>
    <w:rsid w:val="00DD4F00"/>
    <w:rsid w:val="00DE0AB0"/>
    <w:rsid w:val="00DE2F89"/>
    <w:rsid w:val="00DE3838"/>
    <w:rsid w:val="00DE4430"/>
    <w:rsid w:val="00DE698A"/>
    <w:rsid w:val="00DF024F"/>
    <w:rsid w:val="00DF0CCA"/>
    <w:rsid w:val="00DF1E58"/>
    <w:rsid w:val="00DF2174"/>
    <w:rsid w:val="00DF4EF4"/>
    <w:rsid w:val="00DF55D9"/>
    <w:rsid w:val="00DF6723"/>
    <w:rsid w:val="00DF73BC"/>
    <w:rsid w:val="00E0545E"/>
    <w:rsid w:val="00E06FAE"/>
    <w:rsid w:val="00E07FE9"/>
    <w:rsid w:val="00E1268C"/>
    <w:rsid w:val="00E13486"/>
    <w:rsid w:val="00E157F7"/>
    <w:rsid w:val="00E21224"/>
    <w:rsid w:val="00E22DCE"/>
    <w:rsid w:val="00E267B5"/>
    <w:rsid w:val="00E30878"/>
    <w:rsid w:val="00E3393C"/>
    <w:rsid w:val="00E3431A"/>
    <w:rsid w:val="00E40B01"/>
    <w:rsid w:val="00E44738"/>
    <w:rsid w:val="00E46AA1"/>
    <w:rsid w:val="00E47E75"/>
    <w:rsid w:val="00E5407F"/>
    <w:rsid w:val="00E54AD7"/>
    <w:rsid w:val="00E574AA"/>
    <w:rsid w:val="00E60BB6"/>
    <w:rsid w:val="00E60CB0"/>
    <w:rsid w:val="00E62BA0"/>
    <w:rsid w:val="00E63615"/>
    <w:rsid w:val="00E63A91"/>
    <w:rsid w:val="00E64B35"/>
    <w:rsid w:val="00E64FC7"/>
    <w:rsid w:val="00E72840"/>
    <w:rsid w:val="00E7296E"/>
    <w:rsid w:val="00E72D3E"/>
    <w:rsid w:val="00E73308"/>
    <w:rsid w:val="00E73BAE"/>
    <w:rsid w:val="00E75431"/>
    <w:rsid w:val="00E770DA"/>
    <w:rsid w:val="00E777BE"/>
    <w:rsid w:val="00E805BF"/>
    <w:rsid w:val="00E9141A"/>
    <w:rsid w:val="00E926A5"/>
    <w:rsid w:val="00E928E3"/>
    <w:rsid w:val="00E94A31"/>
    <w:rsid w:val="00E95961"/>
    <w:rsid w:val="00E97DD5"/>
    <w:rsid w:val="00EA1595"/>
    <w:rsid w:val="00EA3A98"/>
    <w:rsid w:val="00EA4FBC"/>
    <w:rsid w:val="00EA6644"/>
    <w:rsid w:val="00EA7D3F"/>
    <w:rsid w:val="00EB13BB"/>
    <w:rsid w:val="00EB2F5E"/>
    <w:rsid w:val="00EB3B64"/>
    <w:rsid w:val="00EB6587"/>
    <w:rsid w:val="00EB6A2A"/>
    <w:rsid w:val="00EB70A1"/>
    <w:rsid w:val="00EB70CA"/>
    <w:rsid w:val="00EC12AA"/>
    <w:rsid w:val="00EC1DB7"/>
    <w:rsid w:val="00EC37A2"/>
    <w:rsid w:val="00EC491B"/>
    <w:rsid w:val="00ED0D12"/>
    <w:rsid w:val="00ED319A"/>
    <w:rsid w:val="00ED37F8"/>
    <w:rsid w:val="00ED3BEE"/>
    <w:rsid w:val="00ED4AA1"/>
    <w:rsid w:val="00EE2B05"/>
    <w:rsid w:val="00EE3085"/>
    <w:rsid w:val="00EE4DBC"/>
    <w:rsid w:val="00EE782A"/>
    <w:rsid w:val="00EE78B1"/>
    <w:rsid w:val="00EF08B9"/>
    <w:rsid w:val="00EF0D08"/>
    <w:rsid w:val="00EF0DFA"/>
    <w:rsid w:val="00EF1842"/>
    <w:rsid w:val="00EF247A"/>
    <w:rsid w:val="00EF5D9C"/>
    <w:rsid w:val="00EF61E5"/>
    <w:rsid w:val="00F010C1"/>
    <w:rsid w:val="00F029E7"/>
    <w:rsid w:val="00F02F4C"/>
    <w:rsid w:val="00F042EF"/>
    <w:rsid w:val="00F045B0"/>
    <w:rsid w:val="00F045B2"/>
    <w:rsid w:val="00F06FDE"/>
    <w:rsid w:val="00F078ED"/>
    <w:rsid w:val="00F1152D"/>
    <w:rsid w:val="00F119D2"/>
    <w:rsid w:val="00F14CA8"/>
    <w:rsid w:val="00F15FC3"/>
    <w:rsid w:val="00F226C2"/>
    <w:rsid w:val="00F272F8"/>
    <w:rsid w:val="00F27BE6"/>
    <w:rsid w:val="00F32FD1"/>
    <w:rsid w:val="00F3418F"/>
    <w:rsid w:val="00F349FA"/>
    <w:rsid w:val="00F46944"/>
    <w:rsid w:val="00F46C88"/>
    <w:rsid w:val="00F46CE6"/>
    <w:rsid w:val="00F46F2A"/>
    <w:rsid w:val="00F4708B"/>
    <w:rsid w:val="00F47C81"/>
    <w:rsid w:val="00F47CE3"/>
    <w:rsid w:val="00F50182"/>
    <w:rsid w:val="00F54A0A"/>
    <w:rsid w:val="00F5772F"/>
    <w:rsid w:val="00F632D6"/>
    <w:rsid w:val="00F633FE"/>
    <w:rsid w:val="00F635BD"/>
    <w:rsid w:val="00F70890"/>
    <w:rsid w:val="00F70A61"/>
    <w:rsid w:val="00F720DD"/>
    <w:rsid w:val="00F777CB"/>
    <w:rsid w:val="00F77BB6"/>
    <w:rsid w:val="00F8004F"/>
    <w:rsid w:val="00F806E1"/>
    <w:rsid w:val="00F80E0A"/>
    <w:rsid w:val="00F81DD7"/>
    <w:rsid w:val="00F82763"/>
    <w:rsid w:val="00F84EA9"/>
    <w:rsid w:val="00F85197"/>
    <w:rsid w:val="00F87C1D"/>
    <w:rsid w:val="00F916D7"/>
    <w:rsid w:val="00F927FF"/>
    <w:rsid w:val="00F9346E"/>
    <w:rsid w:val="00F936E0"/>
    <w:rsid w:val="00F94495"/>
    <w:rsid w:val="00F963BB"/>
    <w:rsid w:val="00F96BC3"/>
    <w:rsid w:val="00F96FAA"/>
    <w:rsid w:val="00FA1464"/>
    <w:rsid w:val="00FA1A56"/>
    <w:rsid w:val="00FA2A05"/>
    <w:rsid w:val="00FA4A27"/>
    <w:rsid w:val="00FA4D76"/>
    <w:rsid w:val="00FA548D"/>
    <w:rsid w:val="00FA7B05"/>
    <w:rsid w:val="00FB0956"/>
    <w:rsid w:val="00FB2680"/>
    <w:rsid w:val="00FB4785"/>
    <w:rsid w:val="00FB5178"/>
    <w:rsid w:val="00FC0EB9"/>
    <w:rsid w:val="00FC1ADD"/>
    <w:rsid w:val="00FC5DB8"/>
    <w:rsid w:val="00FC5EE9"/>
    <w:rsid w:val="00FC7DE6"/>
    <w:rsid w:val="00FD2F4A"/>
    <w:rsid w:val="00FD2F86"/>
    <w:rsid w:val="00FD34FF"/>
    <w:rsid w:val="00FD496F"/>
    <w:rsid w:val="00FD4B7A"/>
    <w:rsid w:val="00FD6634"/>
    <w:rsid w:val="00FD7F27"/>
    <w:rsid w:val="00FE2345"/>
    <w:rsid w:val="00FE2DDE"/>
    <w:rsid w:val="00FE2FB7"/>
    <w:rsid w:val="00FE4181"/>
    <w:rsid w:val="00FE7CC1"/>
    <w:rsid w:val="00FF2B15"/>
    <w:rsid w:val="00FF56D9"/>
    <w:rsid w:val="00FF7B0D"/>
    <w:rsid w:val="020446FE"/>
    <w:rsid w:val="024159EA"/>
    <w:rsid w:val="04030F36"/>
    <w:rsid w:val="05DE3534"/>
    <w:rsid w:val="0677688D"/>
    <w:rsid w:val="06F7342C"/>
    <w:rsid w:val="072E6A42"/>
    <w:rsid w:val="07854B07"/>
    <w:rsid w:val="08A129FB"/>
    <w:rsid w:val="08D330F5"/>
    <w:rsid w:val="090645B2"/>
    <w:rsid w:val="09E22693"/>
    <w:rsid w:val="0A1C221E"/>
    <w:rsid w:val="0AE75B3C"/>
    <w:rsid w:val="0B5767DB"/>
    <w:rsid w:val="0BD7170D"/>
    <w:rsid w:val="0C765CDB"/>
    <w:rsid w:val="0D35493D"/>
    <w:rsid w:val="0D8C262F"/>
    <w:rsid w:val="0DAD2ABC"/>
    <w:rsid w:val="0DB317B6"/>
    <w:rsid w:val="0DCB7DA1"/>
    <w:rsid w:val="0DCD0BA9"/>
    <w:rsid w:val="0F15401A"/>
    <w:rsid w:val="0F426F80"/>
    <w:rsid w:val="0F6E05DA"/>
    <w:rsid w:val="10B730C3"/>
    <w:rsid w:val="1186690F"/>
    <w:rsid w:val="123A4D91"/>
    <w:rsid w:val="14DA401C"/>
    <w:rsid w:val="150B1006"/>
    <w:rsid w:val="152167AD"/>
    <w:rsid w:val="15296EA6"/>
    <w:rsid w:val="16195E34"/>
    <w:rsid w:val="17C22912"/>
    <w:rsid w:val="17EA72F4"/>
    <w:rsid w:val="184E2ECF"/>
    <w:rsid w:val="18D93032"/>
    <w:rsid w:val="1909257E"/>
    <w:rsid w:val="190E5054"/>
    <w:rsid w:val="192C2FE8"/>
    <w:rsid w:val="1982397C"/>
    <w:rsid w:val="1A76014D"/>
    <w:rsid w:val="1A9878BD"/>
    <w:rsid w:val="1B3E12F9"/>
    <w:rsid w:val="1B7E2F6B"/>
    <w:rsid w:val="1BD9176D"/>
    <w:rsid w:val="1BE96BCA"/>
    <w:rsid w:val="1BF82F65"/>
    <w:rsid w:val="1C0876C1"/>
    <w:rsid w:val="1CA6732F"/>
    <w:rsid w:val="1D167A29"/>
    <w:rsid w:val="1D615D1F"/>
    <w:rsid w:val="1E1C7EAE"/>
    <w:rsid w:val="1E723EEB"/>
    <w:rsid w:val="1ED23966"/>
    <w:rsid w:val="1EDD6BE3"/>
    <w:rsid w:val="1FCE6C05"/>
    <w:rsid w:val="20237A1F"/>
    <w:rsid w:val="20740F7E"/>
    <w:rsid w:val="20B22B85"/>
    <w:rsid w:val="217167EC"/>
    <w:rsid w:val="2181015B"/>
    <w:rsid w:val="21971090"/>
    <w:rsid w:val="21BA1D62"/>
    <w:rsid w:val="22696FF6"/>
    <w:rsid w:val="228757E3"/>
    <w:rsid w:val="22C96044"/>
    <w:rsid w:val="232173AC"/>
    <w:rsid w:val="241D3FC4"/>
    <w:rsid w:val="248672D7"/>
    <w:rsid w:val="24881D5B"/>
    <w:rsid w:val="248B7965"/>
    <w:rsid w:val="24E40214"/>
    <w:rsid w:val="256D1A1C"/>
    <w:rsid w:val="25E20F82"/>
    <w:rsid w:val="26213859"/>
    <w:rsid w:val="27463747"/>
    <w:rsid w:val="275F3BF0"/>
    <w:rsid w:val="276E6D9A"/>
    <w:rsid w:val="27AD0488"/>
    <w:rsid w:val="27D25752"/>
    <w:rsid w:val="285048C9"/>
    <w:rsid w:val="2860478A"/>
    <w:rsid w:val="288647AD"/>
    <w:rsid w:val="289C0AAB"/>
    <w:rsid w:val="28BF0A1C"/>
    <w:rsid w:val="29047D0C"/>
    <w:rsid w:val="294C32E2"/>
    <w:rsid w:val="2B4A2FA1"/>
    <w:rsid w:val="2B580380"/>
    <w:rsid w:val="2B986607"/>
    <w:rsid w:val="2BA76E97"/>
    <w:rsid w:val="2C3E0FC6"/>
    <w:rsid w:val="2CE21855"/>
    <w:rsid w:val="2D54790D"/>
    <w:rsid w:val="2E613A35"/>
    <w:rsid w:val="2ED20533"/>
    <w:rsid w:val="2F9401B9"/>
    <w:rsid w:val="301D6D58"/>
    <w:rsid w:val="309E05E4"/>
    <w:rsid w:val="31643F9A"/>
    <w:rsid w:val="31791627"/>
    <w:rsid w:val="31881278"/>
    <w:rsid w:val="31D2754C"/>
    <w:rsid w:val="321E1594"/>
    <w:rsid w:val="32870EE7"/>
    <w:rsid w:val="32AC08B4"/>
    <w:rsid w:val="33541711"/>
    <w:rsid w:val="33EF0554"/>
    <w:rsid w:val="34291E58"/>
    <w:rsid w:val="359B2B62"/>
    <w:rsid w:val="359E706C"/>
    <w:rsid w:val="363C540D"/>
    <w:rsid w:val="36E34A7C"/>
    <w:rsid w:val="37405145"/>
    <w:rsid w:val="380D3A26"/>
    <w:rsid w:val="38B5725D"/>
    <w:rsid w:val="39BE5E7B"/>
    <w:rsid w:val="39CF19D0"/>
    <w:rsid w:val="39DD6A51"/>
    <w:rsid w:val="3A192D6D"/>
    <w:rsid w:val="3A3F15D4"/>
    <w:rsid w:val="3A540249"/>
    <w:rsid w:val="3AEA2BCC"/>
    <w:rsid w:val="3B673FF1"/>
    <w:rsid w:val="3BD279E5"/>
    <w:rsid w:val="3C4F4193"/>
    <w:rsid w:val="3C57162F"/>
    <w:rsid w:val="3C575DCE"/>
    <w:rsid w:val="3D542577"/>
    <w:rsid w:val="3DEE62BF"/>
    <w:rsid w:val="3EE37DED"/>
    <w:rsid w:val="3F4168C2"/>
    <w:rsid w:val="3F5B1912"/>
    <w:rsid w:val="3FF7DEF7"/>
    <w:rsid w:val="402A7065"/>
    <w:rsid w:val="408D0011"/>
    <w:rsid w:val="40B06A01"/>
    <w:rsid w:val="40D5220D"/>
    <w:rsid w:val="41A551E2"/>
    <w:rsid w:val="41AA0C24"/>
    <w:rsid w:val="41B8730F"/>
    <w:rsid w:val="427818B1"/>
    <w:rsid w:val="42820C80"/>
    <w:rsid w:val="42AA5FDC"/>
    <w:rsid w:val="42FB078D"/>
    <w:rsid w:val="430C27DB"/>
    <w:rsid w:val="437A468B"/>
    <w:rsid w:val="43AC07ED"/>
    <w:rsid w:val="43BF29D2"/>
    <w:rsid w:val="44A94899"/>
    <w:rsid w:val="45037BFB"/>
    <w:rsid w:val="45657D05"/>
    <w:rsid w:val="45784BAC"/>
    <w:rsid w:val="46C72405"/>
    <w:rsid w:val="46F52DA3"/>
    <w:rsid w:val="47AF6ABF"/>
    <w:rsid w:val="480A10E3"/>
    <w:rsid w:val="484E644F"/>
    <w:rsid w:val="486E6BA6"/>
    <w:rsid w:val="48F662EB"/>
    <w:rsid w:val="49131EFD"/>
    <w:rsid w:val="4B8F66C4"/>
    <w:rsid w:val="4BF22603"/>
    <w:rsid w:val="4C215AB1"/>
    <w:rsid w:val="4CFD651E"/>
    <w:rsid w:val="4E2C309E"/>
    <w:rsid w:val="4EBA5ACA"/>
    <w:rsid w:val="4FA5016E"/>
    <w:rsid w:val="4FC357FD"/>
    <w:rsid w:val="50BF32D2"/>
    <w:rsid w:val="50C75CD0"/>
    <w:rsid w:val="510907CB"/>
    <w:rsid w:val="516920B0"/>
    <w:rsid w:val="51894260"/>
    <w:rsid w:val="5273095F"/>
    <w:rsid w:val="52847939"/>
    <w:rsid w:val="52AE420B"/>
    <w:rsid w:val="52B0193D"/>
    <w:rsid w:val="52F7EA02"/>
    <w:rsid w:val="53A019B1"/>
    <w:rsid w:val="53D654FE"/>
    <w:rsid w:val="554507D0"/>
    <w:rsid w:val="56505911"/>
    <w:rsid w:val="56F1769A"/>
    <w:rsid w:val="57031E01"/>
    <w:rsid w:val="575E5175"/>
    <w:rsid w:val="579C6568"/>
    <w:rsid w:val="57A95DD5"/>
    <w:rsid w:val="57DE7B88"/>
    <w:rsid w:val="589A5CE1"/>
    <w:rsid w:val="594F6851"/>
    <w:rsid w:val="598F305B"/>
    <w:rsid w:val="59C665A2"/>
    <w:rsid w:val="59C73735"/>
    <w:rsid w:val="5A346A52"/>
    <w:rsid w:val="5A383EE8"/>
    <w:rsid w:val="5A7E4720"/>
    <w:rsid w:val="5AF7078F"/>
    <w:rsid w:val="5AFF3461"/>
    <w:rsid w:val="5B0D0AB3"/>
    <w:rsid w:val="5C1B4A76"/>
    <w:rsid w:val="5D595DD4"/>
    <w:rsid w:val="5D680589"/>
    <w:rsid w:val="5FB73C4E"/>
    <w:rsid w:val="5FBF79A9"/>
    <w:rsid w:val="60C95EC8"/>
    <w:rsid w:val="60EC275E"/>
    <w:rsid w:val="61DC62AA"/>
    <w:rsid w:val="62742987"/>
    <w:rsid w:val="64530CC5"/>
    <w:rsid w:val="647C76E9"/>
    <w:rsid w:val="64AA298F"/>
    <w:rsid w:val="65820354"/>
    <w:rsid w:val="65C13A3B"/>
    <w:rsid w:val="66462079"/>
    <w:rsid w:val="66703465"/>
    <w:rsid w:val="66F4333B"/>
    <w:rsid w:val="674212A6"/>
    <w:rsid w:val="685E79F6"/>
    <w:rsid w:val="68B10DA4"/>
    <w:rsid w:val="6919493F"/>
    <w:rsid w:val="6949563F"/>
    <w:rsid w:val="696574CD"/>
    <w:rsid w:val="69954C8F"/>
    <w:rsid w:val="69AA114D"/>
    <w:rsid w:val="69DD1606"/>
    <w:rsid w:val="69ED0DDA"/>
    <w:rsid w:val="6A02490D"/>
    <w:rsid w:val="6A1A13F7"/>
    <w:rsid w:val="6AC157DC"/>
    <w:rsid w:val="6B83504C"/>
    <w:rsid w:val="6B8B617D"/>
    <w:rsid w:val="6BCC53C4"/>
    <w:rsid w:val="6C581646"/>
    <w:rsid w:val="6CFF52B7"/>
    <w:rsid w:val="6D533615"/>
    <w:rsid w:val="6D650717"/>
    <w:rsid w:val="6D8F68C7"/>
    <w:rsid w:val="6DA00AD4"/>
    <w:rsid w:val="6DDF1163"/>
    <w:rsid w:val="6E5D4C17"/>
    <w:rsid w:val="6EEA3674"/>
    <w:rsid w:val="6F28052F"/>
    <w:rsid w:val="6F5E0B28"/>
    <w:rsid w:val="6FB72105"/>
    <w:rsid w:val="70576019"/>
    <w:rsid w:val="71954287"/>
    <w:rsid w:val="723132F1"/>
    <w:rsid w:val="7252177C"/>
    <w:rsid w:val="7312398D"/>
    <w:rsid w:val="73983E56"/>
    <w:rsid w:val="73CF1ACA"/>
    <w:rsid w:val="73E26B0B"/>
    <w:rsid w:val="73FEB800"/>
    <w:rsid w:val="740865B0"/>
    <w:rsid w:val="742F5427"/>
    <w:rsid w:val="743E3C42"/>
    <w:rsid w:val="748850B7"/>
    <w:rsid w:val="74AC5FB0"/>
    <w:rsid w:val="74B7279C"/>
    <w:rsid w:val="74F9361A"/>
    <w:rsid w:val="755633E4"/>
    <w:rsid w:val="757C05E6"/>
    <w:rsid w:val="762E413B"/>
    <w:rsid w:val="76C1321E"/>
    <w:rsid w:val="76DD5829"/>
    <w:rsid w:val="76F92440"/>
    <w:rsid w:val="77C96862"/>
    <w:rsid w:val="77E22DFA"/>
    <w:rsid w:val="7820794F"/>
    <w:rsid w:val="78262BC8"/>
    <w:rsid w:val="7879203E"/>
    <w:rsid w:val="7A210825"/>
    <w:rsid w:val="7AEE23EE"/>
    <w:rsid w:val="7B1E2B1A"/>
    <w:rsid w:val="7C8D6FAA"/>
    <w:rsid w:val="7CA3401E"/>
    <w:rsid w:val="7CA349C7"/>
    <w:rsid w:val="7DF01C1F"/>
    <w:rsid w:val="7EA753A4"/>
    <w:rsid w:val="7EDF0647"/>
    <w:rsid w:val="7F697C8B"/>
    <w:rsid w:val="7FDB66C4"/>
    <w:rsid w:val="7FFDA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3A501A3"/>
  <w15:docId w15:val="{76291B5C-2FE4-44BF-A2ED-6C396E81C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2" w:qFormat="1"/>
    <w:lsdException w:name="heading 2" w:uiPriority="2" w:qFormat="1"/>
    <w:lsdException w:name="heading 3" w:uiPriority="2" w:qFormat="1"/>
    <w:lsdException w:name="heading 4" w:uiPriority="2" w:unhideWhenUsed="1" w:qFormat="1"/>
    <w:lsdException w:name="heading 5" w:uiPriority="2"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annotation text" w:qFormat="1"/>
    <w:lsdException w:name="header" w:uiPriority="99" w:qFormat="1"/>
    <w:lsdException w:name="footer" w:uiPriority="99" w:qFormat="1"/>
    <w:lsdException w:name="caption" w:semiHidden="1" w:unhideWhenUsed="1" w:qFormat="1"/>
    <w:lsdException w:name="footnote reference" w:qFormat="1"/>
    <w:lsdException w:name="annotation reference" w:qFormat="1"/>
    <w:lsdException w:name="line number" w:qFormat="1"/>
    <w:lsdException w:name="endnote reference" w:qFormat="1"/>
    <w:lsdException w:name="endnote text" w:qFormat="1"/>
    <w:lsdException w:name="Title" w:qFormat="1"/>
    <w:lsdException w:name="Default Paragraph Font" w:semiHidden="1" w:uiPriority="1" w:unhideWhenUsed="1" w:qFormat="1"/>
    <w:lsdException w:name="Subtitle" w:qFormat="1"/>
    <w:lsdException w:name="Dat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lang w:eastAsia="zh-CN"/>
    </w:rPr>
  </w:style>
  <w:style w:type="paragraph" w:styleId="Heading1">
    <w:name w:val="heading 1"/>
    <w:basedOn w:val="Normal"/>
    <w:next w:val="Normal"/>
    <w:link w:val="Heading1Char"/>
    <w:uiPriority w:val="2"/>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Heading1"/>
    <w:next w:val="Normal"/>
    <w:link w:val="Heading2Char"/>
    <w:uiPriority w:val="2"/>
    <w:qFormat/>
    <w:pPr>
      <w:keepNext w:val="0"/>
      <w:keepLines w:val="0"/>
      <w:widowControl/>
      <w:tabs>
        <w:tab w:val="left" w:pos="567"/>
      </w:tabs>
      <w:spacing w:after="200"/>
      <w:ind w:left="567" w:hanging="567"/>
      <w:jc w:val="left"/>
      <w:outlineLvl w:val="1"/>
    </w:pPr>
    <w:rPr>
      <w:rFonts w:ascii="Times New Roman" w:eastAsia="Cambria" w:hAnsi="Times New Roman" w:cs="Times New Roman"/>
      <w:b/>
      <w:color w:val="auto"/>
      <w:kern w:val="0"/>
      <w:sz w:val="24"/>
      <w:szCs w:val="24"/>
      <w:lang w:eastAsia="en-US"/>
    </w:rPr>
  </w:style>
  <w:style w:type="paragraph" w:styleId="Heading3">
    <w:name w:val="heading 3"/>
    <w:basedOn w:val="Normal"/>
    <w:next w:val="Normal"/>
    <w:link w:val="Heading3Char"/>
    <w:uiPriority w:val="2"/>
    <w:qFormat/>
    <w:pPr>
      <w:keepNext/>
      <w:keepLines/>
      <w:widowControl/>
      <w:tabs>
        <w:tab w:val="left" w:pos="567"/>
      </w:tabs>
      <w:spacing w:before="40" w:after="120"/>
      <w:ind w:left="567" w:hanging="567"/>
      <w:jc w:val="left"/>
      <w:outlineLvl w:val="2"/>
    </w:pPr>
    <w:rPr>
      <w:rFonts w:ascii="Times New Roman" w:eastAsiaTheme="majorEastAsia" w:hAnsi="Times New Roman" w:cstheme="majorBidi"/>
      <w:b/>
      <w:kern w:val="0"/>
      <w:sz w:val="24"/>
      <w:lang w:eastAsia="en-US"/>
    </w:rPr>
  </w:style>
  <w:style w:type="paragraph" w:styleId="Heading4">
    <w:name w:val="heading 4"/>
    <w:basedOn w:val="Normal"/>
    <w:next w:val="Normal"/>
    <w:link w:val="Heading4Char"/>
    <w:uiPriority w:val="2"/>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Heading4"/>
    <w:next w:val="Normal"/>
    <w:link w:val="Heading5Char"/>
    <w:uiPriority w:val="2"/>
    <w:qFormat/>
    <w:pPr>
      <w:widowControl/>
      <w:tabs>
        <w:tab w:val="left" w:pos="567"/>
      </w:tabs>
      <w:spacing w:after="120"/>
      <w:ind w:left="567" w:hanging="567"/>
      <w:jc w:val="left"/>
      <w:outlineLvl w:val="4"/>
    </w:pPr>
    <w:rPr>
      <w:rFonts w:ascii="Times New Roman" w:hAnsi="Times New Roman"/>
      <w:b/>
      <w:i w:val="0"/>
      <w:color w:val="auto"/>
      <w:kern w:val="0"/>
      <w:sz w:val="24"/>
      <w:lang w:eastAsia="en-US"/>
    </w:rPr>
  </w:style>
  <w:style w:type="paragraph" w:styleId="Heading6">
    <w:name w:val="heading 6"/>
    <w:basedOn w:val="Normal"/>
    <w:next w:val="Normal"/>
    <w:link w:val="Heading6Char"/>
    <w:semiHidden/>
    <w:unhideWhenUsed/>
    <w:qFormat/>
    <w:pPr>
      <w:keepNext/>
      <w:keepLines/>
      <w:spacing w:before="40"/>
      <w:outlineLvl w:val="5"/>
    </w:pPr>
    <w:rPr>
      <w:rFonts w:asciiTheme="majorHAnsi" w:eastAsiaTheme="majorEastAsia" w:hAnsiTheme="majorHAnsi" w:cstheme="majorBidi"/>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qFormat/>
    <w:pPr>
      <w:jc w:val="left"/>
    </w:pPr>
  </w:style>
  <w:style w:type="paragraph" w:styleId="Date">
    <w:name w:val="Date"/>
    <w:basedOn w:val="Normal"/>
    <w:next w:val="Normal"/>
    <w:link w:val="DateChar"/>
    <w:qFormat/>
    <w:pPr>
      <w:ind w:leftChars="2500" w:left="100"/>
    </w:pPr>
  </w:style>
  <w:style w:type="paragraph" w:styleId="EndnoteText">
    <w:name w:val="endnote text"/>
    <w:basedOn w:val="Normal"/>
    <w:link w:val="EndnoteTextChar"/>
    <w:qFormat/>
    <w:pPr>
      <w:snapToGrid w:val="0"/>
      <w:jc w:val="left"/>
    </w:pPr>
  </w:style>
  <w:style w:type="paragraph" w:styleId="BalloonText">
    <w:name w:val="Balloon Text"/>
    <w:basedOn w:val="Normal"/>
    <w:link w:val="BalloonTextChar"/>
    <w:rPr>
      <w:sz w:val="18"/>
      <w:szCs w:val="18"/>
    </w:rPr>
  </w:style>
  <w:style w:type="paragraph" w:styleId="Footer">
    <w:name w:val="footer"/>
    <w:basedOn w:val="Normal"/>
    <w:link w:val="FooterChar"/>
    <w:uiPriority w:val="99"/>
    <w:qFormat/>
    <w:pPr>
      <w:tabs>
        <w:tab w:val="center" w:pos="4153"/>
        <w:tab w:val="right" w:pos="8306"/>
      </w:tabs>
      <w:snapToGrid w:val="0"/>
      <w:jc w:val="left"/>
    </w:pPr>
    <w:rPr>
      <w:sz w:val="18"/>
      <w:szCs w:val="18"/>
    </w:rPr>
  </w:style>
  <w:style w:type="paragraph" w:styleId="Header">
    <w:name w:val="header"/>
    <w:basedOn w:val="Normal"/>
    <w:link w:val="HeaderChar"/>
    <w:uiPriority w:val="99"/>
    <w:qFormat/>
    <w:pPr>
      <w:pBdr>
        <w:bottom w:val="single" w:sz="6" w:space="1" w:color="auto"/>
      </w:pBdr>
      <w:tabs>
        <w:tab w:val="center" w:pos="4153"/>
        <w:tab w:val="right" w:pos="8306"/>
      </w:tabs>
      <w:snapToGrid w:val="0"/>
      <w:jc w:val="center"/>
    </w:pPr>
    <w:rPr>
      <w:sz w:val="18"/>
      <w:szCs w:val="18"/>
    </w:rPr>
  </w:style>
  <w:style w:type="paragraph" w:styleId="FootnoteText">
    <w:name w:val="footnote text"/>
    <w:basedOn w:val="Normal"/>
    <w:link w:val="FootnoteTextChar"/>
    <w:qFormat/>
    <w:pPr>
      <w:snapToGrid w:val="0"/>
      <w:jc w:val="left"/>
    </w:pPr>
    <w:rPr>
      <w:sz w:val="18"/>
      <w:szCs w:val="18"/>
    </w:rPr>
  </w:style>
  <w:style w:type="paragraph" w:styleId="NormalWeb">
    <w:name w:val="Normal (Web)"/>
    <w:basedOn w:val="Normal"/>
    <w:qFormat/>
    <w:rPr>
      <w:rFonts w:ascii="Times New Roman" w:hAnsi="Times New Roman" w:cs="Times New Roman"/>
      <w:sz w:val="24"/>
    </w:rPr>
  </w:style>
  <w:style w:type="paragraph" w:styleId="CommentSubject">
    <w:name w:val="annotation subject"/>
    <w:basedOn w:val="CommentText"/>
    <w:next w:val="CommentText"/>
    <w:link w:val="CommentSubjectChar"/>
    <w:qFormat/>
    <w:rPr>
      <w:b/>
      <w:bCs/>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qFormat/>
    <w:rPr>
      <w:vertAlign w:val="superscript"/>
    </w:rPr>
  </w:style>
  <w:style w:type="character" w:styleId="LineNumber">
    <w:name w:val="line number"/>
    <w:basedOn w:val="DefaultParagraphFont"/>
    <w:qFormat/>
  </w:style>
  <w:style w:type="character" w:styleId="Hyperlink">
    <w:name w:val="Hyperlink"/>
    <w:basedOn w:val="DefaultParagraphFont"/>
    <w:uiPriority w:val="99"/>
    <w:unhideWhenUsed/>
    <w:qFormat/>
    <w:rPr>
      <w:color w:val="0000FF"/>
      <w:u w:val="single"/>
    </w:rPr>
  </w:style>
  <w:style w:type="character" w:styleId="CommentReference">
    <w:name w:val="annotation reference"/>
    <w:basedOn w:val="DefaultParagraphFont"/>
    <w:qFormat/>
    <w:rPr>
      <w:sz w:val="21"/>
      <w:szCs w:val="21"/>
    </w:rPr>
  </w:style>
  <w:style w:type="character" w:styleId="FootnoteReference">
    <w:name w:val="footnote reference"/>
    <w:basedOn w:val="DefaultParagraphFont"/>
    <w:qFormat/>
    <w:rPr>
      <w:vertAlign w:val="superscript"/>
    </w:rPr>
  </w:style>
  <w:style w:type="character" w:customStyle="1" w:styleId="FootnoteTextChar">
    <w:name w:val="Footnote Text Char"/>
    <w:basedOn w:val="DefaultParagraphFont"/>
    <w:link w:val="FootnoteText"/>
    <w:qFormat/>
    <w:rPr>
      <w:rFonts w:asciiTheme="minorHAnsi" w:eastAsiaTheme="minorEastAsia" w:hAnsiTheme="minorHAnsi" w:cstheme="minorBidi"/>
      <w:kern w:val="2"/>
      <w:sz w:val="18"/>
      <w:szCs w:val="18"/>
    </w:rPr>
  </w:style>
  <w:style w:type="character" w:customStyle="1" w:styleId="DateChar">
    <w:name w:val="Date Char"/>
    <w:basedOn w:val="DefaultParagraphFont"/>
    <w:link w:val="Date"/>
    <w:qFormat/>
    <w:rPr>
      <w:rFonts w:asciiTheme="minorHAnsi" w:eastAsiaTheme="minorEastAsia" w:hAnsiTheme="minorHAnsi" w:cstheme="minorBidi"/>
      <w:kern w:val="2"/>
      <w:sz w:val="21"/>
      <w:szCs w:val="24"/>
    </w:rPr>
  </w:style>
  <w:style w:type="character" w:customStyle="1" w:styleId="HeaderChar">
    <w:name w:val="Header Char"/>
    <w:basedOn w:val="DefaultParagraphFont"/>
    <w:link w:val="Header"/>
    <w:uiPriority w:val="99"/>
    <w:qFormat/>
    <w:rPr>
      <w:rFonts w:asciiTheme="minorHAnsi" w:eastAsiaTheme="minorEastAsia" w:hAnsiTheme="minorHAnsi" w:cstheme="minorBidi"/>
      <w:kern w:val="2"/>
      <w:sz w:val="18"/>
      <w:szCs w:val="18"/>
    </w:rPr>
  </w:style>
  <w:style w:type="character" w:customStyle="1" w:styleId="FooterChar">
    <w:name w:val="Footer Char"/>
    <w:basedOn w:val="DefaultParagraphFont"/>
    <w:link w:val="Footer"/>
    <w:uiPriority w:val="99"/>
    <w:qFormat/>
    <w:rPr>
      <w:rFonts w:asciiTheme="minorHAnsi" w:eastAsiaTheme="minorEastAsia" w:hAnsiTheme="minorHAnsi" w:cstheme="minorBidi"/>
      <w:kern w:val="2"/>
      <w:sz w:val="18"/>
      <w:szCs w:val="18"/>
    </w:rPr>
  </w:style>
  <w:style w:type="character" w:customStyle="1" w:styleId="CommentTextChar">
    <w:name w:val="Comment Text Char"/>
    <w:basedOn w:val="DefaultParagraphFont"/>
    <w:link w:val="CommentText"/>
    <w:qFormat/>
    <w:rPr>
      <w:rFonts w:asciiTheme="minorHAnsi" w:eastAsiaTheme="minorEastAsia" w:hAnsiTheme="minorHAnsi" w:cstheme="minorBidi"/>
      <w:kern w:val="2"/>
      <w:sz w:val="21"/>
      <w:szCs w:val="24"/>
    </w:rPr>
  </w:style>
  <w:style w:type="character" w:customStyle="1" w:styleId="CommentSubjectChar">
    <w:name w:val="Comment Subject Char"/>
    <w:basedOn w:val="CommentTextChar"/>
    <w:link w:val="CommentSubject"/>
    <w:qFormat/>
    <w:rPr>
      <w:rFonts w:asciiTheme="minorHAnsi" w:eastAsiaTheme="minorEastAsia" w:hAnsiTheme="minorHAnsi" w:cstheme="minorBidi"/>
      <w:b/>
      <w:bCs/>
      <w:kern w:val="2"/>
      <w:sz w:val="21"/>
      <w:szCs w:val="24"/>
    </w:rPr>
  </w:style>
  <w:style w:type="character" w:customStyle="1" w:styleId="EndnoteTextChar">
    <w:name w:val="Endnote Text Char"/>
    <w:basedOn w:val="DefaultParagraphFont"/>
    <w:link w:val="EndnoteText"/>
    <w:qFormat/>
    <w:rPr>
      <w:rFonts w:asciiTheme="minorHAnsi" w:eastAsiaTheme="minorEastAsia" w:hAnsiTheme="minorHAnsi" w:cstheme="minorBidi"/>
      <w:kern w:val="2"/>
      <w:sz w:val="21"/>
      <w:szCs w:val="24"/>
    </w:rPr>
  </w:style>
  <w:style w:type="paragraph" w:customStyle="1" w:styleId="1">
    <w:name w:val="修订1"/>
    <w:hidden/>
    <w:uiPriority w:val="99"/>
    <w:semiHidden/>
    <w:qFormat/>
    <w:rPr>
      <w:rFonts w:asciiTheme="minorHAnsi" w:eastAsiaTheme="minorEastAsia" w:hAnsiTheme="minorHAnsi" w:cstheme="minorBidi"/>
      <w:kern w:val="2"/>
      <w:sz w:val="21"/>
      <w:szCs w:val="24"/>
      <w:lang w:eastAsia="zh-CN"/>
    </w:rPr>
  </w:style>
  <w:style w:type="character" w:customStyle="1" w:styleId="Heading4Char">
    <w:name w:val="Heading 4 Char"/>
    <w:basedOn w:val="DefaultParagraphFont"/>
    <w:link w:val="Heading4"/>
    <w:semiHidden/>
    <w:qFormat/>
    <w:rPr>
      <w:rFonts w:asciiTheme="majorHAnsi" w:eastAsiaTheme="majorEastAsia" w:hAnsiTheme="majorHAnsi" w:cstheme="majorBidi"/>
      <w:i/>
      <w:iCs/>
      <w:color w:val="2E74B5" w:themeColor="accent1" w:themeShade="BF"/>
      <w:kern w:val="2"/>
      <w:sz w:val="21"/>
      <w:szCs w:val="24"/>
      <w:lang w:eastAsia="zh-CN"/>
    </w:rPr>
  </w:style>
  <w:style w:type="character" w:customStyle="1" w:styleId="Heading6Char">
    <w:name w:val="Heading 6 Char"/>
    <w:basedOn w:val="DefaultParagraphFont"/>
    <w:link w:val="Heading6"/>
    <w:semiHidden/>
    <w:qFormat/>
    <w:rPr>
      <w:rFonts w:asciiTheme="majorHAnsi" w:eastAsiaTheme="majorEastAsia" w:hAnsiTheme="majorHAnsi" w:cstheme="majorBidi"/>
      <w:color w:val="1F4E79" w:themeColor="accent1" w:themeShade="80"/>
      <w:kern w:val="2"/>
      <w:sz w:val="21"/>
      <w:szCs w:val="24"/>
      <w:lang w:eastAsia="zh-CN"/>
    </w:rPr>
  </w:style>
  <w:style w:type="character" w:customStyle="1" w:styleId="Heading1Char">
    <w:name w:val="Heading 1 Char"/>
    <w:basedOn w:val="DefaultParagraphFont"/>
    <w:link w:val="Heading1"/>
    <w:qFormat/>
    <w:rPr>
      <w:rFonts w:asciiTheme="majorHAnsi" w:eastAsiaTheme="majorEastAsia" w:hAnsiTheme="majorHAnsi" w:cstheme="majorBidi"/>
      <w:color w:val="2E74B5" w:themeColor="accent1" w:themeShade="BF"/>
      <w:kern w:val="2"/>
      <w:sz w:val="32"/>
      <w:szCs w:val="32"/>
      <w:lang w:eastAsia="zh-CN"/>
    </w:rPr>
  </w:style>
  <w:style w:type="character" w:customStyle="1" w:styleId="Heading2Char">
    <w:name w:val="Heading 2 Char"/>
    <w:basedOn w:val="DefaultParagraphFont"/>
    <w:link w:val="Heading2"/>
    <w:uiPriority w:val="2"/>
    <w:qFormat/>
    <w:rPr>
      <w:rFonts w:eastAsia="Cambria"/>
      <w:b/>
      <w:sz w:val="24"/>
      <w:szCs w:val="24"/>
    </w:rPr>
  </w:style>
  <w:style w:type="character" w:customStyle="1" w:styleId="Heading3Char">
    <w:name w:val="Heading 3 Char"/>
    <w:basedOn w:val="DefaultParagraphFont"/>
    <w:link w:val="Heading3"/>
    <w:uiPriority w:val="2"/>
    <w:qFormat/>
    <w:rPr>
      <w:rFonts w:eastAsiaTheme="majorEastAsia" w:cstheme="majorBidi"/>
      <w:b/>
      <w:sz w:val="24"/>
      <w:szCs w:val="24"/>
    </w:rPr>
  </w:style>
  <w:style w:type="character" w:customStyle="1" w:styleId="Heading5Char">
    <w:name w:val="Heading 5 Char"/>
    <w:basedOn w:val="DefaultParagraphFont"/>
    <w:link w:val="Heading5"/>
    <w:uiPriority w:val="2"/>
    <w:qFormat/>
    <w:rPr>
      <w:rFonts w:eastAsiaTheme="majorEastAsia" w:cstheme="majorBidi"/>
      <w:b/>
      <w:iCs/>
      <w:sz w:val="24"/>
      <w:szCs w:val="24"/>
    </w:rPr>
  </w:style>
  <w:style w:type="character" w:customStyle="1" w:styleId="BalloonTextChar">
    <w:name w:val="Balloon Text Char"/>
    <w:basedOn w:val="DefaultParagraphFont"/>
    <w:link w:val="BalloonText"/>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1217</Words>
  <Characters>6940</Characters>
  <Application>Microsoft Office Word</Application>
  <DocSecurity>0</DocSecurity>
  <Lines>57</Lines>
  <Paragraphs>16</Paragraphs>
  <ScaleCrop>false</ScaleCrop>
  <Company>Springer Nature</Company>
  <LinksUpToDate>false</LinksUpToDate>
  <CharactersWithSpaces>8141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Prudence Lee</dc:creator>
  <cp:lastModifiedBy>Sachin Maharnur</cp:lastModifiedBy>
  <cp:revision>3</cp:revision>
  <dcterms:created xsi:type="dcterms:W3CDTF">2022-06-07T00:10:00Z</dcterms:created>
  <dcterms:modified xsi:type="dcterms:W3CDTF">2022-12-08T11:36:00Z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eyJoZGlkIjoiYTc2ZGZiNzZiNDVlOGViOWVmM2JhOTY0NGJkNjUyYzgifQ==</vt:lpwstr>
  </property>
  <property fmtid="{D5CDD505-2E9C-101B-9397-08002B2CF9AE}" pid="3" name="ICV">
    <vt:lpwstr>EAC23A624AA34D2F9FA5148C216C97A3</vt:lpwstr>
  </property>
  <property fmtid="{D5CDD505-2E9C-101B-9397-08002B2CF9AE}" pid="4" name="KSOProductBuildVer">
    <vt:lpwstr>2052-11.1.0.12763</vt:lpwstr>
  </property>
</Properties>
</file>