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291D" w:rsidRPr="00DE291D" w:rsidRDefault="00DE291D" w:rsidP="00DE291D">
      <w:pPr>
        <w:shd w:val="clear" w:color="auto" w:fill="FFFFFF"/>
        <w:jc w:val="both"/>
        <w:rPr>
          <w:rFonts w:ascii="Calibri" w:eastAsia="Times New Roman" w:hAnsi="Calibri" w:cstheme="minorHAnsi"/>
          <w:color w:val="222222"/>
          <w:lang w:eastAsia="nl-BE"/>
        </w:rPr>
      </w:pPr>
      <w:r w:rsidRPr="00DE291D">
        <w:rPr>
          <w:rFonts w:ascii="Calibri" w:eastAsia="Times New Roman" w:hAnsi="Calibri" w:cstheme="minorHAnsi"/>
          <w:color w:val="222222"/>
          <w:lang w:eastAsia="nl-BE"/>
        </w:rPr>
        <w:t xml:space="preserve">Partial Least-Squares Discriminant Analysis (PLS-DA) is a popular machine learning tool that has attracted increasing attention as a useful approach for feature selection and supervised classification purposes. Machine learning datasets are usually characterized by large volume, large number of features, noise, and, eventually, missing data. However, these datasets also often have much smaller samples than features, due to the easiness to measure several variables and the difficulty to get large number of samples. PLS-DA can be considered a supervised version of principal component analysis (PCA), in the sense that it achieves dimensionality reduction and feature selection, but </w:t>
      </w:r>
      <w:proofErr w:type="spellStart"/>
      <w:r w:rsidRPr="00DE291D">
        <w:rPr>
          <w:rFonts w:ascii="Calibri" w:eastAsia="Times New Roman" w:hAnsi="Calibri" w:cstheme="minorHAnsi"/>
          <w:color w:val="222222"/>
          <w:lang w:eastAsia="nl-BE"/>
        </w:rPr>
        <w:t>consideting</w:t>
      </w:r>
      <w:proofErr w:type="spellEnd"/>
      <w:r w:rsidRPr="00DE291D">
        <w:rPr>
          <w:rFonts w:ascii="Calibri" w:eastAsia="Times New Roman" w:hAnsi="Calibri" w:cstheme="minorHAnsi"/>
          <w:color w:val="222222"/>
          <w:lang w:eastAsia="nl-BE"/>
        </w:rPr>
        <w:t xml:space="preserve"> the information of class categories within its algorithm. The goal of PLS-DA is to find a linear transformation that converts the data to a less dimensional space with as little classification error as possible. This is made in PLS-DA algorithm by preserving as much covariance as possible between the original data and its labels in its first components (namely, latent variables, i.e., linear combination of the original features). </w:t>
      </w:r>
      <w:proofErr w:type="spellStart"/>
      <w:r w:rsidRPr="00DE291D">
        <w:rPr>
          <w:rFonts w:ascii="Calibri" w:eastAsia="Times New Roman" w:hAnsi="Calibri" w:cstheme="minorHAnsi"/>
          <w:color w:val="222222"/>
          <w:lang w:eastAsia="nl-BE"/>
        </w:rPr>
        <w:t>Thereforem</w:t>
      </w:r>
      <w:proofErr w:type="spellEnd"/>
      <w:r w:rsidRPr="00DE291D">
        <w:rPr>
          <w:rFonts w:ascii="Calibri" w:eastAsia="Times New Roman" w:hAnsi="Calibri" w:cstheme="minorHAnsi"/>
          <w:color w:val="222222"/>
          <w:lang w:eastAsia="nl-BE"/>
        </w:rPr>
        <w:t xml:space="preserve"> PLS-DA performs quite straightforward linear algebra operations. However, this is exactly the same operation that underlies many applications that most people would not question calling "machine learning." PLS, first introduced by H. </w:t>
      </w:r>
      <w:proofErr w:type="spellStart"/>
      <w:r w:rsidRPr="00DE291D">
        <w:rPr>
          <w:rFonts w:ascii="Calibri" w:eastAsia="Times New Roman" w:hAnsi="Calibri" w:cstheme="minorHAnsi"/>
          <w:color w:val="222222"/>
          <w:lang w:eastAsia="nl-BE"/>
        </w:rPr>
        <w:t>Wold</w:t>
      </w:r>
      <w:proofErr w:type="spellEnd"/>
      <w:r w:rsidRPr="00DE291D">
        <w:rPr>
          <w:rFonts w:ascii="Calibri" w:eastAsia="Times New Roman" w:hAnsi="Calibri" w:cstheme="minorHAnsi"/>
          <w:color w:val="222222"/>
          <w:lang w:eastAsia="nl-BE"/>
        </w:rPr>
        <w:t xml:space="preserve"> in 1975 [1] under the name NIPALS (nonlinear iterative partial least squares), focuses on maximizing the variance of the dependent variables explained by the independent variables rather than reflecting the empirical covariance matrix. A PLS model consists of a structural component that reflects the relationships among the latent variables and a measurement component that shows how the latent variables and their indicators are related. To do this, weights are used to determine the new components of the models, which are estimated so that the new components capture most of the variance in the independent variable that is useful for predicting the dependent variable. A very </w:t>
      </w:r>
      <w:proofErr w:type="spellStart"/>
      <w:r w:rsidRPr="00DE291D">
        <w:rPr>
          <w:rFonts w:ascii="Calibri" w:eastAsia="Times New Roman" w:hAnsi="Calibri" w:cstheme="minorHAnsi"/>
          <w:color w:val="222222"/>
          <w:lang w:eastAsia="nl-BE"/>
        </w:rPr>
        <w:t>importantarea</w:t>
      </w:r>
      <w:proofErr w:type="spellEnd"/>
      <w:r w:rsidRPr="00DE291D">
        <w:rPr>
          <w:rFonts w:ascii="Calibri" w:eastAsia="Times New Roman" w:hAnsi="Calibri" w:cstheme="minorHAnsi"/>
          <w:color w:val="222222"/>
          <w:lang w:eastAsia="nl-BE"/>
        </w:rPr>
        <w:t xml:space="preserve"> where PLS is typically recommended is in situations where the sample size is small. As a rough rule-of-thumb, it is generally advisable in machine learning that “the sample size should be more than 100 observations, regardless of other data characteristics, to avoid problematic solutions while maintaining an acceptable fit [2]. Moreover, studies recommend a minimum sample size of 200 cases (</w:t>
      </w:r>
      <w:proofErr w:type="spellStart"/>
      <w:r w:rsidRPr="00DE291D">
        <w:rPr>
          <w:rFonts w:ascii="Calibri" w:eastAsia="Times New Roman" w:hAnsi="Calibri" w:cstheme="minorHAnsi"/>
          <w:color w:val="222222"/>
          <w:lang w:eastAsia="nl-BE"/>
        </w:rPr>
        <w:t>e.g</w:t>
      </w:r>
      <w:proofErr w:type="spellEnd"/>
      <w:r w:rsidRPr="00DE291D">
        <w:rPr>
          <w:rFonts w:ascii="Calibri" w:eastAsia="Times New Roman" w:hAnsi="Calibri" w:cstheme="minorHAnsi"/>
          <w:color w:val="222222"/>
          <w:lang w:eastAsia="nl-BE"/>
        </w:rPr>
        <w:t>, [3]). PLS, on the other hand, is applicable to very small sample sizes. Although a detailed discussion of this point can only be done on a model-by-model basis using statistical power anal</w:t>
      </w:r>
      <w:bookmarkStart w:id="0" w:name="_GoBack"/>
      <w:bookmarkEnd w:id="0"/>
      <w:r w:rsidRPr="00DE291D">
        <w:rPr>
          <w:rFonts w:ascii="Calibri" w:eastAsia="Times New Roman" w:hAnsi="Calibri" w:cstheme="minorHAnsi"/>
          <w:color w:val="222222"/>
          <w:lang w:eastAsia="nl-BE"/>
        </w:rPr>
        <w:t xml:space="preserve">ysis, a Monte Carlo simulation conducted in [4] showed that PLS can be performed with a sample size as small as 50, and H. </w:t>
      </w:r>
      <w:proofErr w:type="spellStart"/>
      <w:r w:rsidRPr="00DE291D">
        <w:rPr>
          <w:rFonts w:ascii="Calibri" w:eastAsia="Times New Roman" w:hAnsi="Calibri" w:cstheme="minorHAnsi"/>
          <w:color w:val="222222"/>
          <w:lang w:eastAsia="nl-BE"/>
        </w:rPr>
        <w:t>Wold</w:t>
      </w:r>
      <w:proofErr w:type="spellEnd"/>
      <w:r w:rsidRPr="00DE291D">
        <w:rPr>
          <w:rFonts w:ascii="Calibri" w:eastAsia="Times New Roman" w:hAnsi="Calibri" w:cstheme="minorHAnsi"/>
          <w:color w:val="222222"/>
          <w:lang w:eastAsia="nl-BE"/>
        </w:rPr>
        <w:t xml:space="preserve"> even "analyzed 27 variables using two latent constructs with a data set consisting of ten cases" [5]. Another example shows that PLS can be suitable even for very small </w:t>
      </w:r>
      <w:proofErr w:type="gramStart"/>
      <w:r w:rsidRPr="00DE291D">
        <w:rPr>
          <w:rFonts w:ascii="Calibri" w:eastAsia="Times New Roman" w:hAnsi="Calibri" w:cstheme="minorHAnsi"/>
          <w:color w:val="222222"/>
          <w:lang w:eastAsia="nl-BE"/>
        </w:rPr>
        <w:t>amount</w:t>
      </w:r>
      <w:proofErr w:type="gramEnd"/>
      <w:r w:rsidRPr="00DE291D">
        <w:rPr>
          <w:rFonts w:ascii="Calibri" w:eastAsia="Times New Roman" w:hAnsi="Calibri" w:cstheme="minorHAnsi"/>
          <w:color w:val="222222"/>
          <w:lang w:eastAsia="nl-BE"/>
        </w:rPr>
        <w:t xml:space="preserve"> of samples (i.e., 6 samples, as reported in [6]). However, given the problem of consistency in general, the question of whether such results are actually useful is very difficult to answer and there is no rule that regulate the proper amount of data to be analyzed in order to allow the use of “machine learning” concept. In order to analyze the data in a proper way, 5-fold cross-validation strategies (with venetian blinds </w:t>
      </w:r>
      <w:proofErr w:type="spellStart"/>
      <w:r w:rsidRPr="00DE291D">
        <w:rPr>
          <w:rFonts w:ascii="Calibri" w:eastAsia="Times New Roman" w:hAnsi="Calibri" w:cstheme="minorHAnsi"/>
          <w:color w:val="222222"/>
          <w:lang w:eastAsia="nl-BE"/>
        </w:rPr>
        <w:t>desing</w:t>
      </w:r>
      <w:proofErr w:type="spellEnd"/>
      <w:r w:rsidRPr="00DE291D">
        <w:rPr>
          <w:rFonts w:ascii="Calibri" w:eastAsia="Times New Roman" w:hAnsi="Calibri" w:cstheme="minorHAnsi"/>
          <w:color w:val="222222"/>
          <w:lang w:eastAsia="nl-BE"/>
        </w:rPr>
        <w:t>) were applied when computing the PLS-DA models.</w:t>
      </w:r>
    </w:p>
    <w:p w:rsidR="00185953" w:rsidRPr="00DE291D" w:rsidRDefault="00185953">
      <w:pPr>
        <w:pStyle w:val="Corpo"/>
        <w:rPr>
          <w:rFonts w:ascii="Calibri" w:hAnsi="Calibri"/>
          <w:sz w:val="24"/>
          <w:szCs w:val="24"/>
          <w:lang w:val="en-US"/>
        </w:rPr>
      </w:pPr>
    </w:p>
    <w:p w:rsidR="00DE291D" w:rsidRPr="00DE291D" w:rsidRDefault="00DE291D">
      <w:pPr>
        <w:pStyle w:val="Corpo"/>
        <w:rPr>
          <w:rFonts w:ascii="Calibri" w:hAnsi="Calibri"/>
          <w:sz w:val="24"/>
          <w:szCs w:val="24"/>
          <w:lang w:val="en-US"/>
        </w:rPr>
      </w:pPr>
    </w:p>
    <w:p w:rsidR="00DE291D" w:rsidRPr="00DE291D" w:rsidRDefault="00DE291D">
      <w:pPr>
        <w:pStyle w:val="Corpo"/>
        <w:rPr>
          <w:rFonts w:ascii="Calibri" w:hAnsi="Calibri"/>
          <w:sz w:val="24"/>
          <w:szCs w:val="24"/>
        </w:rPr>
      </w:pPr>
      <w:proofErr w:type="spellStart"/>
      <w:r w:rsidRPr="00DE291D">
        <w:rPr>
          <w:rFonts w:ascii="Calibri" w:hAnsi="Calibri"/>
          <w:sz w:val="24"/>
          <w:szCs w:val="24"/>
        </w:rPr>
        <w:t>References</w:t>
      </w:r>
      <w:proofErr w:type="spellEnd"/>
      <w:r w:rsidRPr="00DE291D">
        <w:rPr>
          <w:rFonts w:ascii="Calibri" w:hAnsi="Calibri"/>
          <w:sz w:val="24"/>
          <w:szCs w:val="24"/>
        </w:rPr>
        <w:t>:</w:t>
      </w:r>
    </w:p>
    <w:p w:rsidR="00DE291D" w:rsidRPr="00DE291D" w:rsidRDefault="00DE291D">
      <w:pPr>
        <w:pStyle w:val="Corpo"/>
        <w:rPr>
          <w:rFonts w:ascii="Calibri" w:hAnsi="Calibri"/>
          <w:sz w:val="24"/>
          <w:szCs w:val="24"/>
        </w:rPr>
      </w:pPr>
    </w:p>
    <w:p w:rsidR="00DE291D" w:rsidRPr="00DE291D" w:rsidRDefault="00DE291D" w:rsidP="00DE291D">
      <w:pPr>
        <w:jc w:val="both"/>
        <w:rPr>
          <w:rFonts w:ascii="Calibri" w:hAnsi="Calibri" w:cstheme="minorHAnsi"/>
          <w:color w:val="232323"/>
          <w:shd w:val="clear" w:color="auto" w:fill="FFFFFF"/>
        </w:rPr>
      </w:pPr>
      <w:r w:rsidRPr="00DE291D">
        <w:rPr>
          <w:rFonts w:ascii="Calibri" w:hAnsi="Calibri" w:cstheme="minorHAnsi"/>
        </w:rPr>
        <w:t xml:space="preserve">[1] – </w:t>
      </w:r>
      <w:proofErr w:type="spellStart"/>
      <w:r w:rsidRPr="00DE291D">
        <w:rPr>
          <w:rFonts w:ascii="Calibri" w:hAnsi="Calibri" w:cstheme="minorHAnsi"/>
          <w:color w:val="232323"/>
          <w:shd w:val="clear" w:color="auto" w:fill="FFFFFF"/>
        </w:rPr>
        <w:t>Wold</w:t>
      </w:r>
      <w:proofErr w:type="spellEnd"/>
      <w:r w:rsidRPr="00DE291D">
        <w:rPr>
          <w:rFonts w:ascii="Calibri" w:hAnsi="Calibri" w:cstheme="minorHAnsi"/>
          <w:color w:val="232323"/>
          <w:shd w:val="clear" w:color="auto" w:fill="FFFFFF"/>
        </w:rPr>
        <w:t xml:space="preserve">, H. (1975) Soft modelling by latent variables: Non- linear iterative partial least squares (NIPALS) approach. In: </w:t>
      </w:r>
      <w:proofErr w:type="spellStart"/>
      <w:r w:rsidRPr="00DE291D">
        <w:rPr>
          <w:rFonts w:ascii="Calibri" w:hAnsi="Calibri" w:cstheme="minorHAnsi"/>
          <w:color w:val="232323"/>
          <w:shd w:val="clear" w:color="auto" w:fill="FFFFFF"/>
        </w:rPr>
        <w:t>Gani</w:t>
      </w:r>
      <w:proofErr w:type="spellEnd"/>
      <w:r w:rsidRPr="00DE291D">
        <w:rPr>
          <w:rFonts w:ascii="Calibri" w:hAnsi="Calibri" w:cstheme="minorHAnsi"/>
          <w:color w:val="232323"/>
          <w:shd w:val="clear" w:color="auto" w:fill="FFFFFF"/>
        </w:rPr>
        <w:t>, M.S.B., Ed., Perspectives in Probability and Statistics, Academic Press, London, 117-142.</w:t>
      </w:r>
    </w:p>
    <w:p w:rsidR="00DE291D" w:rsidRPr="00DE291D" w:rsidRDefault="00DE291D" w:rsidP="00DE291D">
      <w:pPr>
        <w:jc w:val="both"/>
        <w:rPr>
          <w:rFonts w:ascii="Calibri" w:hAnsi="Calibri" w:cstheme="minorHAnsi"/>
        </w:rPr>
      </w:pPr>
      <w:r w:rsidRPr="00DE291D">
        <w:rPr>
          <w:rFonts w:ascii="Calibri" w:hAnsi="Calibri" w:cstheme="minorHAnsi"/>
          <w:color w:val="232323"/>
          <w:shd w:val="clear" w:color="auto" w:fill="FFFFFF"/>
        </w:rPr>
        <w:t xml:space="preserve">[2] </w:t>
      </w:r>
      <w:r w:rsidRPr="00DE291D">
        <w:rPr>
          <w:rFonts w:ascii="Calibri" w:hAnsi="Calibri" w:cstheme="minorHAnsi"/>
        </w:rPr>
        <w:t xml:space="preserve">– Nasser, F., &amp; </w:t>
      </w:r>
      <w:proofErr w:type="spellStart"/>
      <w:r w:rsidRPr="00DE291D">
        <w:rPr>
          <w:rFonts w:ascii="Calibri" w:hAnsi="Calibri" w:cstheme="minorHAnsi"/>
        </w:rPr>
        <w:t>Wisenbaker</w:t>
      </w:r>
      <w:proofErr w:type="spellEnd"/>
      <w:r w:rsidRPr="00DE291D">
        <w:rPr>
          <w:rFonts w:ascii="Calibri" w:hAnsi="Calibri" w:cstheme="minorHAnsi"/>
        </w:rPr>
        <w:t>, J. (2003). A Monte Carlo study investigating the impact of item parceling on measures of fit in confirmatory factor analysis. Educational and Psychological Measurement, 63, 729–757.</w:t>
      </w:r>
    </w:p>
    <w:p w:rsidR="00DE291D" w:rsidRPr="00DE291D" w:rsidRDefault="00DE291D" w:rsidP="00DE291D">
      <w:pPr>
        <w:jc w:val="both"/>
        <w:rPr>
          <w:rFonts w:ascii="Calibri" w:hAnsi="Calibri" w:cstheme="minorHAnsi"/>
        </w:rPr>
      </w:pPr>
      <w:r w:rsidRPr="00DE291D">
        <w:rPr>
          <w:rFonts w:ascii="Calibri" w:hAnsi="Calibri" w:cstheme="minorHAnsi"/>
        </w:rPr>
        <w:t xml:space="preserve">[3] – Marsh, H. W., </w:t>
      </w:r>
      <w:proofErr w:type="spellStart"/>
      <w:r w:rsidRPr="00DE291D">
        <w:rPr>
          <w:rFonts w:ascii="Calibri" w:hAnsi="Calibri" w:cstheme="minorHAnsi"/>
        </w:rPr>
        <w:t>Hau</w:t>
      </w:r>
      <w:proofErr w:type="spellEnd"/>
      <w:r w:rsidRPr="00DE291D">
        <w:rPr>
          <w:rFonts w:ascii="Calibri" w:hAnsi="Calibri" w:cstheme="minorHAnsi"/>
        </w:rPr>
        <w:t xml:space="preserve">, K.-T., </w:t>
      </w:r>
      <w:proofErr w:type="spellStart"/>
      <w:r w:rsidRPr="00DE291D">
        <w:rPr>
          <w:rFonts w:ascii="Calibri" w:hAnsi="Calibri" w:cstheme="minorHAnsi"/>
        </w:rPr>
        <w:t>Balla</w:t>
      </w:r>
      <w:proofErr w:type="spellEnd"/>
      <w:r w:rsidRPr="00DE291D">
        <w:rPr>
          <w:rFonts w:ascii="Calibri" w:hAnsi="Calibri" w:cstheme="minorHAnsi"/>
        </w:rPr>
        <w:t>, J. R., &amp; Grayson, D. (1998). Is more ever too much? The number of indicators per factor in confirmatory factor analysis. Multivariate Behavioral Research, 33, 181–220</w:t>
      </w:r>
    </w:p>
    <w:p w:rsidR="00DE291D" w:rsidRPr="00DE291D" w:rsidRDefault="00DE291D" w:rsidP="00DE291D">
      <w:pPr>
        <w:jc w:val="both"/>
        <w:rPr>
          <w:rFonts w:ascii="Calibri" w:hAnsi="Calibri" w:cstheme="minorHAnsi"/>
        </w:rPr>
      </w:pPr>
      <w:r w:rsidRPr="00DE291D">
        <w:rPr>
          <w:rFonts w:ascii="Calibri" w:hAnsi="Calibri" w:cstheme="minorHAnsi"/>
        </w:rPr>
        <w:lastRenderedPageBreak/>
        <w:t xml:space="preserve">[4] – Chin, W. W., &amp; </w:t>
      </w:r>
      <w:proofErr w:type="spellStart"/>
      <w:r w:rsidRPr="00DE291D">
        <w:rPr>
          <w:rFonts w:ascii="Calibri" w:hAnsi="Calibri" w:cstheme="minorHAnsi"/>
        </w:rPr>
        <w:t>Newsted</w:t>
      </w:r>
      <w:proofErr w:type="spellEnd"/>
      <w:r w:rsidRPr="00DE291D">
        <w:rPr>
          <w:rFonts w:ascii="Calibri" w:hAnsi="Calibri" w:cstheme="minorHAnsi"/>
        </w:rPr>
        <w:t>, P. R. (1999). Structural equation modelling analysis with small samples using partial least squares. In R. H. Hoyle (Ed.), Statistical strategies for small sample research (pp. 307–341). Thousand Oaks, CA: Sage.</w:t>
      </w:r>
    </w:p>
    <w:p w:rsidR="00DE291D" w:rsidRPr="00DE291D" w:rsidRDefault="00DE291D" w:rsidP="00DE291D">
      <w:pPr>
        <w:jc w:val="both"/>
        <w:rPr>
          <w:rFonts w:ascii="Calibri" w:hAnsi="Calibri" w:cstheme="minorHAnsi"/>
        </w:rPr>
      </w:pPr>
      <w:r w:rsidRPr="00DE291D">
        <w:rPr>
          <w:rFonts w:ascii="Calibri" w:hAnsi="Calibri" w:cstheme="minorHAnsi"/>
        </w:rPr>
        <w:t xml:space="preserve">[5] – Chin, W. W., </w:t>
      </w:r>
      <w:proofErr w:type="spellStart"/>
      <w:r w:rsidRPr="00DE291D">
        <w:rPr>
          <w:rFonts w:ascii="Calibri" w:hAnsi="Calibri" w:cstheme="minorHAnsi"/>
        </w:rPr>
        <w:t>Marcolin</w:t>
      </w:r>
      <w:proofErr w:type="spellEnd"/>
      <w:r w:rsidRPr="00DE291D">
        <w:rPr>
          <w:rFonts w:ascii="Calibri" w:hAnsi="Calibri" w:cstheme="minorHAnsi"/>
        </w:rPr>
        <w:t xml:space="preserve">, B. L., &amp; </w:t>
      </w:r>
      <w:proofErr w:type="spellStart"/>
      <w:r w:rsidRPr="00DE291D">
        <w:rPr>
          <w:rFonts w:ascii="Calibri" w:hAnsi="Calibri" w:cstheme="minorHAnsi"/>
        </w:rPr>
        <w:t>Newsted</w:t>
      </w:r>
      <w:proofErr w:type="spellEnd"/>
      <w:r w:rsidRPr="00DE291D">
        <w:rPr>
          <w:rFonts w:ascii="Calibri" w:hAnsi="Calibri" w:cstheme="minorHAnsi"/>
        </w:rPr>
        <w:t xml:space="preserve">, P. R. (2003a). A partial least squares latent variable modelling approach for measuring interaction effects: Results from a Monte Carlo simulation study and an electronic-mail emotion/adoption study—Supplement </w:t>
      </w:r>
      <w:proofErr w:type="spellStart"/>
      <w:proofErr w:type="gramStart"/>
      <w:r w:rsidRPr="00DE291D">
        <w:rPr>
          <w:rFonts w:ascii="Calibri" w:hAnsi="Calibri" w:cstheme="minorHAnsi"/>
        </w:rPr>
        <w:t>A.Information</w:t>
      </w:r>
      <w:proofErr w:type="spellEnd"/>
      <w:proofErr w:type="gramEnd"/>
      <w:r w:rsidRPr="00DE291D">
        <w:rPr>
          <w:rFonts w:ascii="Calibri" w:hAnsi="Calibri" w:cstheme="minorHAnsi"/>
        </w:rPr>
        <w:t xml:space="preserve"> Systems Research, 14. Available at http://www.informs.org/pubs/Supplements/ISR/1526-5536-2003-1502-SupplA.pdf</w:t>
      </w:r>
    </w:p>
    <w:p w:rsidR="00DE291D" w:rsidRPr="00DE291D" w:rsidRDefault="00DE291D" w:rsidP="00DE291D">
      <w:pPr>
        <w:pStyle w:val="Corpo"/>
        <w:rPr>
          <w:rFonts w:ascii="Calibri" w:hAnsi="Calibri"/>
          <w:sz w:val="24"/>
          <w:szCs w:val="24"/>
        </w:rPr>
      </w:pPr>
      <w:r w:rsidRPr="00DE291D">
        <w:rPr>
          <w:rFonts w:ascii="Calibri" w:hAnsi="Calibri" w:cstheme="minorHAnsi"/>
          <w:sz w:val="24"/>
          <w:szCs w:val="24"/>
          <w:lang w:val="en-US"/>
        </w:rPr>
        <w:t xml:space="preserve">[6] – </w:t>
      </w:r>
      <w:proofErr w:type="spellStart"/>
      <w:r w:rsidRPr="00DE291D">
        <w:rPr>
          <w:rFonts w:ascii="Calibri" w:hAnsi="Calibri" w:cstheme="minorHAnsi"/>
          <w:sz w:val="24"/>
          <w:szCs w:val="24"/>
          <w:lang w:val="en-US"/>
        </w:rPr>
        <w:t>Tenenhaus</w:t>
      </w:r>
      <w:proofErr w:type="spellEnd"/>
      <w:r w:rsidRPr="00DE291D">
        <w:rPr>
          <w:rFonts w:ascii="Calibri" w:hAnsi="Calibri" w:cstheme="minorHAnsi"/>
          <w:sz w:val="24"/>
          <w:szCs w:val="24"/>
          <w:lang w:val="en-US"/>
        </w:rPr>
        <w:t xml:space="preserve">, M., Pages, J., </w:t>
      </w:r>
      <w:proofErr w:type="spellStart"/>
      <w:r w:rsidRPr="00DE291D">
        <w:rPr>
          <w:rFonts w:ascii="Calibri" w:hAnsi="Calibri" w:cstheme="minorHAnsi"/>
          <w:sz w:val="24"/>
          <w:szCs w:val="24"/>
          <w:lang w:val="en-US"/>
        </w:rPr>
        <w:t>Ambroisine</w:t>
      </w:r>
      <w:proofErr w:type="spellEnd"/>
      <w:r w:rsidRPr="00DE291D">
        <w:rPr>
          <w:rFonts w:ascii="Calibri" w:hAnsi="Calibri" w:cstheme="minorHAnsi"/>
          <w:sz w:val="24"/>
          <w:szCs w:val="24"/>
          <w:lang w:val="en-US"/>
        </w:rPr>
        <w:t xml:space="preserve">, L., </w:t>
      </w:r>
      <w:proofErr w:type="spellStart"/>
      <w:r w:rsidRPr="00DE291D">
        <w:rPr>
          <w:rFonts w:ascii="Calibri" w:hAnsi="Calibri" w:cstheme="minorHAnsi"/>
          <w:sz w:val="24"/>
          <w:szCs w:val="24"/>
          <w:lang w:val="en-US"/>
        </w:rPr>
        <w:t>Guinot</w:t>
      </w:r>
      <w:proofErr w:type="spellEnd"/>
      <w:r w:rsidRPr="00DE291D">
        <w:rPr>
          <w:rFonts w:ascii="Calibri" w:hAnsi="Calibri" w:cstheme="minorHAnsi"/>
          <w:sz w:val="24"/>
          <w:szCs w:val="24"/>
          <w:lang w:val="en-US"/>
        </w:rPr>
        <w:t>, C. (2005). PLS methodology to study relationships between hedonic judgements and product characteristics. Food Quality and Preference 16, 315–325.</w:t>
      </w:r>
    </w:p>
    <w:sectPr w:rsidR="00DE291D" w:rsidRPr="00DE291D">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7553" w:rsidRDefault="00A97553">
      <w:r>
        <w:separator/>
      </w:r>
    </w:p>
  </w:endnote>
  <w:endnote w:type="continuationSeparator" w:id="0">
    <w:p w:rsidR="00A97553" w:rsidRDefault="00A97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5953" w:rsidRDefault="001859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7553" w:rsidRDefault="00A97553">
      <w:r>
        <w:separator/>
      </w:r>
    </w:p>
  </w:footnote>
  <w:footnote w:type="continuationSeparator" w:id="0">
    <w:p w:rsidR="00A97553" w:rsidRDefault="00A97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5953" w:rsidRDefault="0018595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F6987"/>
    <w:multiLevelType w:val="hybridMultilevel"/>
    <w:tmpl w:val="3BA82C1E"/>
    <w:styleLink w:val="Trattino"/>
    <w:lvl w:ilvl="0" w:tplc="0A3C1672">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tplc="808AC06C">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tplc="7070F60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tplc="E5185308">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tplc="E1366790">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tplc="8458B8C6">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tplc="F3B2971C">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tplc="A96C49A4">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tplc="90ACA58A">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abstractNum w:abstractNumId="1" w15:restartNumberingAfterBreak="0">
    <w:nsid w:val="1F861634"/>
    <w:multiLevelType w:val="hybridMultilevel"/>
    <w:tmpl w:val="92A08ECA"/>
    <w:numStyleLink w:val="Appunti"/>
  </w:abstractNum>
  <w:abstractNum w:abstractNumId="2" w15:restartNumberingAfterBreak="0">
    <w:nsid w:val="6E9F2457"/>
    <w:multiLevelType w:val="hybridMultilevel"/>
    <w:tmpl w:val="3BA82C1E"/>
    <w:numStyleLink w:val="Trattino"/>
  </w:abstractNum>
  <w:abstractNum w:abstractNumId="3" w15:restartNumberingAfterBreak="0">
    <w:nsid w:val="7CE124F3"/>
    <w:multiLevelType w:val="hybridMultilevel"/>
    <w:tmpl w:val="92A08ECA"/>
    <w:styleLink w:val="Appunti"/>
    <w:lvl w:ilvl="0" w:tplc="77D45D6A">
      <w:start w:val="1"/>
      <w:numFmt w:val="bullet"/>
      <w:lvlText w:val="-"/>
      <w:lvlJc w:val="left"/>
      <w:pPr>
        <w:ind w:left="22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tplc="168EB850">
      <w:start w:val="1"/>
      <w:numFmt w:val="bullet"/>
      <w:lvlText w:val="•"/>
      <w:lvlJc w:val="left"/>
      <w:pPr>
        <w:ind w:left="46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78C490EC">
      <w:start w:val="1"/>
      <w:numFmt w:val="bullet"/>
      <w:lvlText w:val="-"/>
      <w:lvlJc w:val="left"/>
      <w:pPr>
        <w:ind w:left="70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tplc="4DFADA60">
      <w:start w:val="1"/>
      <w:numFmt w:val="bullet"/>
      <w:lvlText w:val="•"/>
      <w:lvlJc w:val="left"/>
      <w:pPr>
        <w:ind w:left="94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55DE8478">
      <w:start w:val="1"/>
      <w:numFmt w:val="bullet"/>
      <w:lvlText w:val="-"/>
      <w:lvlJc w:val="left"/>
      <w:pPr>
        <w:ind w:left="118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tplc="951CE6C6">
      <w:start w:val="1"/>
      <w:numFmt w:val="bullet"/>
      <w:lvlText w:val="•"/>
      <w:lvlJc w:val="left"/>
      <w:pPr>
        <w:ind w:left="142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F39C5F7E">
      <w:start w:val="1"/>
      <w:numFmt w:val="bullet"/>
      <w:lvlText w:val="-"/>
      <w:lvlJc w:val="left"/>
      <w:pPr>
        <w:ind w:left="166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tplc="DC96F950">
      <w:start w:val="1"/>
      <w:numFmt w:val="bullet"/>
      <w:lvlText w:val="•"/>
      <w:lvlJc w:val="left"/>
      <w:pPr>
        <w:ind w:left="190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02BAD67A">
      <w:start w:val="1"/>
      <w:numFmt w:val="bullet"/>
      <w:lvlText w:val="-"/>
      <w:lvlJc w:val="left"/>
      <w:pPr>
        <w:ind w:left="214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5953"/>
    <w:rsid w:val="00185953"/>
    <w:rsid w:val="00A97553"/>
    <w:rsid w:val="00DE29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D78CC"/>
  <w15:docId w15:val="{388DDFE1-2C69-4742-8AC9-544E7FA6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Neue" w:hAnsi="Helvetica Neue" w:cs="Arial Unicode MS"/>
      <w:color w:val="000000"/>
      <w:sz w:val="22"/>
      <w:szCs w:val="22"/>
    </w:rPr>
  </w:style>
  <w:style w:type="character" w:customStyle="1" w:styleId="Hyperlink0">
    <w:name w:val="Hyperlink.0"/>
    <w:basedOn w:val="Collegamentoipertestuale"/>
    <w:rPr>
      <w:u w:val="single"/>
    </w:rPr>
  </w:style>
  <w:style w:type="numbering" w:customStyle="1" w:styleId="Trattino">
    <w:name w:val="Trattino"/>
    <w:pPr>
      <w:numPr>
        <w:numId w:val="1"/>
      </w:numPr>
    </w:pPr>
  </w:style>
  <w:style w:type="numbering" w:customStyle="1" w:styleId="Appunti">
    <w:name w:val="Appunti"/>
    <w:pPr>
      <w:numPr>
        <w:numId w:val="3"/>
      </w:numPr>
    </w:pPr>
  </w:style>
  <w:style w:type="character" w:styleId="Menzionenonrisolta">
    <w:name w:val="Unresolved Mention"/>
    <w:basedOn w:val="Carpredefinitoparagrafo"/>
    <w:uiPriority w:val="99"/>
    <w:semiHidden/>
    <w:unhideWhenUsed/>
    <w:rsid w:val="00DE2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735</Words>
  <Characters>4196</Characters>
  <Application>Microsoft Office Word</Application>
  <DocSecurity>0</DocSecurity>
  <Lines>34</Lines>
  <Paragraphs>9</Paragraphs>
  <ScaleCrop>false</ScaleCrop>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Enrico Checcucci</cp:lastModifiedBy>
  <cp:revision>2</cp:revision>
  <dcterms:created xsi:type="dcterms:W3CDTF">2022-10-14T13:35:00Z</dcterms:created>
  <dcterms:modified xsi:type="dcterms:W3CDTF">2022-10-14T13:36:00Z</dcterms:modified>
</cp:coreProperties>
</file>