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bidi w:val="0"/>
      </w:pPr>
      <w:r>
        <w:rPr>
          <w:rtl w:val="0"/>
        </w:rPr>
        <w:t>STUDY TITLE:</w:t>
      </w:r>
    </w:p>
    <w:p>
      <w:pPr>
        <w:pStyle w:val="Corpo"/>
        <w:bidi w:val="0"/>
      </w:pPr>
      <w:r>
        <w:rPr>
          <w:rtl w:val="0"/>
        </w:rPr>
        <w:t>Robot assisted versus laparoscopic radical prostatectomy comparison: benefits and drawbacks analysis, a prospective randomized trial.</w:t>
      </w:r>
    </w:p>
    <w:p>
      <w:pPr>
        <w:pStyle w:val="Corpo"/>
        <w:bidi w:val="0"/>
      </w:pPr>
    </w:p>
    <w:p>
      <w:pPr>
        <w:pStyle w:val="Corpo"/>
        <w:bidi w:val="0"/>
      </w:pPr>
      <w:r>
        <w:rPr>
          <w:rtl w:val="0"/>
        </w:rPr>
        <w:t>STUDY TYPE:</w:t>
      </w:r>
    </w:p>
    <w:p>
      <w:pPr>
        <w:pStyle w:val="Corpo"/>
        <w:bidi w:val="0"/>
      </w:pPr>
      <w:r>
        <w:rPr>
          <w:rtl w:val="0"/>
        </w:rPr>
        <w:t>Prospective, randomized, single centred, two harms.</w:t>
      </w:r>
    </w:p>
    <w:p>
      <w:pPr>
        <w:pStyle w:val="Corpo"/>
        <w:bidi w:val="0"/>
      </w:pPr>
    </w:p>
    <w:p>
      <w:pPr>
        <w:pStyle w:val="Corpo"/>
        <w:bidi w:val="0"/>
      </w:pPr>
      <w:r>
        <w:rPr>
          <w:rtl w:val="0"/>
        </w:rPr>
        <w:t>THEORETIC PREMISES:</w:t>
      </w:r>
    </w:p>
    <w:p>
      <w:pPr>
        <w:pStyle w:val="Corpo"/>
        <w:bidi w:val="0"/>
      </w:pPr>
      <w:r>
        <w:rPr>
          <w:rtl w:val="0"/>
        </w:rPr>
        <w:t>Since its introduction among urological clinical practices at the beginning of 90</w:t>
      </w:r>
      <w:r>
        <w:rPr>
          <w:rtl w:val="0"/>
        </w:rPr>
        <w:t>’</w:t>
      </w:r>
      <w:r>
        <w:rPr>
          <w:rtl w:val="0"/>
        </w:rPr>
        <w:t>s, laparoscopic approach promptly spread, resulting, in the current days, that most of the procedures, once carried out in a traditional open approach, are performed laparoscopically.</w:t>
      </w:r>
    </w:p>
    <w:p>
      <w:pPr>
        <w:pStyle w:val="Corpo"/>
        <w:bidi w:val="0"/>
      </w:pPr>
      <w:r>
        <w:rPr>
          <w:rtl w:val="0"/>
        </w:rPr>
        <w:t>Laparoscopic surgery has already been stated as the gold standard in the treatment of several conditions, while for others, is progressively gaining field at the expense of traditional open approach.</w:t>
      </w:r>
    </w:p>
    <w:p>
      <w:pPr>
        <w:pStyle w:val="Corpo"/>
        <w:bidi w:val="0"/>
      </w:pPr>
      <w:r>
        <w:rPr>
          <w:rtl w:val="0"/>
        </w:rPr>
        <w:t>Laparoscopic radical prostatectomy (LRP) represents the perfect example of the above mentioned. Indeed, the procedure is increasingly performed laparoscopic in Italy, while other countries, such as the U.S. only reserve the open technique (RRP) to a restricted number of cases.</w:t>
      </w:r>
    </w:p>
    <w:p>
      <w:pPr>
        <w:pStyle w:val="Corpo"/>
        <w:bidi w:val="0"/>
      </w:pPr>
      <w:r>
        <w:rPr>
          <w:rtl w:val="0"/>
        </w:rPr>
        <w:t>In the last decade, the main focus converged on the robot assisted prostatectomy (RALP) resulting that, in the U.S., the procedure outrun and replaced both the open and the pure laparoscopic techniques.</w:t>
      </w:r>
    </w:p>
    <w:p>
      <w:pPr>
        <w:pStyle w:val="Corpo"/>
        <w:bidi w:val="0"/>
      </w:pPr>
    </w:p>
    <w:p>
      <w:pPr>
        <w:pStyle w:val="Corpo"/>
        <w:bidi w:val="0"/>
      </w:pPr>
      <w:r>
        <w:rPr>
          <w:rtl w:val="0"/>
        </w:rPr>
        <w:t>The RALP is carried out by the using of a robotic system (da Vinci</w:t>
      </w:r>
      <w:r>
        <w:rPr>
          <w:rtl w:val="0"/>
        </w:rPr>
        <w:t>®</w:t>
      </w:r>
      <w:r>
        <w:rPr>
          <w:rtl w:val="0"/>
        </w:rPr>
        <w:t>, Intuitive Surgical, USA) with three operative harms ( four, in the S version) linked to a mastered consolle by the surgeon. HD screen, on a laparoscopic column, completes the system allowing the vision on field also to the second surgeon. The benefits from this robot assisted technique are a better envision of the whole surgical field, 3D for the master at the consolle, and a sensible improvement of range of movements due to the robotic harms.</w:t>
      </w:r>
    </w:p>
    <w:p>
      <w:pPr>
        <w:pStyle w:val="Corpo"/>
        <w:bidi w:val="0"/>
      </w:pPr>
      <w:r>
        <w:rPr>
          <w:rtl w:val="0"/>
        </w:rPr>
        <w:t>At the S.C.D.U. Urology, A.O.U. San Luigi Gonzaga, the LRP was first introduced in 2000 while the RALP in 2008, after achieving a proper laparoscopic experience. RALP performances in the Institute has been encouraging, particularly regarding the early functional outcomes.</w:t>
      </w:r>
    </w:p>
    <w:p>
      <w:pPr>
        <w:pStyle w:val="Corpo"/>
        <w:bidi w:val="0"/>
      </w:pPr>
    </w:p>
    <w:p>
      <w:pPr>
        <w:pStyle w:val="Corpo"/>
        <w:bidi w:val="0"/>
      </w:pPr>
      <w:r>
        <w:rPr>
          <w:rtl w:val="0"/>
        </w:rPr>
        <w:t>SCIENTIFIC LITERATURE:</w:t>
      </w:r>
    </w:p>
    <w:p>
      <w:pPr>
        <w:pStyle w:val="Corpo"/>
        <w:bidi w:val="0"/>
      </w:pPr>
      <w:r>
        <w:rPr>
          <w:rtl w:val="0"/>
        </w:rPr>
        <w:t>Overall, current available scientific literature endorses the same our results. LRP allows shorter length of stay (LOS) compared to RRP, as well as better functional outcomes related to urinary continence and sexual potency, yet these last results are not shared by all the authors. Recent several studies on RALP performances showed comparable results with LRP regarding mini-invasivity as well as promising ones related to functional outcomes. Nonetheless, there</w:t>
      </w:r>
      <w:r>
        <w:rPr>
          <w:rtl w:val="0"/>
        </w:rPr>
        <w:t>’</w:t>
      </w:r>
      <w:r>
        <w:rPr>
          <w:rtl w:val="0"/>
        </w:rPr>
        <w:t>s no trace in literature of controlled prospective randomized trials in which LRP and RRP are compared in terms of safety and efficacy.</w:t>
      </w:r>
    </w:p>
    <w:p>
      <w:pPr>
        <w:pStyle w:val="Corpo"/>
        <w:bidi w:val="0"/>
      </w:pPr>
    </w:p>
    <w:p>
      <w:pPr>
        <w:pStyle w:val="Corpo"/>
        <w:bidi w:val="0"/>
      </w:pPr>
      <w:r>
        <w:rPr>
          <w:rtl w:val="0"/>
        </w:rPr>
        <w:t>OBJECTIVE:</w:t>
      </w:r>
    </w:p>
    <w:p>
      <w:pPr>
        <w:pStyle w:val="Corpo"/>
        <w:bidi w:val="0"/>
      </w:pPr>
      <w:r>
        <w:rPr>
          <w:rtl w:val="0"/>
        </w:rPr>
        <w:t xml:space="preserve">The primary aim of the study is </w:t>
      </w:r>
      <w:r>
        <w:rPr>
          <w:b w:val="1"/>
          <w:bCs w:val="1"/>
          <w:rtl w:val="0"/>
          <w:lang w:val="it-IT"/>
        </w:rPr>
        <w:t xml:space="preserve">to report the safety and efficacy of laparoscopic and robot assisted techniques respectively, for which is concerning the radical prostatectomy </w:t>
      </w:r>
      <w:r>
        <w:rPr>
          <w:rtl w:val="0"/>
        </w:rPr>
        <w:t>through the perioperative and follow up data analysis of patients who underwent these procedures at the S.C.D.U. Urology.</w:t>
      </w:r>
    </w:p>
    <w:p>
      <w:pPr>
        <w:pStyle w:val="Corpo"/>
        <w:bidi w:val="0"/>
      </w:pPr>
      <w:r>
        <w:rPr>
          <w:rtl w:val="0"/>
        </w:rPr>
        <w:t>Notably, primary endpoint is to evaluate the results concerning urinary continence and sexual potency. The secondary endpoint of the study is represented by the oncological, anesthesiological and intraoperative outcomes.</w:t>
      </w:r>
    </w:p>
    <w:p>
      <w:pPr>
        <w:pStyle w:val="Corpo"/>
        <w:bidi w:val="0"/>
      </w:pPr>
    </w:p>
    <w:p>
      <w:pPr>
        <w:pStyle w:val="Corpo"/>
        <w:bidi w:val="0"/>
      </w:pPr>
      <w:r>
        <w:rPr>
          <w:rtl w:val="0"/>
        </w:rPr>
        <w:t>STUDY POPULATION AND ADMISSION REGIME DURING SPERIMENTATION:</w:t>
      </w:r>
    </w:p>
    <w:p>
      <w:pPr>
        <w:pStyle w:val="Corpo"/>
        <w:bidi w:val="0"/>
      </w:pPr>
      <w:r>
        <w:rPr>
          <w:rtl w:val="0"/>
        </w:rPr>
        <w:t>Patients burdened by the diagnosis of localized prostate cancer, registered for radical prostatectomy at S.C.D.U. Urology in the study time frame.</w:t>
      </w:r>
    </w:p>
    <w:p>
      <w:pPr>
        <w:pStyle w:val="Corpo"/>
        <w:bidi w:val="0"/>
      </w:pPr>
    </w:p>
    <w:p>
      <w:pPr>
        <w:pStyle w:val="Corpo"/>
        <w:bidi w:val="0"/>
      </w:pPr>
      <w:r>
        <w:rPr>
          <w:rtl w:val="0"/>
        </w:rPr>
        <w:t>INCLUSION CRITERIA:</w:t>
      </w:r>
    </w:p>
    <w:p>
      <w:pPr>
        <w:pStyle w:val="Corpo"/>
        <w:bidi w:val="0"/>
      </w:pPr>
      <w:r>
        <w:rPr>
          <w:rtl w:val="0"/>
        </w:rPr>
        <w:t xml:space="preserve">50 to 75 aged patients, affected by </w:t>
      </w:r>
      <w:r>
        <w:rPr>
          <w:b w:val="1"/>
          <w:bCs w:val="1"/>
          <w:rtl w:val="0"/>
          <w:lang w:val="it-IT"/>
        </w:rPr>
        <w:t>localized or locally advanced prostate cancer (clinical stage T1-2 or T3, anyway, N0, M0),</w:t>
      </w:r>
      <w:r>
        <w:rPr>
          <w:rtl w:val="0"/>
        </w:rPr>
        <w:t xml:space="preserve"> Gleason Score ranged from 2 to 10 and PSA under 20 ng/ml.</w:t>
      </w:r>
    </w:p>
    <w:p>
      <w:pPr>
        <w:pStyle w:val="Corpo"/>
        <w:bidi w:val="0"/>
      </w:pPr>
    </w:p>
    <w:p>
      <w:pPr>
        <w:pStyle w:val="Corpo"/>
        <w:bidi w:val="0"/>
      </w:pPr>
    </w:p>
    <w:p>
      <w:pPr>
        <w:pStyle w:val="Corpo"/>
        <w:bidi w:val="0"/>
      </w:pPr>
    </w:p>
    <w:p>
      <w:pPr>
        <w:pStyle w:val="Corpo"/>
        <w:bidi w:val="0"/>
      </w:pPr>
      <w:r>
        <w:rPr>
          <w:rtl w:val="0"/>
        </w:rPr>
        <w:t xml:space="preserve">EXCLUSION CRITERIA: </w:t>
      </w:r>
    </w:p>
    <w:p>
      <w:pPr>
        <w:pStyle w:val="Corpo"/>
        <w:bidi w:val="0"/>
      </w:pPr>
      <w:r>
        <w:rPr>
          <w:rtl w:val="0"/>
        </w:rPr>
        <w:t>All candidates for radical prostatectomy has been enrolled except the ones who did not agreed the informed consent to the study.</w:t>
      </w:r>
    </w:p>
    <w:p>
      <w:pPr>
        <w:pStyle w:val="Corpo"/>
        <w:bidi w:val="0"/>
      </w:pPr>
    </w:p>
    <w:p>
      <w:pPr>
        <w:pStyle w:val="Corpo"/>
        <w:bidi w:val="0"/>
      </w:pPr>
      <w:r>
        <w:rPr>
          <w:rtl w:val="0"/>
        </w:rPr>
        <w:t>TYPE OF SURGERY AND ANESTHESIOLOGICAL PROTOCOL:</w:t>
      </w:r>
    </w:p>
    <w:p>
      <w:pPr>
        <w:pStyle w:val="Corpo"/>
        <w:bidi w:val="0"/>
      </w:pPr>
      <w:r>
        <w:rPr>
          <w:rtl w:val="0"/>
        </w:rPr>
        <w:t>A transperitoneal typical video laparoscopic radical prostatectomy will be performed. When necessary (GS &gt; 7, PSA &gt; 10 ng/ml) an extended pelvic lymphadenectomy will be associated.</w:t>
      </w:r>
    </w:p>
    <w:p>
      <w:pPr>
        <w:pStyle w:val="Corpo"/>
        <w:bidi w:val="0"/>
      </w:pPr>
      <w:r>
        <w:rPr>
          <w:rtl w:val="0"/>
        </w:rPr>
        <w:t>In case of LRP 5 laparoscopic breaches will be used ( 2 of 12 mm and 3 of 5 mm).</w:t>
      </w:r>
    </w:p>
    <w:p>
      <w:pPr>
        <w:pStyle w:val="Corpo"/>
        <w:bidi w:val="0"/>
      </w:pPr>
      <w:r>
        <w:rPr>
          <w:rtl w:val="0"/>
        </w:rPr>
        <w:t>In case of RALP 6 laparoscopic breaches will be used ( 2 of 12 mm, 2 of 8 mm and 2 of 5 mm).</w:t>
      </w:r>
    </w:p>
    <w:p>
      <w:pPr>
        <w:pStyle w:val="Corpo"/>
        <w:bidi w:val="0"/>
      </w:pPr>
      <w:r>
        <w:rPr>
          <w:rtl w:val="0"/>
        </w:rPr>
        <w:t>Both group will be admnistered by general anesthesia intraoperatively and same management after surgery.</w:t>
      </w:r>
    </w:p>
    <w:p>
      <w:pPr>
        <w:pStyle w:val="Corpo"/>
        <w:bidi w:val="0"/>
      </w:pPr>
    </w:p>
    <w:p>
      <w:pPr>
        <w:pStyle w:val="Corpo"/>
        <w:bidi w:val="0"/>
      </w:pPr>
      <w:r>
        <w:rPr>
          <w:rtl w:val="0"/>
        </w:rPr>
        <w:t>STUDY PLOT AND SAMPLE SIZE:</w:t>
      </w:r>
    </w:p>
    <w:p>
      <w:pPr>
        <w:pStyle w:val="Corpo"/>
        <w:bidi w:val="0"/>
      </w:pPr>
      <w:r>
        <w:rPr>
          <w:rtl w:val="0"/>
        </w:rPr>
        <w:t>Prospective, randomized, single centred, two harms:</w:t>
      </w:r>
    </w:p>
    <w:p>
      <w:pPr>
        <w:pStyle w:val="Corpo"/>
        <w:bidi w:val="0"/>
      </w:pPr>
      <w:r>
        <w:rPr>
          <w:rtl w:val="0"/>
        </w:rPr>
        <w:t>- A group: patients underwent LRP</w:t>
      </w:r>
    </w:p>
    <w:p>
      <w:pPr>
        <w:pStyle w:val="Corpo"/>
        <w:bidi w:val="0"/>
      </w:pPr>
      <w:r>
        <w:rPr>
          <w:rtl w:val="0"/>
        </w:rPr>
        <w:t>- B group: patients underwent RALP</w:t>
      </w:r>
    </w:p>
    <w:p>
      <w:pPr>
        <w:pStyle w:val="Corpo"/>
        <w:bidi w:val="0"/>
      </w:pPr>
      <w:r>
        <w:rPr>
          <w:rtl w:val="0"/>
        </w:rPr>
        <w:t>A 200 patients randomization is expected.</w:t>
      </w:r>
    </w:p>
    <w:p>
      <w:pPr>
        <w:pStyle w:val="Corpo"/>
        <w:bidi w:val="0"/>
      </w:pPr>
    </w:p>
    <w:p>
      <w:pPr>
        <w:pStyle w:val="Corpo"/>
        <w:bidi w:val="0"/>
      </w:pPr>
      <w:r>
        <w:rPr>
          <w:rtl w:val="0"/>
        </w:rPr>
        <w:t>RANDOMIZATION METHOD:</w:t>
      </w:r>
    </w:p>
    <w:p>
      <w:pPr>
        <w:pStyle w:val="Corpo"/>
        <w:bidi w:val="0"/>
      </w:pPr>
      <w:r>
        <w:rPr>
          <w:rtl w:val="0"/>
        </w:rPr>
        <w:t xml:space="preserve">An appropriate two-harmed randomization scheme will be generated by specific </w:t>
      </w:r>
      <w:r>
        <w:rPr>
          <w:rtl w:val="0"/>
        </w:rPr>
        <w:t>“</w:t>
      </w:r>
      <w:r>
        <w:rPr>
          <w:rtl w:val="0"/>
        </w:rPr>
        <w:t>query</w:t>
      </w:r>
      <w:r>
        <w:rPr>
          <w:rtl w:val="0"/>
        </w:rPr>
        <w:t xml:space="preserve">” </w:t>
      </w:r>
      <w:r>
        <w:rPr>
          <w:rtl w:val="0"/>
        </w:rPr>
        <w:t xml:space="preserve">at </w:t>
      </w:r>
      <w:r>
        <w:rPr>
          <w:rStyle w:val="Hyperlink.0"/>
        </w:rPr>
        <w:fldChar w:fldCharType="begin" w:fldLock="0"/>
      </w:r>
      <w:r>
        <w:rPr>
          <w:rStyle w:val="Hyperlink.0"/>
        </w:rPr>
        <w:instrText xml:space="preserve"> HYPERLINK "http://www.randomization.com"</w:instrText>
      </w:r>
      <w:r>
        <w:rPr>
          <w:rStyle w:val="Hyperlink.0"/>
        </w:rPr>
        <w:fldChar w:fldCharType="separate" w:fldLock="0"/>
      </w:r>
      <w:r>
        <w:rPr>
          <w:rStyle w:val="Hyperlink.0"/>
          <w:rtl w:val="0"/>
        </w:rPr>
        <w:t>www.randomization.com</w:t>
      </w:r>
      <w:r>
        <w:rPr/>
        <w:fldChar w:fldCharType="end" w:fldLock="0"/>
      </w:r>
    </w:p>
    <w:p>
      <w:pPr>
        <w:pStyle w:val="Corpo"/>
        <w:bidi w:val="0"/>
      </w:pPr>
    </w:p>
    <w:p>
      <w:pPr>
        <w:pStyle w:val="Corpo"/>
        <w:bidi w:val="0"/>
      </w:pPr>
      <w:r>
        <w:rPr>
          <w:rtl w:val="0"/>
        </w:rPr>
        <w:t>VISIT AND EXAMS:</w:t>
      </w:r>
    </w:p>
    <w:p>
      <w:pPr>
        <w:pStyle w:val="Corpo"/>
        <w:bidi w:val="0"/>
      </w:pPr>
      <w:r>
        <w:rPr>
          <w:rtl w:val="0"/>
        </w:rPr>
        <w:t>The visit and preoperative exams protocol does not differ from the routine one planned for each patients preparing for radical prostatectomy to our Division:</w:t>
      </w:r>
    </w:p>
    <w:p>
      <w:pPr>
        <w:pStyle w:val="Corpo"/>
        <w:numPr>
          <w:ilvl w:val="0"/>
          <w:numId w:val="2"/>
        </w:numPr>
        <w:bidi w:val="0"/>
      </w:pPr>
      <w:r>
        <w:rPr>
          <w:rtl w:val="0"/>
        </w:rPr>
        <w:t>preoperative exams: blood chemistry routine, EKG, 2P torax XR, PSA total and free. In case of PSA &gt; 10 or GS &gt; 6, abdomen CT with contrast medium and total body bone scan will be executed.</w:t>
      </w:r>
    </w:p>
    <w:p>
      <w:pPr>
        <w:pStyle w:val="Corpo"/>
        <w:bidi w:val="0"/>
      </w:pPr>
      <w:r>
        <w:rPr>
          <w:rtl w:val="0"/>
        </w:rPr>
        <w:t>Follow up visits expected:</w:t>
      </w:r>
    </w:p>
    <w:p>
      <w:pPr>
        <w:pStyle w:val="Corpo"/>
        <w:numPr>
          <w:ilvl w:val="0"/>
          <w:numId w:val="4"/>
        </w:numPr>
        <w:bidi w:val="0"/>
      </w:pPr>
      <w:r>
        <w:rPr>
          <w:rtl w:val="0"/>
        </w:rPr>
        <w:t>Urinary catether removal day</w:t>
      </w:r>
    </w:p>
    <w:p>
      <w:pPr>
        <w:pStyle w:val="Corpo"/>
        <w:numPr>
          <w:ilvl w:val="0"/>
          <w:numId w:val="4"/>
        </w:numPr>
        <w:bidi w:val="0"/>
      </w:pPr>
      <w:r>
        <w:rPr>
          <w:rtl w:val="0"/>
        </w:rPr>
        <w:t>1 month after catether removal</w:t>
      </w:r>
    </w:p>
    <w:p>
      <w:pPr>
        <w:pStyle w:val="Corpo"/>
        <w:numPr>
          <w:ilvl w:val="0"/>
          <w:numId w:val="4"/>
        </w:numPr>
        <w:bidi w:val="0"/>
      </w:pPr>
      <w:r>
        <w:rPr>
          <w:rtl w:val="0"/>
        </w:rPr>
        <w:t>3 months after catether removal</w:t>
      </w:r>
    </w:p>
    <w:p>
      <w:pPr>
        <w:pStyle w:val="Corpo"/>
        <w:numPr>
          <w:ilvl w:val="0"/>
          <w:numId w:val="4"/>
        </w:numPr>
        <w:bidi w:val="0"/>
      </w:pPr>
      <w:r>
        <w:rPr>
          <w:rtl w:val="0"/>
        </w:rPr>
        <w:t>6 months after catether removal</w:t>
      </w:r>
    </w:p>
    <w:p>
      <w:pPr>
        <w:pStyle w:val="Corpo"/>
        <w:numPr>
          <w:ilvl w:val="0"/>
          <w:numId w:val="4"/>
        </w:numPr>
        <w:bidi w:val="0"/>
      </w:pPr>
      <w:r>
        <w:rPr>
          <w:rtl w:val="0"/>
        </w:rPr>
        <w:t>12 months after catether removal</w:t>
      </w:r>
    </w:p>
    <w:p>
      <w:pPr>
        <w:pStyle w:val="Corpo"/>
        <w:bidi w:val="0"/>
      </w:pPr>
      <w:r>
        <w:rPr>
          <w:rtl w:val="0"/>
        </w:rPr>
        <w:t>During each step, patients will be asked to fill the ICF and IIEF survey. In case of persistent urinary incontinence ( i.e.: still present at the third month after catether removal) a short (1hr) PAD test will be administered to value the urinary leakage.</w:t>
      </w:r>
    </w:p>
    <w:p>
      <w:pPr>
        <w:pStyle w:val="Corpo"/>
        <w:bidi w:val="0"/>
      </w:pPr>
      <w:r>
        <w:rPr>
          <w:rtl w:val="0"/>
        </w:rPr>
        <w:t>Blood chemistry regarding total PSA will be asked at 1, 3, 6, and 12 months after surgery.</w:t>
      </w:r>
    </w:p>
    <w:p>
      <w:pPr>
        <w:pStyle w:val="Corpo"/>
        <w:bidi w:val="0"/>
      </w:pPr>
      <w:r>
        <w:rPr>
          <w:rtl w:val="0"/>
        </w:rPr>
        <w:t>Only the case of biochemical recurrence within 12 months with PSA &gt; 10 will need a control total body bone scan / choline-PET CT</w:t>
      </w:r>
    </w:p>
    <w:p>
      <w:pPr>
        <w:pStyle w:val="Corpo"/>
        <w:bidi w:val="0"/>
      </w:pPr>
    </w:p>
    <w:p>
      <w:pPr>
        <w:pStyle w:val="Corpo"/>
        <w:bidi w:val="0"/>
      </w:pPr>
      <w:r>
        <w:rPr>
          <w:rtl w:val="0"/>
        </w:rPr>
        <w:t>SAFETY EVALUATION PARAMETERS:</w:t>
      </w:r>
    </w:p>
    <w:p>
      <w:pPr>
        <w:pStyle w:val="Corpo"/>
        <w:bidi w:val="0"/>
      </w:pPr>
      <w:r>
        <w:rPr>
          <w:rtl w:val="0"/>
        </w:rPr>
        <w:t>Values to assess the safety of each procedures will be:</w:t>
      </w:r>
    </w:p>
    <w:p>
      <w:pPr>
        <w:pStyle w:val="Corpo"/>
        <w:numPr>
          <w:ilvl w:val="0"/>
          <w:numId w:val="4"/>
        </w:numPr>
        <w:bidi w:val="0"/>
      </w:pPr>
      <w:r>
        <w:rPr>
          <w:rtl w:val="0"/>
        </w:rPr>
        <w:t>surgical data: operative time, estimated blood loss, intraoperative complications</w:t>
      </w:r>
    </w:p>
    <w:p>
      <w:pPr>
        <w:pStyle w:val="Corpo"/>
        <w:numPr>
          <w:ilvl w:val="0"/>
          <w:numId w:val="4"/>
        </w:numPr>
        <w:bidi w:val="0"/>
      </w:pPr>
      <w:r>
        <w:rPr>
          <w:rtl w:val="0"/>
        </w:rPr>
        <w:t>post surgical data: postoperative complications, LOS, recovery to ordinary activities</w:t>
      </w:r>
    </w:p>
    <w:p>
      <w:pPr>
        <w:pStyle w:val="Corpo"/>
        <w:bidi w:val="0"/>
      </w:pPr>
      <w:r>
        <w:rPr>
          <w:rtl w:val="0"/>
        </w:rPr>
        <w:t>Specific attention will be given to intra and post operative anesthesiological data:</w:t>
      </w:r>
    </w:p>
    <w:p>
      <w:pPr>
        <w:pStyle w:val="Corpo"/>
        <w:numPr>
          <w:ilvl w:val="0"/>
          <w:numId w:val="4"/>
        </w:numPr>
        <w:bidi w:val="0"/>
      </w:pPr>
      <w:r>
        <w:rPr>
          <w:rtl w:val="0"/>
        </w:rPr>
        <w:t>intraoperative data: hemodynamic, respiratory, eye pressure values and amount of drugs required</w:t>
      </w:r>
    </w:p>
    <w:p>
      <w:pPr>
        <w:pStyle w:val="Corpo"/>
        <w:numPr>
          <w:ilvl w:val="0"/>
          <w:numId w:val="4"/>
        </w:numPr>
        <w:bidi w:val="0"/>
      </w:pPr>
      <w:r>
        <w:rPr>
          <w:rtl w:val="0"/>
        </w:rPr>
        <w:t>Verbal Rating Scale (VRC), Behavioral Score and values related to VAS scale, vital signs and state of conscious recorded at 1, 3, 6, 24 and 48 hours after surgery</w:t>
      </w:r>
    </w:p>
    <w:p>
      <w:pPr>
        <w:pStyle w:val="Corpo"/>
        <w:bidi w:val="0"/>
      </w:pPr>
    </w:p>
    <w:p>
      <w:pPr>
        <w:pStyle w:val="Corpo"/>
        <w:bidi w:val="0"/>
      </w:pPr>
      <w:r>
        <w:rPr>
          <w:rtl w:val="0"/>
        </w:rPr>
        <w:t>EFFICACY EVALUATION PARAMETERS:</w:t>
      </w:r>
    </w:p>
    <w:p>
      <w:pPr>
        <w:pStyle w:val="Corpo"/>
        <w:bidi w:val="0"/>
      </w:pPr>
      <w:r>
        <w:rPr>
          <w:rtl w:val="0"/>
        </w:rPr>
        <w:t>The efficacy comparison between the two procedures will be briefly branched in:</w:t>
      </w:r>
    </w:p>
    <w:p>
      <w:pPr>
        <w:pStyle w:val="Corpo"/>
        <w:numPr>
          <w:ilvl w:val="0"/>
          <w:numId w:val="4"/>
        </w:numPr>
        <w:bidi w:val="0"/>
      </w:pPr>
      <w:r>
        <w:rPr>
          <w:rtl w:val="0"/>
        </w:rPr>
        <w:t>Oncological efficacy: anatomopathological values, i.e. disease staging, surgical margins (positive/negative, if positive focal/multifocal, record of the extension of margin positivity) and follow up assestment such as biochemical recurrence, local recurrences of remote recurrences.</w:t>
      </w:r>
    </w:p>
    <w:p>
      <w:pPr>
        <w:pStyle w:val="Corpo"/>
        <w:numPr>
          <w:ilvl w:val="0"/>
          <w:numId w:val="4"/>
        </w:numPr>
        <w:bidi w:val="0"/>
      </w:pPr>
      <w:r>
        <w:rPr>
          <w:rtl w:val="0"/>
        </w:rPr>
        <w:t xml:space="preserve">Funcional efficacy: urinary continence at the time of catether removal and at 1, 3, 6, 12 months after; sexual potency at 1, 3, 6 and 12 months after surgery. Urinary continence will be assessed thanks to a specific, not-validated questionnaire for internal use, to the ICS survey and to a PAD test only in case of persistent incontinence. Sexual strength will be evaluated by a </w:t>
      </w:r>
      <w:r>
        <w:rPr>
          <w:rtl w:val="0"/>
          <w:lang w:val="en-US"/>
        </w:rPr>
        <w:t>not-validated questionnaire for internal use</w:t>
      </w:r>
      <w:r>
        <w:rPr>
          <w:rtl w:val="0"/>
        </w:rPr>
        <w:t xml:space="preserve"> and a IIEF survey.</w:t>
      </w:r>
    </w:p>
    <w:p>
      <w:pPr>
        <w:pStyle w:val="Corpo"/>
        <w:bidi w:val="0"/>
      </w:pPr>
    </w:p>
    <w:p>
      <w:pPr>
        <w:pStyle w:val="Corpo"/>
        <w:bidi w:val="0"/>
      </w:pPr>
      <w:r>
        <w:rPr>
          <w:rtl w:val="0"/>
        </w:rPr>
        <w:t>STUDY PERIOD:</w:t>
      </w:r>
    </w:p>
    <w:p>
      <w:pPr>
        <w:pStyle w:val="Corpo"/>
        <w:bidi w:val="0"/>
      </w:pPr>
      <w:r>
        <w:rPr>
          <w:rtl w:val="0"/>
        </w:rPr>
        <w:t xml:space="preserve">Due to the amount of this specific procedures carried out in our Institute, we exstimated two years for the enrollment and a further year for the follow up completion. </w:t>
      </w:r>
    </w:p>
    <w:p>
      <w:pPr>
        <w:pStyle w:val="Corpo"/>
        <w:bidi w:val="0"/>
      </w:pPr>
      <w:r>
        <w:rPr>
          <w:rtl w:val="0"/>
        </w:rPr>
        <w:t>A total of 36 months will be needed starting from the obtaining of all the needed allowances.</w:t>
      </w:r>
    </w:p>
    <w:p>
      <w:pPr>
        <w:pStyle w:val="Corpo"/>
        <w:bidi w:val="0"/>
      </w:pPr>
    </w:p>
    <w:p>
      <w:pPr>
        <w:pStyle w:val="Corpo"/>
        <w:bidi w:val="0"/>
      </w:pPr>
      <w:r>
        <w:rPr>
          <w:rtl w:val="0"/>
        </w:rPr>
        <w:t>STATISTICS:</w:t>
      </w:r>
    </w:p>
    <w:p>
      <w:pPr>
        <w:pStyle w:val="Corpo"/>
        <w:bidi w:val="0"/>
      </w:pPr>
      <w:r>
        <w:rPr>
          <w:rtl w:val="0"/>
        </w:rPr>
        <w:t>The sample size forecast has been operated starting from the discrepancy between the two groups obtained from the literature analysis.</w:t>
      </w:r>
    </w:p>
    <w:p>
      <w:pPr>
        <w:pStyle w:val="Corpo"/>
        <w:bidi w:val="0"/>
      </w:pPr>
      <w:r>
        <w:rPr>
          <w:rtl w:val="0"/>
        </w:rPr>
        <w:t xml:space="preserve">The echoed data from the population study will be processed by a dedicated software on personal computer (Windows Statsoft </w:t>
      </w:r>
      <w:r>
        <w:rPr>
          <w:rtl w:val="0"/>
        </w:rPr>
        <w:t>®</w:t>
      </w:r>
      <w:r>
        <w:rPr>
          <w:rtl w:val="0"/>
        </w:rPr>
        <w:t>). Significativity cut off for each results are set to p&lt;0.05.</w:t>
      </w:r>
    </w:p>
    <w:p>
      <w:pPr>
        <w:pStyle w:val="Corpo"/>
        <w:bidi w:val="0"/>
      </w:pPr>
    </w:p>
    <w:p>
      <w:pPr>
        <w:pStyle w:val="Corpo"/>
        <w:bidi w:val="0"/>
      </w:pPr>
      <w:r>
        <w:rPr>
          <w:rtl w:val="0"/>
        </w:rPr>
        <w:t>PUBLICATION:</w:t>
      </w:r>
    </w:p>
    <w:p>
      <w:pPr>
        <w:pStyle w:val="Corpo"/>
        <w:bidi w:val="0"/>
      </w:pPr>
      <w:r>
        <w:rPr>
          <w:rtl w:val="0"/>
        </w:rPr>
        <w:t>Results will be published either will emerge differences between the two group or not.</w:t>
      </w:r>
    </w:p>
    <w:p>
      <w:pPr>
        <w:pStyle w:val="Corpo"/>
        <w:bidi w:val="0"/>
      </w:pPr>
    </w:p>
    <w:p>
      <w:pPr>
        <w:pStyle w:val="Corpo"/>
        <w:bidi w:val="0"/>
      </w:pPr>
      <w:r>
        <w:rPr>
          <w:rtl w:val="0"/>
        </w:rPr>
        <w:t>DATA PROPERTY AND RESULTS USAGE:</w:t>
      </w:r>
    </w:p>
    <w:p>
      <w:pPr>
        <w:pStyle w:val="Corpo"/>
        <w:bidi w:val="0"/>
      </w:pPr>
      <w:r>
        <w:rPr>
          <w:rtl w:val="0"/>
        </w:rPr>
        <w:t>Data property belong to the investigator</w:t>
      </w:r>
    </w:p>
    <w:p>
      <w:pPr>
        <w:pStyle w:val="Corpo"/>
        <w:bidi w:val="0"/>
      </w:pPr>
    </w:p>
    <w:p>
      <w:pPr>
        <w:pStyle w:val="Corpo"/>
        <w:bidi w:val="0"/>
      </w:pPr>
    </w:p>
    <w:p>
      <w:pPr>
        <w:pStyle w:val="Corpo"/>
        <w:jc w:val="right"/>
      </w:pPr>
      <w:r>
        <w:rPr>
          <w:rtl w:val="0"/>
          <w:lang w:val="it-IT"/>
        </w:rPr>
        <w:t>Main Investigator</w:t>
      </w:r>
    </w:p>
    <w:p>
      <w:pPr>
        <w:pStyle w:val="Corpo"/>
        <w:jc w:val="right"/>
      </w:pPr>
      <w:r>
        <w:rPr>
          <w:rtl w:val="0"/>
          <w:lang w:val="it-IT"/>
        </w:rPr>
        <w:t>Professor FrancescoPorpiglia</w:t>
      </w:r>
    </w:p>
    <w:p>
      <w:pPr>
        <w:pStyle w:val="Corpo"/>
        <w:bidi w:val="0"/>
      </w:pPr>
    </w:p>
    <w:p>
      <w:pPr>
        <w:pStyle w:val="Corpo"/>
        <w:bidi w:val="0"/>
      </w:p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Trattino"/>
  </w:abstractNum>
  <w:abstractNum w:abstractNumId="1">
    <w:multiLevelType w:val="hybridMultilevel"/>
    <w:styleLink w:val="Trattino"/>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abstractNum w:abstractNumId="2">
    <w:multiLevelType w:val="hybridMultilevel"/>
    <w:numStyleLink w:val="Appunti"/>
  </w:abstractNum>
  <w:abstractNum w:abstractNumId="3">
    <w:multiLevelType w:val="hybridMultilevel"/>
    <w:styleLink w:val="Appunti"/>
    <w:lvl w:ilvl="0">
      <w:start w:val="1"/>
      <w:numFmt w:val="bullet"/>
      <w:suff w:val="tab"/>
      <w:lvlText w:val="-"/>
      <w:lvlJc w:val="left"/>
      <w:pPr>
        <w:ind w:left="220" w:hanging="22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start w:val="1"/>
      <w:numFmt w:val="bullet"/>
      <w:suff w:val="tab"/>
      <w:lvlText w:val="•"/>
      <w:lvlJc w:val="left"/>
      <w:pPr>
        <w:ind w:left="460" w:hanging="22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start w:val="1"/>
      <w:numFmt w:val="bullet"/>
      <w:suff w:val="tab"/>
      <w:lvlText w:val="-"/>
      <w:lvlJc w:val="left"/>
      <w:pPr>
        <w:ind w:left="700" w:hanging="22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start w:val="1"/>
      <w:numFmt w:val="bullet"/>
      <w:suff w:val="tab"/>
      <w:lvlText w:val="•"/>
      <w:lvlJc w:val="left"/>
      <w:pPr>
        <w:ind w:left="940" w:hanging="22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start w:val="1"/>
      <w:numFmt w:val="bullet"/>
      <w:suff w:val="tab"/>
      <w:lvlText w:val="-"/>
      <w:lvlJc w:val="left"/>
      <w:pPr>
        <w:ind w:left="1180" w:hanging="22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start w:val="1"/>
      <w:numFmt w:val="bullet"/>
      <w:suff w:val="tab"/>
      <w:lvlText w:val="•"/>
      <w:lvlJc w:val="left"/>
      <w:pPr>
        <w:ind w:left="1420" w:hanging="22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start w:val="1"/>
      <w:numFmt w:val="bullet"/>
      <w:suff w:val="tab"/>
      <w:lvlText w:val="-"/>
      <w:lvlJc w:val="left"/>
      <w:pPr>
        <w:ind w:left="1660" w:hanging="22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start w:val="1"/>
      <w:numFmt w:val="bullet"/>
      <w:suff w:val="tab"/>
      <w:lvlText w:val="•"/>
      <w:lvlJc w:val="left"/>
      <w:pPr>
        <w:ind w:left="1900" w:hanging="22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start w:val="1"/>
      <w:numFmt w:val="bullet"/>
      <w:suff w:val="tab"/>
      <w:lvlText w:val="-"/>
      <w:lvlJc w:val="left"/>
      <w:pPr>
        <w:ind w:left="2140" w:hanging="22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color w:val="000000"/>
      <w:spacing w:val="0"/>
      <w:kern w:val="0"/>
      <w:position w:val="0"/>
      <w:sz w:val="22"/>
      <w:szCs w:val="22"/>
      <w:u w:val="none"/>
      <w:vertAlign w:val="baseline"/>
      <w:lang w:val="it-IT"/>
    </w:rPr>
  </w:style>
  <w:style w:type="character" w:styleId="Hyperlink.0">
    <w:name w:val="Hyperlink.0"/>
    <w:basedOn w:val="Hyperlink"/>
    <w:next w:val="Hyperlink.0"/>
    <w:rPr>
      <w:u w:val="single"/>
    </w:rPr>
  </w:style>
  <w:style w:type="numbering" w:styleId="Trattino">
    <w:name w:val="Trattino"/>
    <w:pPr>
      <w:numPr>
        <w:numId w:val="1"/>
      </w:numPr>
    </w:pPr>
  </w:style>
  <w:style w:type="numbering" w:styleId="Appunti">
    <w:name w:val="Appunti"/>
    <w:pPr>
      <w:numPr>
        <w:numId w:val="3"/>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