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Table 1. Number of samples and genes in datasets in this study.</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2869"/>
        <w:gridCol w:w="1397"/>
      </w:tblGrid>
      <w:tr>
        <w:tc>
          <w:tcPr>
            <w:tcW w:w="165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Data sets</w:t>
            </w:r>
          </w:p>
        </w:tc>
        <w:tc>
          <w:tcPr>
            <w:tcW w:w="165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Platforms</w:t>
            </w:r>
          </w:p>
        </w:tc>
        <w:tc>
          <w:tcPr>
            <w:tcW w:w="286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C</w:t>
            </w:r>
            <w:r>
              <w:rPr>
                <w:rFonts w:hint="default" w:ascii="Times New Roman Regular" w:hAnsi="Times New Roman Regular" w:cs="Times New Roman Regular"/>
                <w:sz w:val="24"/>
                <w:szCs w:val="24"/>
                <w:lang w:val="en-US" w:eastAsia="zh-Hans"/>
              </w:rPr>
              <w:t>ontrol</w:t>
            </w:r>
            <w:r>
              <w:rPr>
                <w:rFonts w:hint="default" w:ascii="Times New Roman Regular" w:hAnsi="Times New Roman Regular" w:cs="Times New Roman Regular"/>
                <w:sz w:val="24"/>
                <w:szCs w:val="24"/>
                <w:lang w:eastAsia="zh-Hans"/>
              </w:rPr>
              <w:t xml:space="preserve"> </w:t>
            </w:r>
            <w:r>
              <w:rPr>
                <w:rFonts w:hint="default" w:ascii="Times New Roman Regular" w:hAnsi="Times New Roman Regular" w:cs="Times New Roman Regular"/>
                <w:sz w:val="24"/>
                <w:szCs w:val="24"/>
              </w:rPr>
              <w:t>samples</w:t>
            </w:r>
          </w:p>
        </w:tc>
        <w:tc>
          <w:tcPr>
            <w:tcW w:w="1397"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Patients’ samples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5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GSE138198</w:t>
            </w:r>
          </w:p>
        </w:tc>
        <w:tc>
          <w:tcPr>
            <w:tcW w:w="1659" w:type="dxa"/>
          </w:tcPr>
          <w:p>
            <w:pPr>
              <w:keepNext w:val="0"/>
              <w:keepLines w:val="0"/>
              <w:widowControl/>
              <w:suppressLineNumbers w:val="0"/>
              <w:spacing w:before="0" w:beforeAutospacing="0" w:after="0" w:afterAutospacing="0"/>
              <w:ind w:left="0" w:right="0"/>
              <w:jc w:val="left"/>
              <w:rPr>
                <w:rFonts w:hint="default" w:ascii="Times New Roman Regular" w:hAnsi="Times New Roman Regular" w:cs="Times New Roman Regular"/>
                <w:sz w:val="24"/>
                <w:szCs w:val="24"/>
              </w:rPr>
            </w:pPr>
            <w:r>
              <w:rPr>
                <w:rFonts w:hint="default" w:ascii="Times New Roman Regular" w:hAnsi="Times New Roman Regular" w:eastAsia="宋体" w:cs="Times New Roman Regular"/>
                <w:kern w:val="0"/>
                <w:sz w:val="24"/>
                <w:szCs w:val="24"/>
                <w:lang w:val="en-US" w:eastAsia="zh-CN" w:bidi="ar"/>
              </w:rPr>
              <w:t xml:space="preserve">GPL6244 </w:t>
            </w:r>
          </w:p>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p>
        </w:tc>
        <w:tc>
          <w:tcPr>
            <w:tcW w:w="286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3 healthy samples</w:t>
            </w:r>
          </w:p>
        </w:tc>
        <w:tc>
          <w:tcPr>
            <w:tcW w:w="1397"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13 HT samples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5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GSE110147</w:t>
            </w:r>
          </w:p>
        </w:tc>
        <w:tc>
          <w:tcPr>
            <w:tcW w:w="1659" w:type="dxa"/>
          </w:tcPr>
          <w:p>
            <w:pPr>
              <w:keepNext w:val="0"/>
              <w:keepLines w:val="0"/>
              <w:widowControl/>
              <w:suppressLineNumbers w:val="0"/>
              <w:spacing w:before="0" w:beforeAutospacing="0" w:after="0" w:afterAutospacing="0"/>
              <w:ind w:left="0" w:right="0"/>
              <w:jc w:val="left"/>
              <w:rPr>
                <w:rFonts w:hint="default" w:ascii="Times New Roman Regular" w:hAnsi="Times New Roman Regular" w:cs="Times New Roman Regular"/>
                <w:sz w:val="24"/>
                <w:szCs w:val="24"/>
              </w:rPr>
            </w:pPr>
            <w:r>
              <w:rPr>
                <w:rFonts w:hint="default" w:ascii="Times New Roman Regular" w:hAnsi="Times New Roman Regular" w:eastAsia="宋体" w:cs="Times New Roman Regular"/>
                <w:kern w:val="0"/>
                <w:sz w:val="24"/>
                <w:szCs w:val="24"/>
                <w:lang w:val="en-US" w:eastAsia="zh-CN" w:bidi="ar"/>
              </w:rPr>
              <w:t xml:space="preserve">GPL6244 </w:t>
            </w:r>
          </w:p>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p>
        </w:tc>
        <w:tc>
          <w:tcPr>
            <w:tcW w:w="286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11 healthy samples</w:t>
            </w:r>
          </w:p>
        </w:tc>
        <w:tc>
          <w:tcPr>
            <w:tcW w:w="1397"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22 IPF samples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59" w:type="dxa"/>
          </w:tcPr>
          <w:p>
            <w:pPr>
              <w:keepNext w:val="0"/>
              <w:keepLines w:val="0"/>
              <w:widowControl/>
              <w:suppressLineNumbers w:val="0"/>
              <w:spacing w:before="0" w:beforeAutospacing="0" w:after="0" w:afterAutospacing="0"/>
              <w:ind w:left="0" w:right="0"/>
              <w:jc w:val="left"/>
              <w:rPr>
                <w:rFonts w:hint="default" w:ascii="Times New Roman Regular" w:hAnsi="Times New Roman Regular" w:cs="Times New Roman Regular"/>
                <w:sz w:val="24"/>
                <w:szCs w:val="24"/>
              </w:rPr>
            </w:pPr>
            <w:r>
              <w:rPr>
                <w:rFonts w:hint="default" w:ascii="Times New Roman Regular" w:hAnsi="Times New Roman Regular" w:eastAsia="宋体" w:cs="Times New Roman Regular"/>
                <w:color w:val="000000"/>
                <w:spacing w:val="15"/>
                <w:kern w:val="0"/>
                <w:sz w:val="24"/>
                <w:szCs w:val="24"/>
                <w:shd w:val="clear" w:fill="FFFFFF"/>
                <w:lang w:val="en-US" w:eastAsia="zh-CN" w:bidi="ar"/>
              </w:rPr>
              <w:t>GSE29315</w:t>
            </w:r>
            <w:r>
              <w:rPr>
                <w:rFonts w:hint="default" w:ascii="Times New Roman Regular" w:hAnsi="Times New Roman Regular" w:eastAsia="宋体" w:cs="Times New Roman Regular"/>
                <w:kern w:val="0"/>
                <w:sz w:val="24"/>
                <w:szCs w:val="24"/>
                <w:lang w:val="en-US" w:eastAsia="zh-CN" w:bidi="ar"/>
              </w:rPr>
              <w:t xml:space="preserve"> </w:t>
            </w:r>
          </w:p>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p>
        </w:tc>
        <w:tc>
          <w:tcPr>
            <w:tcW w:w="165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GPL8300</w:t>
            </w:r>
          </w:p>
        </w:tc>
        <w:tc>
          <w:tcPr>
            <w:tcW w:w="286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8 thyroid hyperplasias samples</w:t>
            </w:r>
          </w:p>
        </w:tc>
        <w:tc>
          <w:tcPr>
            <w:tcW w:w="1397"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6 HT samples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59" w:type="dxa"/>
          </w:tcPr>
          <w:p>
            <w:pPr>
              <w:keepNext w:val="0"/>
              <w:keepLines w:val="0"/>
              <w:widowControl/>
              <w:suppressLineNumbers w:val="0"/>
              <w:spacing w:before="0" w:beforeAutospacing="0" w:after="0" w:afterAutospacing="0"/>
              <w:ind w:left="0" w:right="0"/>
              <w:jc w:val="left"/>
              <w:rPr>
                <w:rFonts w:hint="default" w:ascii="Times New Roman Regular" w:hAnsi="Times New Roman Regular" w:cs="Times New Roman Regular"/>
                <w:sz w:val="24"/>
                <w:szCs w:val="24"/>
              </w:rPr>
            </w:pPr>
            <w:r>
              <w:rPr>
                <w:rFonts w:hint="default" w:ascii="Times New Roman Regular" w:hAnsi="Times New Roman Regular" w:eastAsia="宋体" w:cs="Times New Roman Regular"/>
                <w:color w:val="000000"/>
                <w:spacing w:val="15"/>
                <w:kern w:val="0"/>
                <w:sz w:val="24"/>
                <w:szCs w:val="24"/>
                <w:shd w:val="clear" w:fill="FFFFFF"/>
                <w:lang w:val="en-US" w:eastAsia="zh-CN" w:bidi="ar"/>
              </w:rPr>
              <w:t>GSE101286</w:t>
            </w:r>
            <w:r>
              <w:rPr>
                <w:rFonts w:hint="default" w:ascii="Times New Roman Regular" w:hAnsi="Times New Roman Regular" w:eastAsia="宋体" w:cs="Times New Roman Regular"/>
                <w:kern w:val="0"/>
                <w:sz w:val="24"/>
                <w:szCs w:val="24"/>
                <w:lang w:val="en-US" w:eastAsia="zh-CN" w:bidi="ar"/>
              </w:rPr>
              <w:t xml:space="preserve"> </w:t>
            </w:r>
          </w:p>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p>
        </w:tc>
        <w:tc>
          <w:tcPr>
            <w:tcW w:w="165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GPL6947</w:t>
            </w:r>
          </w:p>
        </w:tc>
        <w:tc>
          <w:tcPr>
            <w:tcW w:w="2869"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3healthy samples</w:t>
            </w:r>
          </w:p>
        </w:tc>
        <w:tc>
          <w:tcPr>
            <w:tcW w:w="1397" w:type="dxa"/>
          </w:tcPr>
          <w:p>
            <w:pPr>
              <w:keepNext w:val="0"/>
              <w:keepLines w:val="0"/>
              <w:suppressLineNumbers w:val="0"/>
              <w:spacing w:before="0" w:beforeAutospacing="0" w:after="0" w:afterAutospacing="0"/>
              <w:ind w:left="0" w:right="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12 IPF samples</w:t>
            </w:r>
          </w:p>
        </w:tc>
      </w:tr>
    </w:tbl>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Table 2. Results of KEGG analysis of the common shared DEGs between HT and IPF</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1669"/>
        <w:gridCol w:w="1028"/>
        <w:gridCol w:w="904"/>
        <w:gridCol w:w="1200"/>
        <w:gridCol w:w="1177"/>
        <w:gridCol w:w="673"/>
      </w:tblGrid>
      <w:tr>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ID</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Description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GeneRatio</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BgRatio</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pvalue</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p.adjust</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hsa05022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Pathways of neurodegeneration - multiple diseases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476/8164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0.028389841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0.181994188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hsa05020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Prion disease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21/259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273/8164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0.000149251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0.010111734</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hsa05010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Alzheimer disease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20/259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384/8164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0.019748789</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0.148664495</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hsa04613</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Neutrophil extracellular trap formation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190/8164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8.60E-06</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0.001165881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hsa05014</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Amyotrophic lateral sclerosis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364/8164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0.022321352</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0.155104778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hsa05322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Systemic lupus erythematosus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18/259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136/8164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2.50E-07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6.78E-05</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hsa05171</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Coronavirus disease - COVID-19</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0.001101389</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0.027820536</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hsa05016</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Huntington disease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306/8164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0.017447587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0.135094177</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hsa05169</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Epstein-Barr virus infection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16/259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202/8164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0.000669517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0.023475246</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hsa04062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Chemokine signaling pathway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0.001129247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0.027820536</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hsa05415</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Diabetic cardiomyopathy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203/8164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0.001969542</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0.044478814</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hsa05012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Parkinson disease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266/8164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0.021978446</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0.155104778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hsa04145</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Phagosome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14/259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0.000320226</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0.014463534</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hsa05152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Tuberculosis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180/8164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0.004696792</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0.067139717</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hsa05166</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Human T-cell leukemia virus 1 infection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222/8164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0.024268353</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0.164418088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hsa05164</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Influenza A</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171/8164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0.008112757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0.091606546</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hsa04621</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NOD-like receptor signaling pathway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184/8164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0.014022074</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0.118749439</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hsa05203</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Viral carcinogenesis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204/8164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0.028877307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0.181994188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hsa05417</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Lipid and atherosclerosis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215/8164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0.040770158</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0.245526949</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hsa04061</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Viral protein interaction with cytokine and cytokine receptor</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100/8164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0.000307966</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0.014463534</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hsa05145</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Toxoplasmosis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0.000816291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0.024579438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hsa04514</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Cell adhesion molecules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157/8164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0.011164165</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0.108053166</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hsa05135</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Yersinia infection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137/8164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0.011646684</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0.108836258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hsa05416</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Viral myocarditis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60/8164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0.000101544</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0.009172812</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hsa05140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Leishmaniasis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77/8164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0.000692996</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0.023475246</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hsa04658</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Th1 and Th2 cell differentiation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0.002471156</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0.051514108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hsa05150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Staphylococcus aureus infection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96/8164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0.003305151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0.055981001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hsa05414</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Dilated cardiomyopathy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96/8164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0.003305151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0.055981001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hsa05142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Chagas disease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102/8164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0.004954961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0.067139717</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hsa04620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Toll-like receptor signaling pathway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104/8164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0.005627722</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0.072624408</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hsa04670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Leukocyte transendothelial migration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114/8164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0.010109153</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0.105368477</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hsa00190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Oxidative phosphorylation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134/8164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0.026459762</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0.174892572</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hsa04612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Antigen processing and presentation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78/8164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0.003166235</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0.055981001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hsa04260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Cardiac muscle contraction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87/8164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0.006183991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0.076175521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hsa05410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Hypertrophic cardiomyopathy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90/8164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0.007564851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0.089133683</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hsa05323</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Rheumatoid arthritis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93/8164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0.009166161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0.099361185</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hsa04640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Hematopoietic cell lineage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99/8164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0.013110305</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0.117239059</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hsa04659</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Th17 cell differentiation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108/8164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0.021174552</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0.155089283</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hsa05412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Arrhythmogenic right ventricular cardiomyopathy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77/8164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0.010832636</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0.108053166</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hsa04672</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Intestinal immune network for IgA production</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49/8164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0.004283309</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0.067139717</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hsa05144</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Malaria</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50/8164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0.004740979</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0.067139717</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hsa02010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ABC transporters</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45/8164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0.01341111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0.117239059</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hsa03050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Proteasome</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46/8164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0.014667941</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0.120454911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hsa05310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Asthma</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31/8164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0.015876037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0.126541351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hsa05340</w:t>
            </w:r>
          </w:p>
        </w:tc>
        <w:tc>
          <w:tcPr>
            <w:tcW w:w="166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Primary immunodeficiency</w:t>
            </w:r>
          </w:p>
        </w:tc>
        <w:tc>
          <w:tcPr>
            <w:tcW w:w="102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4/259</w:t>
            </w:r>
          </w:p>
        </w:tc>
        <w:tc>
          <w:tcPr>
            <w:tcW w:w="9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38/8164</w:t>
            </w:r>
          </w:p>
        </w:tc>
        <w:tc>
          <w:tcPr>
            <w:tcW w:w="120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0.031374377</w:t>
            </w:r>
          </w:p>
        </w:tc>
        <w:tc>
          <w:tcPr>
            <w:tcW w:w="117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0.193237641</w:t>
            </w:r>
          </w:p>
        </w:tc>
        <w:tc>
          <w:tcPr>
            <w:tcW w:w="67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w:t>
            </w:r>
          </w:p>
        </w:tc>
      </w:tr>
    </w:tbl>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Table 3. Results of KEGG analysis of the common shared DEGs between HT and IPF</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235"/>
        <w:gridCol w:w="2388"/>
        <w:gridCol w:w="1017"/>
        <w:gridCol w:w="1040"/>
        <w:gridCol w:w="846"/>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DejaVu Sans" w:cs="Times New Roman Regular"/>
                <w:color w:val="000000"/>
                <w:sz w:val="24"/>
                <w:szCs w:val="24"/>
              </w:rPr>
              <w:t>Ontology</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ID</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Description</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GeneRatio</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BgRatio</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pvalue</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GO:0030667</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secretory granule membrane</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312/19594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0.0011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GO:0045121</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membrane raft</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326/19594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0.0019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GO:0098857</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membrane microdomain</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327/19594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0.0019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GO:0009897</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external side of plasma membrane</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455/19594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0.0486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GO:0098687</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chromosomal region</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18/540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366/19594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0.0133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GO:0098798</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mitochondrial protein-containing complex</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281/19594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0.0021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GO:0030139</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endocytic vesicle</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16/540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342/19594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0.0284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GO:0005938</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cell cortex</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310/19594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0.0256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GO:0032993</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protein-DNA complex</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220/19594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0.0082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GO:0000228</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nuclear chromosome</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13/540</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228/19594</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0.0109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GO:0022804</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active transmembrane transporter activity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404/18410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0.0128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GO:0016887</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ATP hydrolysis activity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325/18410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0.0068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GO:0060090</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molecular adaptor activity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379/18410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0.0267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GO:0005126</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cytokine receptor binding</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272/18410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0.0067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GO:0030674</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protein-macromolecule adaptor activity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14/492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305/18410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0.0355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GO:0015399</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primary active transmembrane transporter activity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162/18410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0.0004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GO:0022853</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active ion transmembrane transporter activity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254/18410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0.0195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GO:0005539</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glycosaminoglycan binding</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234/18410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0.0239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GO:0042379</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chemokine receptor binding</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71/18410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0.0000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MF</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GO:0015078</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proton transmembrane transporter activity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10/492</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120/18410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0.0014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GO:0002683</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negative regulation of immune system process</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425/18800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0.0001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GO:0002443</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leukocyte mediated immunity</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457/18800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0.0002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GO:0001819</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positive regulation of cytokine production</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475/18800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0.0004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GO:0032103</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positive regulation of response to external stimulus</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25/524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442/18800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0.0007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GO:0007346</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regulation of mitotic cell cycle</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24/524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478/18800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0.0042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GO:0009615</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response to virus</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392/18800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0.0007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GO:0006816</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calcium ion transport</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424/18800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0.0019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GO:0006874</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cellular calcium ion homeostasis</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456/18800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0.0047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GO:0055074</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calcium ion homeostasis</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468/18800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0.0064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BP</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GO:0072503</w:t>
            </w:r>
          </w:p>
        </w:tc>
        <w:tc>
          <w:tcPr>
            <w:tcW w:w="23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cellular divalent inorganic cation homeostasis</w:t>
            </w:r>
          </w:p>
        </w:tc>
        <w:tc>
          <w:tcPr>
            <w:tcW w:w="101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23/524</w:t>
            </w:r>
          </w:p>
        </w:tc>
        <w:tc>
          <w:tcPr>
            <w:tcW w:w="10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494/18800</w:t>
            </w:r>
          </w:p>
        </w:tc>
        <w:tc>
          <w:tcPr>
            <w:tcW w:w="84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0.0118 </w:t>
            </w:r>
          </w:p>
        </w:tc>
        <w:tc>
          <w:tcPr>
            <w:tcW w:w="88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w:t>
            </w:r>
          </w:p>
        </w:tc>
      </w:tr>
    </w:tbl>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w:t>
      </w:r>
      <w:r>
        <w:rPr>
          <w:rFonts w:hint="default" w:ascii="Times New Roman Regular" w:hAnsi="Times New Roman Regular" w:cs="Times New Roman Regular"/>
          <w:sz w:val="24"/>
          <w:szCs w:val="24"/>
          <w:lang w:val="en-US" w:eastAsia="zh-Hans"/>
        </w:rPr>
        <w:t>able</w:t>
      </w:r>
      <w:r>
        <w:rPr>
          <w:rFonts w:hint="default" w:ascii="Times New Roman Regular" w:hAnsi="Times New Roman Regular" w:cs="Times New Roman Regular"/>
          <w:sz w:val="24"/>
          <w:szCs w:val="24"/>
          <w:lang w:eastAsia="zh-Hans"/>
        </w:rPr>
        <w:t>4</w:t>
      </w:r>
      <w:r>
        <w:rPr>
          <w:rFonts w:hint="default" w:ascii="Times New Roman Regular" w:hAnsi="Times New Roman Regular" w:cs="Times New Roman Regular"/>
          <w:sz w:val="24"/>
          <w:szCs w:val="24"/>
          <w:lang w:val="en-US" w:eastAsia="zh-Hans"/>
        </w:rPr>
        <w:t>:</w:t>
      </w:r>
      <w:r>
        <w:rPr>
          <w:rFonts w:hint="default" w:ascii="Times New Roman Regular" w:hAnsi="Times New Roman Regular" w:cs="Times New Roman Regular"/>
          <w:sz w:val="24"/>
          <w:szCs w:val="24"/>
        </w:rPr>
        <w:t>The top 30 nodes in the PPI network</w:t>
      </w:r>
    </w:p>
    <w:tbl>
      <w:tblPr>
        <w:tblW w:w="16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15" w:type="dxa"/>
          <w:left w:w="15" w:type="dxa"/>
          <w:bottom w:w="15" w:type="dxa"/>
          <w:right w:w="15" w:type="dxa"/>
        </w:tblCellMar>
      </w:tblPr>
      <w:tblGrid>
        <w:gridCol w:w="1177"/>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Name</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Degree.layout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HSP90AA1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SOD1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BRCA1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ATP5A1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RAC2</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IL2RG</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GTPBP4</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HIST1H4F</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FYB</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PSMC1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RPF2</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PSMA2</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PSMC5</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CD3D</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COX5B</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CD52</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CORO1A</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RAD21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ALYREF</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TXNRD1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COX4I1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RSL24D1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SSB</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UTP6</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WDR12</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CXCL9</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285" w:hRule="atLeast"/>
        </w:trPr>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ATP5G1</w:t>
            </w:r>
          </w:p>
        </w:tc>
        <w:tc>
          <w:tcPr>
            <w:tcW w:w="810" w:type="dxa"/>
            <w:tcBorders>
              <w:tl2br w:val="nil"/>
              <w:tr2bl w:val="nil"/>
            </w:tcBorders>
            <w:shd w:val="clear"/>
            <w:vAlign w:val="center"/>
          </w:tcPr>
          <w:p>
            <w:pPr>
              <w:keepNext w:val="0"/>
              <w:keepLines w:val="0"/>
              <w:widowControl/>
              <w:suppressLineNumbers w:val="0"/>
              <w:jc w:val="left"/>
              <w:textAlignment w:val="center"/>
              <w:rPr>
                <w:rFonts w:hint="default" w:ascii="Times New Roman Regular" w:hAnsi="Times New Roman Regular" w:eastAsia="宋体" w:cs="Times New Roman Regular"/>
                <w:i w:val="0"/>
                <w:color w:val="000000"/>
                <w:sz w:val="24"/>
                <w:szCs w:val="24"/>
                <w:u w:val="none"/>
              </w:rPr>
            </w:pPr>
            <w:r>
              <w:rPr>
                <w:rFonts w:hint="default" w:ascii="Times New Roman Regular" w:hAnsi="Times New Roman Regular" w:eastAsia="宋体" w:cs="Times New Roman Regular"/>
                <w:i w:val="0"/>
                <w:color w:val="000000"/>
                <w:kern w:val="0"/>
                <w:sz w:val="24"/>
                <w:szCs w:val="24"/>
                <w:u w:val="none"/>
                <w:lang w:val="en-US" w:eastAsia="zh-CN" w:bidi="ar"/>
              </w:rPr>
              <w:t>13</w:t>
            </w:r>
          </w:p>
        </w:tc>
      </w:tr>
    </w:tbl>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w:t>
      </w:r>
      <w:r>
        <w:rPr>
          <w:rFonts w:hint="default" w:ascii="Times New Roman Regular" w:hAnsi="Times New Roman Regular" w:cs="Times New Roman Regular"/>
          <w:sz w:val="24"/>
          <w:szCs w:val="24"/>
          <w:lang w:val="en-US" w:eastAsia="zh-Hans"/>
        </w:rPr>
        <w:t>able</w:t>
      </w:r>
      <w:r>
        <w:rPr>
          <w:rFonts w:hint="default" w:ascii="Times New Roman Regular" w:hAnsi="Times New Roman Regular" w:cs="Times New Roman Regular"/>
          <w:sz w:val="24"/>
          <w:szCs w:val="24"/>
          <w:lang w:eastAsia="zh-Hans"/>
        </w:rPr>
        <w:t>5</w:t>
      </w:r>
      <w:r>
        <w:rPr>
          <w:rFonts w:hint="default" w:ascii="Times New Roman Regular" w:hAnsi="Times New Roman Regular" w:cs="Times New Roman Regular"/>
          <w:sz w:val="24"/>
          <w:szCs w:val="24"/>
          <w:lang w:val="en-US" w:eastAsia="zh-Hans"/>
        </w:rPr>
        <w:t>:</w:t>
      </w:r>
      <w:r>
        <w:rPr>
          <w:rFonts w:hint="default" w:ascii="Times New Roman Regular" w:hAnsi="Times New Roman Regular" w:cs="Times New Roman Regular"/>
          <w:sz w:val="24"/>
          <w:szCs w:val="24"/>
        </w:rPr>
        <w:t>The KEGG analysis of Cluster 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068"/>
        <w:gridCol w:w="1315"/>
        <w:gridCol w:w="1108"/>
        <w:gridCol w:w="1086"/>
        <w:gridCol w:w="1051"/>
        <w:gridCol w:w="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ID</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Description</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BgRatio</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pvalue</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p.adjust</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qvalue</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hsa04062</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Chemokine signaling pathway</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192/8164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2.89E-09</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1.01E-07</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5.33E-08</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hsa04061</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Viral protein interaction with cytokine and cytokine receptor</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100/8164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9.54E-10</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6.68E-08</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3.51E-08</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hsa05171</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Coronavirus disease - COVID-19</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232/8164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3.33E-07</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5.83E-06</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3.07E-06</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hsa04060</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Cytokine-cytokine receptor interaction</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295/8164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1.69E-06</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2.37E-05</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1.25E-05</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hsa05142</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Chagas disease</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102/8164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5.39E-08</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1.26E-06</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6.62E-07</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hsa04620</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Toll-like receptor signaling pathway</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104/8164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2.29E-06</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2.67E-05</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1.40E-05</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hsa05164</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Influenza A</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171/8164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2.61E-05</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0.000228533</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0.000120281</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hsa05133</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Pertussis</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76/8164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1.92E-05</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0.00019224</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0.000101179</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hsa04936</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Alcoholic liver disease</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142/8164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0.000222083</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0.001727314</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0.000909113</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1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hsa05152</w:t>
            </w:r>
          </w:p>
        </w:tc>
        <w:tc>
          <w:tcPr>
            <w:tcW w:w="206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Tuberculosis</w:t>
            </w:r>
          </w:p>
        </w:tc>
        <w:tc>
          <w:tcPr>
            <w:tcW w:w="131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180/8164</w:t>
            </w:r>
          </w:p>
        </w:tc>
        <w:tc>
          <w:tcPr>
            <w:tcW w:w="110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0.000548991</w:t>
            </w:r>
          </w:p>
        </w:tc>
        <w:tc>
          <w:tcPr>
            <w:tcW w:w="1086"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0.003796357</w:t>
            </w:r>
          </w:p>
        </w:tc>
        <w:tc>
          <w:tcPr>
            <w:tcW w:w="10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0.001998083</w:t>
            </w:r>
          </w:p>
        </w:tc>
        <w:tc>
          <w:tcPr>
            <w:tcW w:w="88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4</w:t>
            </w:r>
          </w:p>
        </w:tc>
      </w:tr>
    </w:tbl>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w:t>
      </w:r>
      <w:r>
        <w:rPr>
          <w:rFonts w:hint="default" w:ascii="Times New Roman Regular" w:hAnsi="Times New Roman Regular" w:cs="Times New Roman Regular"/>
          <w:sz w:val="24"/>
          <w:szCs w:val="24"/>
          <w:lang w:val="en-US" w:eastAsia="zh-Hans"/>
        </w:rPr>
        <w:t>able</w:t>
      </w:r>
      <w:r>
        <w:rPr>
          <w:rFonts w:hint="default" w:ascii="Times New Roman Regular" w:hAnsi="Times New Roman Regular" w:cs="Times New Roman Regular"/>
          <w:sz w:val="24"/>
          <w:szCs w:val="24"/>
          <w:lang w:eastAsia="zh-Hans"/>
        </w:rPr>
        <w:t>6</w:t>
      </w:r>
      <w:r>
        <w:rPr>
          <w:rFonts w:hint="default" w:ascii="Times New Roman Regular" w:hAnsi="Times New Roman Regular" w:cs="Times New Roman Regular"/>
          <w:sz w:val="24"/>
          <w:szCs w:val="24"/>
          <w:lang w:val="en-US" w:eastAsia="zh-Hans"/>
        </w:rPr>
        <w:t>:</w:t>
      </w:r>
      <w:r>
        <w:rPr>
          <w:rFonts w:hint="default" w:ascii="Times New Roman Regular" w:hAnsi="Times New Roman Regular" w:cs="Times New Roman Regular"/>
          <w:sz w:val="24"/>
          <w:szCs w:val="24"/>
        </w:rPr>
        <w:t>The KEGG analysis of Cluster 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2079"/>
        <w:gridCol w:w="1235"/>
        <w:gridCol w:w="1211"/>
        <w:gridCol w:w="914"/>
        <w:gridCol w:w="1063"/>
        <w:gridCol w:w="838"/>
      </w:tblGrid>
      <w:tr>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ID</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Description</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BgRatio</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pvalue</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p.adjust</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qvalue</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Count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hsa05171</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Coronavirus disease - COVID-19</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232/8164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7.17E-07</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2.81E-05</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2.25E-05</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hsa03010</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Ribosome</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158/8164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7.49E-07</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2.81E-05</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2.25E-05</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hsa04670</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Leukocyte transendothelial migration</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114/8164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0.000570049</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0.014251223</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0.011400979</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hsa04514</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Cell adhesion molecules</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157/8164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0.001880537</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0.033457099</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0.026765679</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hsa05169</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Epstein-Barr virus infection</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202/8164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0.004675483</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0.050094465</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0.040075572</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hsa05140</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Leishmaniasis</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77/8164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0.002230473</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0.033457099</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0.026765679</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hsa04640</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Hematopoietic cell lineage</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99/8164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0.004547802</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0.050094465</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0.040075572</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hsa05135</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Yersinia infection</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137/8164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0.011144945</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0.104483858</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0.083587087</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hsa04145</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Phagosome</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152/8164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0.014741793</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0.110563444</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0.088450756</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8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hsa04613</w:t>
            </w:r>
          </w:p>
        </w:tc>
        <w:tc>
          <w:tcPr>
            <w:tcW w:w="207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Neutrophil extracellular trap formation</w:t>
            </w:r>
          </w:p>
        </w:tc>
        <w:tc>
          <w:tcPr>
            <w:tcW w:w="123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190/8164</w:t>
            </w:r>
          </w:p>
        </w:tc>
        <w:tc>
          <w:tcPr>
            <w:tcW w:w="121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0.02651426</w:t>
            </w:r>
          </w:p>
        </w:tc>
        <w:tc>
          <w:tcPr>
            <w:tcW w:w="91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0.165714123</w:t>
            </w:r>
          </w:p>
        </w:tc>
        <w:tc>
          <w:tcPr>
            <w:tcW w:w="10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0.132571299</w:t>
            </w:r>
          </w:p>
        </w:tc>
        <w:tc>
          <w:tcPr>
            <w:tcW w:w="83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b w:val="0"/>
                <w:i w:val="0"/>
                <w:color w:val="000000"/>
                <w:kern w:val="2"/>
                <w:sz w:val="24"/>
                <w:szCs w:val="24"/>
                <w:u w:val="none"/>
                <w:lang w:eastAsia="zh-CN" w:bidi="ar-SA"/>
              </w:rPr>
            </w:pPr>
            <w:r>
              <w:rPr>
                <w:rFonts w:hint="default" w:ascii="Times New Roman Regular" w:hAnsi="Times New Roman Regular" w:eastAsia="宋体" w:cs="Times New Roman Regular"/>
                <w:b w:val="0"/>
                <w:i w:val="0"/>
                <w:color w:val="000000"/>
                <w:kern w:val="0"/>
                <w:sz w:val="24"/>
                <w:szCs w:val="24"/>
                <w:u w:val="none"/>
                <w:lang w:val="en-US" w:eastAsia="zh-CN" w:bidi="ar"/>
              </w:rPr>
              <w:t>3</w:t>
            </w:r>
          </w:p>
        </w:tc>
      </w:tr>
    </w:tbl>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T</w:t>
      </w:r>
      <w:r>
        <w:rPr>
          <w:rFonts w:hint="default" w:ascii="Times New Roman Regular" w:hAnsi="Times New Roman Regular" w:cs="Times New Roman Regular"/>
          <w:sz w:val="24"/>
          <w:szCs w:val="24"/>
          <w:lang w:val="en-US" w:eastAsia="zh-Hans"/>
        </w:rPr>
        <w:t>able</w:t>
      </w:r>
      <w:r>
        <w:rPr>
          <w:rFonts w:hint="default" w:ascii="Times New Roman Regular" w:hAnsi="Times New Roman Regular" w:cs="Times New Roman Regular"/>
          <w:sz w:val="24"/>
          <w:szCs w:val="24"/>
          <w:lang w:eastAsia="zh-Hans"/>
        </w:rPr>
        <w:t>7</w:t>
      </w:r>
      <w:r>
        <w:rPr>
          <w:rFonts w:hint="default" w:ascii="Times New Roman Regular" w:hAnsi="Times New Roman Regular" w:cs="Times New Roman Regular"/>
          <w:sz w:val="24"/>
          <w:szCs w:val="24"/>
          <w:lang w:val="en-US" w:eastAsia="zh-Hans"/>
        </w:rPr>
        <w:t>:</w:t>
      </w:r>
      <w:r>
        <w:rPr>
          <w:rFonts w:hint="default" w:ascii="Times New Roman Regular" w:hAnsi="Times New Roman Regular" w:cs="Times New Roman Regular"/>
          <w:sz w:val="24"/>
          <w:szCs w:val="24"/>
          <w:lang w:eastAsia="zh-Hans"/>
        </w:rPr>
        <w:t xml:space="preserve"> Top 20 genes of the five algorithms.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MCC</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MNC</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Degree</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EPC</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Radiality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HSP90AA1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HSP90AA1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HSP90AA1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CD69</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STAT1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CCL5</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CCL2</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TYROBP</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CCL5</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SOD1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CXCL10</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TYROBP</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CCL2</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CCL2</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CCL2</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CD69</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STAT1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ITGAL</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CYBB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CX3CR1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CYBB</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CD69</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CD69</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RPLP0</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CCL5</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FCGR2A</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PSMC1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CXCL9</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CCL5</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CYBB</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TYROBP</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BCL2A1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FCGR2A</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RPLP0</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CYBB</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BRCA1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MYD88</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FCGR2A</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CXCL10</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RPLP0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TOP2A</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STAT1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FCGR2A</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HSP90AA1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KIF11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CXCL10</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SOD1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CXCL9</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RAC2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KIF18A</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ITGAL</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CXCL10</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STAT1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TOP2A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PRC1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BRCA1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ITGAL</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CX3CR1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PSMC5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CYBB</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IL2RB</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BRCA1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IL2RG</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ATP5A1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PLK4</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CX3CR1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KIF11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IL2RB</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CCL5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ANLN</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TOP2A</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TOP2A</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MYD88</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PSMA2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SHCBP1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KIF11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ATP5A1</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CTSS</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GTPBP4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KNTC1</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CXCL9</w:t>
            </w:r>
          </w:p>
        </w:tc>
        <w:tc>
          <w:tcPr>
            <w:tcW w:w="170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RPL7A</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RPLP0</w:t>
            </w:r>
          </w:p>
        </w:tc>
        <w:tc>
          <w:tcPr>
            <w:tcW w:w="170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CN" w:bidi="ar-SA"/>
              </w:rPr>
            </w:pPr>
            <w:r>
              <w:rPr>
                <w:rFonts w:hint="default" w:ascii="Times New Roman Regular" w:hAnsi="Times New Roman Regular" w:eastAsia="宋体" w:cs="Times New Roman Regular"/>
                <w:i w:val="0"/>
                <w:color w:val="000000"/>
                <w:kern w:val="0"/>
                <w:sz w:val="24"/>
                <w:szCs w:val="24"/>
                <w:u w:val="none"/>
                <w:lang w:val="en-US" w:eastAsia="zh-CN" w:bidi="ar"/>
              </w:rPr>
              <w:t>ITGAL</w:t>
            </w:r>
          </w:p>
        </w:tc>
      </w:tr>
    </w:tbl>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lang w:eastAsia="zh-Hans"/>
        </w:rPr>
      </w:pPr>
      <w:r>
        <w:rPr>
          <w:rFonts w:hint="default" w:ascii="Times New Roman Regular" w:hAnsi="Times New Roman Regular" w:cs="Times New Roman Regular"/>
          <w:sz w:val="24"/>
          <w:szCs w:val="24"/>
        </w:rPr>
        <w:t>T</w:t>
      </w:r>
      <w:r>
        <w:rPr>
          <w:rFonts w:hint="default" w:ascii="Times New Roman Regular" w:hAnsi="Times New Roman Regular" w:cs="Times New Roman Regular"/>
          <w:sz w:val="24"/>
          <w:szCs w:val="24"/>
          <w:lang w:val="en-US" w:eastAsia="zh-Hans"/>
        </w:rPr>
        <w:t>able</w:t>
      </w:r>
      <w:r>
        <w:rPr>
          <w:rFonts w:hint="default" w:ascii="Times New Roman Regular" w:hAnsi="Times New Roman Regular" w:cs="Times New Roman Regular"/>
          <w:sz w:val="24"/>
          <w:szCs w:val="24"/>
          <w:lang w:eastAsia="zh-Hans"/>
        </w:rPr>
        <w:t>8</w:t>
      </w:r>
      <w:r>
        <w:rPr>
          <w:rFonts w:hint="default" w:ascii="Times New Roman Regular" w:hAnsi="Times New Roman Regular" w:cs="Times New Roman Regular"/>
          <w:sz w:val="24"/>
          <w:szCs w:val="24"/>
          <w:lang w:val="en-US" w:eastAsia="zh-Hans"/>
        </w:rPr>
        <w:t>:</w:t>
      </w:r>
      <w:r>
        <w:rPr>
          <w:rFonts w:hint="default" w:ascii="Times New Roman Regular" w:hAnsi="Times New Roman Regular" w:cs="Times New Roman Regular"/>
          <w:sz w:val="24"/>
          <w:szCs w:val="24"/>
          <w:lang w:eastAsia="zh-Hans"/>
        </w:rPr>
        <w:t xml:space="preserve"> M</w:t>
      </w:r>
      <w:r>
        <w:rPr>
          <w:rFonts w:hint="default" w:ascii="Times New Roman Regular" w:hAnsi="Times New Roman Regular" w:cs="Times New Roman Regular"/>
          <w:sz w:val="24"/>
          <w:szCs w:val="24"/>
          <w:lang w:val="en-US" w:eastAsia="zh-Hans"/>
        </w:rPr>
        <w:t>i</w:t>
      </w:r>
      <w:r>
        <w:rPr>
          <w:rFonts w:hint="default" w:ascii="Times New Roman Regular" w:hAnsi="Times New Roman Regular" w:cs="Times New Roman Regular"/>
          <w:sz w:val="24"/>
          <w:szCs w:val="24"/>
          <w:lang w:eastAsia="zh-Hans"/>
        </w:rPr>
        <w:t>RNA</w:t>
      </w:r>
      <w:r>
        <w:rPr>
          <w:rFonts w:hint="default" w:ascii="Times New Roman Regular" w:hAnsi="Times New Roman Regular" w:cs="Times New Roman Regular"/>
          <w:sz w:val="24"/>
          <w:szCs w:val="24"/>
          <w:lang w:val="en-US" w:eastAsia="zh-Hans"/>
        </w:rPr>
        <w:t>s</w:t>
      </w:r>
      <w:r>
        <w:rPr>
          <w:rFonts w:hint="default" w:ascii="Times New Roman Regular" w:hAnsi="Times New Roman Regular" w:cs="Times New Roman Regular"/>
          <w:sz w:val="24"/>
          <w:szCs w:val="24"/>
          <w:lang w:eastAsia="zh-Hans"/>
        </w:rPr>
        <w:t xml:space="preserve"> of HT and IPF </w:t>
      </w:r>
      <w:r>
        <w:rPr>
          <w:rFonts w:hint="default" w:ascii="Times New Roman Regular" w:hAnsi="Times New Roman Regular" w:cs="Times New Roman Regular"/>
          <w:sz w:val="24"/>
          <w:szCs w:val="24"/>
          <w:lang w:val="en-US" w:eastAsia="zh-Hans"/>
        </w:rPr>
        <w:t>in</w:t>
      </w:r>
      <w:r>
        <w:rPr>
          <w:rFonts w:hint="default" w:ascii="Times New Roman Regular" w:hAnsi="Times New Roman Regular" w:cs="Times New Roman Regular"/>
          <w:sz w:val="24"/>
          <w:szCs w:val="24"/>
          <w:lang w:eastAsia="zh-Hans"/>
        </w:rPr>
        <w:t xml:space="preserve"> </w:t>
      </w:r>
      <w:r>
        <w:rPr>
          <w:rFonts w:hint="default" w:ascii="Times New Roman Regular" w:hAnsi="Times New Roman Regular" w:cs="Times New Roman Regular"/>
          <w:sz w:val="24"/>
          <w:szCs w:val="24"/>
          <w:lang w:val="en-US" w:eastAsia="zh-Hans"/>
        </w:rPr>
        <w:t>the</w:t>
      </w:r>
      <w:r>
        <w:rPr>
          <w:rFonts w:hint="default" w:ascii="Times New Roman Regular" w:hAnsi="Times New Roman Regular" w:cs="Times New Roman Regular"/>
          <w:sz w:val="24"/>
          <w:szCs w:val="24"/>
          <w:lang w:eastAsia="zh-Hans"/>
        </w:rPr>
        <w:t xml:space="preserve"> HMDD</w:t>
      </w:r>
    </w:p>
    <w:tbl>
      <w:tblPr>
        <w:tblStyle w:val="5"/>
        <w:tblW w:w="9393" w:type="dxa"/>
        <w:tblInd w:w="-4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712"/>
        <w:gridCol w:w="2629"/>
        <w:gridCol w:w="653"/>
        <w:gridCol w:w="875"/>
        <w:gridCol w:w="753"/>
        <w:gridCol w:w="2337"/>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88" w:type="dxa"/>
            <w:gridSpan w:val="4"/>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Idiopathic Pulmonary Fibrosis</w:t>
            </w:r>
          </w:p>
        </w:tc>
        <w:tc>
          <w:tcPr>
            <w:tcW w:w="4605" w:type="dxa"/>
            <w:gridSpan w:val="4"/>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Autoimmune Thyroiditis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miRNA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PMID</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Description</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Causality</w:t>
            </w:r>
          </w:p>
        </w:tc>
        <w:tc>
          <w:tcPr>
            <w:tcW w:w="8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miRNA</w:t>
            </w:r>
          </w:p>
        </w:tc>
        <w:tc>
          <w:tcPr>
            <w:tcW w:w="7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PMID</w:t>
            </w:r>
          </w:p>
        </w:tc>
        <w:tc>
          <w:tcPr>
            <w:tcW w:w="233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Description</w:t>
            </w:r>
          </w:p>
        </w:tc>
        <w:tc>
          <w:tcPr>
            <w:tcW w:w="6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Causality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hsa-let-7d</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26787543</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Lin28B causes epithelial-mesenchymal transition (EMT) by inhibition of let-7d.</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hsa-mir-125a</w:t>
            </w:r>
          </w:p>
        </w:tc>
        <w:tc>
          <w:tcPr>
            <w:tcW w:w="7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24990808</w:t>
            </w:r>
          </w:p>
        </w:tc>
        <w:tc>
          <w:tcPr>
            <w:tcW w:w="233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Associations of single nucleotide polymorphisms in precursor-microRNA (miR)-125a and the expression of mature miR-125a with the development and prognosis of autoimmune thyroid diseases.</w:t>
            </w:r>
          </w:p>
        </w:tc>
        <w:tc>
          <w:tcPr>
            <w:tcW w:w="6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hsa-let-7d</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20395557</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The down-regulation of let-7d in IPF and the profibrotic effects of this down-regulation in vitro and in vivo suggest a key regulatory role for this microRNA in preventing lung fibrosis.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hsa-mir-125a</w:t>
            </w:r>
          </w:p>
        </w:tc>
        <w:tc>
          <w:tcPr>
            <w:tcW w:w="7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25863684</w:t>
            </w:r>
          </w:p>
        </w:tc>
        <w:tc>
          <w:tcPr>
            <w:tcW w:w="233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Decreased expression of microRNA-125a-3p upregulates interleukin-23 receptor in patients with Hashimoto's thyroiditis.</w:t>
            </w:r>
          </w:p>
        </w:tc>
        <w:tc>
          <w:tcPr>
            <w:tcW w:w="6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hsa-mir-142</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30244194</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we found a negative correlation between miR-142-3p and diffusing capacity of the lungs for carbon monoxide/alveolar volume</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hsa-mir-155</w:t>
            </w:r>
          </w:p>
        </w:tc>
        <w:tc>
          <w:tcPr>
            <w:tcW w:w="7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24554510</w:t>
            </w:r>
          </w:p>
        </w:tc>
        <w:tc>
          <w:tcPr>
            <w:tcW w:w="233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microRNA expressions in CD4+ and CD8+ T-cell subsets in autoimmune thyroid diseases.</w:t>
            </w:r>
          </w:p>
        </w:tc>
        <w:tc>
          <w:tcPr>
            <w:tcW w:w="6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hsa-mir-155</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23822889</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These findings suggest that serum miR-21 is associated with IPF and the degree of damage indicated by FVC and radiologic examinations could correlate with miR-21 and miR-155 expression in serum. From another perspective, our study confirmed serum miRNA can be stable and detectable in serum of patients with IPF,which could prove useful as it could be considered as a new biomarker in serum for diagnosis and assessment of prognosis of IPF in the future.</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hsa-mir-200a</w:t>
            </w:r>
          </w:p>
        </w:tc>
        <w:tc>
          <w:tcPr>
            <w:tcW w:w="7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24554510</w:t>
            </w:r>
          </w:p>
        </w:tc>
        <w:tc>
          <w:tcPr>
            <w:tcW w:w="233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microRNA expressions in CD4+ and CD8+ T-cell subsets in autoimmune thyroid diseases.</w:t>
            </w:r>
          </w:p>
        </w:tc>
        <w:tc>
          <w:tcPr>
            <w:tcW w:w="64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hsa-mir-155</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27746237</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The role of microRNA-155/liver X receptor pathway in experimental and idiopathic pulmonary fibrosis.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hsa-mir-185</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27392970</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Furthermore, mimics of miR-185 and miR-186 blocked transforming growth factor-induced collagen V overexpression and alleviated transforming growth factor-induced epithelial-mesenchymal transition in A549 cells and HCC827 cells.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hsa-mir-186</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27392970</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Our findings suggest that attenuated expression of miR-185 and miR-186 may be responsible for collagen V overexpression during idiopathic pulmonary fibrosis, and these miRNAs may serve as pathogenesis-related biomarkers and treatment targets.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hsa-mir-21</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23822889</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These findings suggest that serum miR-21 is associated with IPF and the degree of damage indicated by FVC and radiologic examinations could correlate with miR-21 and miR-155 expression in serum. From another perspective, our study confirmed serum miRNA can be stable and detectable in serum of patients with IPF,which could prove useful as it could be considered as a new biomarker in serum for diagnosis and assessment of prognosis of IPF in the future.</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hsa-mir-210</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24951777</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miR-210 promotes IPF fibroblast proliferation in response to hypoxia.</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hsa-mir-26a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24853416</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Integrated analyses identify the involvement of microRNA-26a in epithelial-mesenchymal transition during idiopathic pulmonary fibrosis.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hsa-mir-26a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29952219</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Inhibition of lncRNA PFRL prevents pulmonary fibrosis by disrupting the miR-26a/smad2 loop.</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hsa-mir-26a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24594795</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The antifibrotic effects and mechanisms of microRNA-26a action in idiopathic pulmonary fibrosis.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hsa-mir-29a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27488440</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Restoration of miR-29a suppressed cancer cell aggressiveness and fibroblast migration.</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hsa-mir-29c</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27765762</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MicroRNA-29c regulates apoptosis sensitivity via modulation of the cell-surface death receptor, Fas, in lung fibroblasts.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YES</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hsa-mir-30a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28294974</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miR-30a as Potential Therapeutics by Targeting TET1 through Regulation of Drp-1 Promoter Hydroxymethylation in Idiopathic Pulmonary Fibrosis.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hsa-mir-30a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30365083</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Downregulation of microRNA</w:t>
            </w:r>
            <w:r>
              <w:rPr>
                <w:rFonts w:hint="default" w:ascii="Times New Roman Regular" w:hAnsi="Times New Roman Regular" w:eastAsia="宋体" w:cs="Times New Roman Regular"/>
                <w:i w:val="0"/>
                <w:color w:val="000000"/>
                <w:kern w:val="0"/>
                <w:sz w:val="24"/>
                <w:szCs w:val="24"/>
                <w:u w:val="none"/>
                <w:lang w:val="en-US" w:eastAsia="zh-CN" w:bidi="ar"/>
              </w:rPr>
              <w:noBreakHyphen/>
            </w:r>
            <w:r>
              <w:rPr>
                <w:rFonts w:hint="default" w:ascii="Times New Roman Regular" w:hAnsi="Times New Roman Regular" w:eastAsia="宋体" w:cs="Times New Roman Regular"/>
                <w:i w:val="0"/>
                <w:color w:val="000000"/>
                <w:kern w:val="0"/>
                <w:sz w:val="24"/>
                <w:szCs w:val="24"/>
                <w:u w:val="none"/>
                <w:lang w:val="en-US" w:eastAsia="zh-CN" w:bidi="ar"/>
              </w:rPr>
              <w:t>30a in bronchoalveolar lavage fluid from idiopathic pulmonary fibrosis patients.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hsa-mir-34</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27362652</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miR-34a, miR-34b, and miR-34c, but not miR-20a, miR-29c, or miR-let-7f were significantly higher in type II AECs from IPF patients.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hsa-mir-92a</w:t>
            </w:r>
          </w:p>
        </w:tc>
        <w:tc>
          <w:tcPr>
            <w:tcW w:w="71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24953558</w:t>
            </w:r>
          </w:p>
        </w:tc>
        <w:tc>
          <w:tcPr>
            <w:tcW w:w="262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miR-92a regulates TGF-β1-induced WISP1 expression in pulmonary fibrosis.</w:t>
            </w:r>
          </w:p>
        </w:tc>
        <w:tc>
          <w:tcPr>
            <w:tcW w:w="65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NO</w:t>
            </w:r>
          </w:p>
        </w:tc>
        <w:tc>
          <w:tcPr>
            <w:tcW w:w="875"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753"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2337"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c>
          <w:tcPr>
            <w:tcW w:w="640" w:type="dxa"/>
            <w:vAlign w:val="center"/>
          </w:tcPr>
          <w:p>
            <w:pPr>
              <w:keepNext w:val="0"/>
              <w:keepLines w:val="0"/>
              <w:suppressLineNumbers w:val="0"/>
              <w:spacing w:before="0" w:beforeAutospacing="0" w:after="0" w:afterAutospacing="0"/>
              <w:ind w:left="0" w:right="0"/>
              <w:rPr>
                <w:rFonts w:hint="default" w:ascii="Times New Roman Regular" w:hAnsi="Times New Roman Regular" w:eastAsia="宋体" w:cs="Times New Roman Regular"/>
                <w:i w:val="0"/>
                <w:color w:val="000000"/>
                <w:sz w:val="24"/>
                <w:szCs w:val="24"/>
                <w:u w:val="none"/>
                <w:lang w:eastAsia="zh-Hans"/>
              </w:rPr>
            </w:pPr>
          </w:p>
        </w:tc>
      </w:tr>
    </w:tbl>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lang w:eastAsia="zh-Hans"/>
        </w:rPr>
      </w:pPr>
      <w:r>
        <w:rPr>
          <w:rFonts w:hint="default" w:ascii="Times New Roman Regular" w:hAnsi="Times New Roman Regular" w:cs="Times New Roman Regular"/>
          <w:sz w:val="24"/>
          <w:szCs w:val="24"/>
        </w:rPr>
        <w:t>T</w:t>
      </w:r>
      <w:r>
        <w:rPr>
          <w:rFonts w:hint="default" w:ascii="Times New Roman Regular" w:hAnsi="Times New Roman Regular" w:cs="Times New Roman Regular"/>
          <w:sz w:val="24"/>
          <w:szCs w:val="24"/>
          <w:lang w:val="en-US" w:eastAsia="zh-Hans"/>
        </w:rPr>
        <w:t>able</w:t>
      </w:r>
      <w:r>
        <w:rPr>
          <w:rFonts w:hint="default" w:ascii="Times New Roman Regular" w:hAnsi="Times New Roman Regular" w:cs="Times New Roman Regular"/>
          <w:sz w:val="24"/>
          <w:szCs w:val="24"/>
          <w:lang w:eastAsia="zh-Hans"/>
        </w:rPr>
        <w:t>9</w:t>
      </w:r>
      <w:r>
        <w:rPr>
          <w:rFonts w:hint="default" w:ascii="Times New Roman Regular" w:hAnsi="Times New Roman Regular" w:cs="Times New Roman Regular"/>
          <w:sz w:val="24"/>
          <w:szCs w:val="24"/>
          <w:lang w:val="en-US" w:eastAsia="zh-Hans"/>
        </w:rPr>
        <w:t>:</w:t>
      </w:r>
      <w:r>
        <w:rPr>
          <w:rFonts w:hint="default" w:ascii="Times New Roman Regular" w:hAnsi="Times New Roman Regular" w:cs="Times New Roman Regular"/>
          <w:sz w:val="24"/>
          <w:szCs w:val="24"/>
          <w:lang w:eastAsia="zh-Hans"/>
        </w:rPr>
        <w:t xml:space="preserve"> T</w:t>
      </w:r>
      <w:r>
        <w:rPr>
          <w:rFonts w:hint="default" w:ascii="Times New Roman Regular" w:hAnsi="Times New Roman Regular" w:cs="Times New Roman Regular"/>
          <w:sz w:val="24"/>
          <w:szCs w:val="24"/>
          <w:lang w:val="en-US" w:eastAsia="zh-Hans"/>
        </w:rPr>
        <w:t>h</w:t>
      </w:r>
      <w:r>
        <w:rPr>
          <w:rFonts w:hint="default" w:ascii="Times New Roman Regular" w:hAnsi="Times New Roman Regular" w:cs="Times New Roman Regular"/>
          <w:sz w:val="24"/>
          <w:szCs w:val="24"/>
          <w:lang w:eastAsia="zh-Hans"/>
        </w:rPr>
        <w:t>e c</w:t>
      </w:r>
      <w:r>
        <w:rPr>
          <w:rFonts w:hint="default" w:ascii="Times New Roman Regular" w:hAnsi="Times New Roman Regular" w:cs="Times New Roman Regular"/>
          <w:sz w:val="24"/>
          <w:szCs w:val="24"/>
          <w:lang w:val="en-US" w:eastAsia="zh-Hans"/>
        </w:rPr>
        <w:t>orrelation analysis of Hub gene and immune cells</w:t>
      </w:r>
      <w:r>
        <w:rPr>
          <w:rFonts w:hint="default" w:ascii="Times New Roman Regular" w:hAnsi="Times New Roman Regular" w:cs="Times New Roman Regular"/>
          <w:sz w:val="24"/>
          <w:szCs w:val="24"/>
          <w:lang w:eastAsia="zh-Hans"/>
        </w:rPr>
        <w:t xml:space="preserve"> </w:t>
      </w:r>
      <w:r>
        <w:rPr>
          <w:rFonts w:hint="default" w:ascii="Times New Roman Regular" w:hAnsi="Times New Roman Regular" w:cs="Times New Roman Regular"/>
          <w:sz w:val="24"/>
          <w:szCs w:val="24"/>
          <w:lang w:val="en-US" w:eastAsia="zh-Hans"/>
        </w:rPr>
        <w:t>in</w:t>
      </w:r>
      <w:r>
        <w:rPr>
          <w:rFonts w:hint="default" w:ascii="Times New Roman Regular" w:hAnsi="Times New Roman Regular" w:cs="Times New Roman Regular"/>
          <w:sz w:val="24"/>
          <w:szCs w:val="24"/>
          <w:lang w:eastAsia="zh-Hans"/>
        </w:rPr>
        <w:t xml:space="preserve"> HT </w:t>
      </w:r>
      <w:r>
        <w:rPr>
          <w:rFonts w:hint="default" w:ascii="Times New Roman Regular" w:hAnsi="Times New Roman Regular" w:cs="Times New Roman Regular"/>
          <w:sz w:val="24"/>
          <w:szCs w:val="24"/>
          <w:lang w:val="en-US" w:eastAsia="zh-Hans"/>
        </w:rPr>
        <w:t>and</w:t>
      </w:r>
      <w:r>
        <w:rPr>
          <w:rFonts w:hint="default" w:ascii="Times New Roman Regular" w:hAnsi="Times New Roman Regular" w:cs="Times New Roman Regular"/>
          <w:sz w:val="24"/>
          <w:szCs w:val="24"/>
          <w:lang w:eastAsia="zh-Hans"/>
        </w:rPr>
        <w:t xml:space="preserve"> IPF</w:t>
      </w:r>
    </w:p>
    <w:tbl>
      <w:tblPr>
        <w:tblStyle w:val="5"/>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731"/>
        <w:gridCol w:w="607"/>
        <w:gridCol w:w="593"/>
        <w:gridCol w:w="675"/>
        <w:gridCol w:w="651"/>
        <w:gridCol w:w="823"/>
        <w:gridCol w:w="731"/>
        <w:gridCol w:w="663"/>
        <w:gridCol w:w="720"/>
        <w:gridCol w:w="652"/>
        <w:gridCol w:w="731"/>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DATASET</w:t>
            </w:r>
          </w:p>
        </w:tc>
        <w:tc>
          <w:tcPr>
            <w:tcW w:w="4080" w:type="dxa"/>
            <w:gridSpan w:val="6"/>
            <w:vAlign w:val="center"/>
          </w:tcPr>
          <w:p>
            <w:pPr>
              <w:keepNext w:val="0"/>
              <w:keepLines w:val="0"/>
              <w:suppressLineNumbers w:val="0"/>
              <w:spacing w:before="0" w:beforeAutospacing="0" w:after="0" w:afterAutospacing="0"/>
              <w:ind w:left="0" w:right="0"/>
              <w:jc w:val="center"/>
              <w:rPr>
                <w:rFonts w:hint="default" w:ascii="Times New Roman Regular" w:hAnsi="Times New Roman Regular" w:cs="Times New Roman Regular"/>
                <w:sz w:val="24"/>
                <w:szCs w:val="24"/>
                <w:vertAlign w:val="baseline"/>
                <w:lang w:eastAsia="zh-Hans"/>
              </w:rPr>
            </w:pPr>
            <w:r>
              <w:rPr>
                <w:rFonts w:hint="default" w:ascii="Times New Roman Regular" w:hAnsi="Times New Roman Regular" w:eastAsia="宋体" w:cs="Times New Roman Regular"/>
                <w:i w:val="0"/>
                <w:color w:val="000000"/>
                <w:kern w:val="0"/>
                <w:sz w:val="24"/>
                <w:szCs w:val="24"/>
                <w:u w:val="none"/>
                <w:lang w:val="en-US" w:eastAsia="zh-CN" w:bidi="ar"/>
              </w:rPr>
              <w:t>HT</w:t>
            </w:r>
          </w:p>
        </w:tc>
        <w:tc>
          <w:tcPr>
            <w:tcW w:w="4286" w:type="dxa"/>
            <w:gridSpan w:val="6"/>
          </w:tcPr>
          <w:p>
            <w:pPr>
              <w:keepNext w:val="0"/>
              <w:keepLines w:val="0"/>
              <w:suppressLineNumbers w:val="0"/>
              <w:spacing w:before="0" w:beforeAutospacing="0" w:after="0" w:afterAutospacing="0"/>
              <w:ind w:left="0" w:right="0"/>
              <w:jc w:val="center"/>
              <w:rPr>
                <w:rFonts w:hint="default" w:ascii="Times New Roman Regular" w:hAnsi="Times New Roman Regular" w:cs="Times New Roman Regular"/>
                <w:sz w:val="24"/>
                <w:szCs w:val="24"/>
                <w:vertAlign w:val="baseline"/>
                <w:lang w:eastAsia="zh-Hans"/>
              </w:rPr>
            </w:pPr>
            <w:r>
              <w:rPr>
                <w:rFonts w:hint="default" w:ascii="Times New Roman Regular" w:hAnsi="Times New Roman Regular" w:eastAsia="宋体" w:cs="Times New Roman Regular"/>
                <w:i w:val="0"/>
                <w:color w:val="000000"/>
                <w:kern w:val="0"/>
                <w:sz w:val="24"/>
                <w:szCs w:val="24"/>
                <w:u w:val="none"/>
                <w:lang w:val="en-US" w:eastAsia="zh-CN" w:bidi="ar"/>
              </w:rPr>
              <w:t>IPF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0" w:hRule="atLeast"/>
        </w:trPr>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CELL\GENE</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CYBB</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CCL2</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CCL5</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CYBB</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CCL2</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CCL5</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CD68</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CD8A</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PTPRC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Activated B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0.89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0.63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0.78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0.96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0.23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-0.22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0.05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-0.20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0.03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Activated CD4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0.93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0.67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0.79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0.84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0.99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0.67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-0.52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-0.48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-0.45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Activated CD8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0.95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0.77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0.87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0.98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0.52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0.94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0.67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0.92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Activated dendritic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0.92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0.77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0.84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0.89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0.17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0.52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0.20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0.20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CD56bright natural killer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0.78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0.56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0.74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0.72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0.80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CD56dim natural killer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0.51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0.38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0.36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0.53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0.42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0.50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-0.81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0.86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Central memory CD4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0.91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0.46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0.63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0.78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0.74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0.11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0.27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0.12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0.09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Central memory CD8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0.38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0.12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0.26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0.41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0.10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0.21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-0.26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0.46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0.72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0.49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Effector memeory CD4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0.81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0.43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0.55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0.59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0.80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0.80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-0.57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-0.72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Effector memeory CD8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0.88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0.64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0.74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0.77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0.94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0.07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0.07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0.29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0.19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0.19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Eosinophil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0.92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0.87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0.78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0.70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-0.40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0.72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0.74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0.66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Gamma delta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0.26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0.45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0.67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0.77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0.60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0.01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-0.29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0.01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-0.29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Immature  B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0.89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0.62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0.70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0.78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0.97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0.50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-0.33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-0.12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-0.17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Immature dendritic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0.36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0.19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0.27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0.33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0.21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0.74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-0.25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-0.60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-0.54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Macrophage</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0.97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0.58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0.75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0.88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0.81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0.96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0.06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0.56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0.28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0.50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0.26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Mast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0.70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0.62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0.75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0.82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-0.25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0.75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0.51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0.70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0.50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MDSC</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0.94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0.82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0.86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0.97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-0.37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0.75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0.79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0.77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Memory B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0.77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0.54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0.59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0.89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0.59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-0.25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-0.44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-0.32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-0.48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Monocyte</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0.49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0.72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-0.59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0.87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Natural killer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0.79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0.33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0.49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0.64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0.70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0.78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0.82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Natural killer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0.89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0.59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0.74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-0.13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0.51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0.51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0.57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0.48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Neutrophil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-0.38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0.14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-0.24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-0.33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-0.30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-0.31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-0.17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0.58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0.25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0.31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0.27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Plasmacytoid dendritic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0.78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0.30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0.44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0.57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0.42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-0.02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-0.23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-0.16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-0.26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Regulatory T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0.94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0.59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0.69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0.80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0.89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-0.51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-0.67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-0.57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-0.69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 follicular helper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0.94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0.75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0.81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0.82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0.99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-0.15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0.61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0.51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0.48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Type 1 T helper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0.84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0.79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0.74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0.83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0.92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-0.28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0.69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0.62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0.69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0.60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Type 17 T helper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0.09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0.18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0.23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0.09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0.34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0.09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-0.32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0.58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0.58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0.71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0.60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2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Type 2 T helper cell</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0.86 </w:t>
            </w:r>
          </w:p>
        </w:tc>
        <w:tc>
          <w:tcPr>
            <w:tcW w:w="607"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0.43 </w:t>
            </w:r>
          </w:p>
        </w:tc>
        <w:tc>
          <w:tcPr>
            <w:tcW w:w="59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0.60 </w:t>
            </w:r>
          </w:p>
        </w:tc>
        <w:tc>
          <w:tcPr>
            <w:tcW w:w="675"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0.70 </w:t>
            </w:r>
          </w:p>
        </w:tc>
        <w:tc>
          <w:tcPr>
            <w:tcW w:w="65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0.72 </w:t>
            </w:r>
          </w:p>
        </w:tc>
        <w:tc>
          <w:tcPr>
            <w:tcW w:w="82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0.85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0.73 </w:t>
            </w:r>
          </w:p>
        </w:tc>
        <w:tc>
          <w:tcPr>
            <w:tcW w:w="663"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-0.58 </w:t>
            </w:r>
          </w:p>
        </w:tc>
        <w:tc>
          <w:tcPr>
            <w:tcW w:w="720"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652"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-0.59 </w:t>
            </w:r>
          </w:p>
        </w:tc>
        <w:tc>
          <w:tcPr>
            <w:tcW w:w="731"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-0.65 </w:t>
            </w:r>
          </w:p>
        </w:tc>
        <w:tc>
          <w:tcPr>
            <w:tcW w:w="789"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Regular" w:hAnsi="Times New Roman Regular" w:eastAsia="宋体" w:cs="Times New Roman Regular"/>
                <w:i w:val="0"/>
                <w:color w:val="000000"/>
                <w:kern w:val="2"/>
                <w:sz w:val="24"/>
                <w:szCs w:val="24"/>
                <w:u w:val="none"/>
                <w:lang w:val="en-US" w:eastAsia="zh-Hans" w:bidi="ar-SA"/>
              </w:rPr>
            </w:pPr>
            <w:r>
              <w:rPr>
                <w:rFonts w:hint="default" w:ascii="Times New Roman Regular" w:hAnsi="Times New Roman Regular" w:eastAsia="宋体" w:cs="Times New Roman Regular"/>
                <w:i w:val="0"/>
                <w:color w:val="000000"/>
                <w:kern w:val="0"/>
                <w:sz w:val="24"/>
                <w:szCs w:val="24"/>
                <w:u w:val="none"/>
                <w:lang w:val="en-US" w:eastAsia="zh-CN" w:bidi="ar"/>
              </w:rPr>
              <w:t xml:space="preserve">0.76 </w:t>
            </w:r>
          </w:p>
        </w:tc>
      </w:tr>
    </w:tbl>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lang w:eastAsia="zh-Hans"/>
        </w:rPr>
      </w:pPr>
    </w:p>
    <w:p>
      <w:pPr>
        <w:rPr>
          <w:rFonts w:hint="default" w:ascii="Times New Roman Regular" w:hAnsi="Times New Roman Regular" w:cs="Times New Roman Regular"/>
          <w:sz w:val="24"/>
          <w:szCs w:val="24"/>
        </w:rPr>
      </w:pP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Figure legends</w:t>
      </w: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 xml:space="preserve">Supplementary Figure 1. The heatmap of the </w:t>
      </w:r>
      <w:r>
        <w:rPr>
          <w:rFonts w:hint="default" w:ascii="Times New Roman Regular" w:hAnsi="Times New Roman Regular" w:cs="Times New Roman Regular"/>
          <w:sz w:val="24"/>
          <w:szCs w:val="24"/>
          <w:lang w:val="en-US" w:eastAsia="zh-Hans"/>
        </w:rPr>
        <w:t>co</w:t>
      </w:r>
      <w:r>
        <w:rPr>
          <w:rFonts w:hint="default" w:ascii="Times New Roman Regular" w:hAnsi="Times New Roman Regular" w:cs="Times New Roman Regular"/>
          <w:sz w:val="24"/>
          <w:szCs w:val="24"/>
          <w:lang w:eastAsia="zh-Hans"/>
        </w:rPr>
        <w:t>mmon</w:t>
      </w:r>
      <w:r>
        <w:rPr>
          <w:rFonts w:hint="default" w:ascii="Times New Roman Regular" w:hAnsi="Times New Roman Regular" w:cs="Times New Roman Regular"/>
          <w:sz w:val="24"/>
          <w:szCs w:val="24"/>
        </w:rPr>
        <w:t xml:space="preserve"> DEGs in GSE138198(A) and GSE110147(B).</w:t>
      </w: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drawing>
          <wp:inline distT="0" distB="0" distL="114300" distR="114300">
            <wp:extent cx="5267960" cy="2709545"/>
            <wp:effectExtent l="0" t="0" r="15240" b="8255"/>
            <wp:docPr id="1" name="图片 1" descr="截屏2022-08-22 下午4.1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截屏2022-08-22 下午4.19.29"/>
                    <pic:cNvPicPr>
                      <a:picLocks noChangeAspect="1"/>
                    </pic:cNvPicPr>
                  </pic:nvPicPr>
                  <pic:blipFill>
                    <a:blip r:embed="rId4"/>
                    <a:stretch>
                      <a:fillRect/>
                    </a:stretch>
                  </pic:blipFill>
                  <pic:spPr>
                    <a:xfrm>
                      <a:off x="0" y="0"/>
                      <a:ext cx="5267960" cy="2709545"/>
                    </a:xfrm>
                    <a:prstGeom prst="rect">
                      <a:avLst/>
                    </a:prstGeom>
                  </pic:spPr>
                </pic:pic>
              </a:graphicData>
            </a:graphic>
          </wp:inline>
        </w:drawing>
      </w: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Supplementary Figure 2. T</w:t>
      </w:r>
      <w:r>
        <w:rPr>
          <w:rFonts w:hint="default" w:ascii="Times New Roman Regular" w:hAnsi="Times New Roman Regular" w:cs="Times New Roman Regular"/>
          <w:sz w:val="24"/>
          <w:szCs w:val="24"/>
          <w:lang w:val="en-US" w:eastAsia="zh-Hans"/>
        </w:rPr>
        <w:t>he</w:t>
      </w:r>
      <w:r>
        <w:rPr>
          <w:rFonts w:hint="default" w:ascii="Times New Roman Regular" w:hAnsi="Times New Roman Regular" w:cs="Times New Roman Regular"/>
          <w:sz w:val="24"/>
          <w:szCs w:val="24"/>
          <w:lang w:eastAsia="zh-Hans"/>
        </w:rPr>
        <w:t xml:space="preserve"> </w:t>
      </w:r>
      <w:r>
        <w:rPr>
          <w:rFonts w:hint="default" w:ascii="Times New Roman Regular" w:hAnsi="Times New Roman Regular" w:cs="Times New Roman Regular"/>
          <w:sz w:val="24"/>
          <w:szCs w:val="24"/>
          <w:lang w:val="en-US" w:eastAsia="zh-Hans"/>
        </w:rPr>
        <w:t>i</w:t>
      </w:r>
      <w:r>
        <w:rPr>
          <w:rFonts w:hint="default" w:ascii="Times New Roman Regular" w:hAnsi="Times New Roman Regular" w:cs="Times New Roman Regular"/>
          <w:sz w:val="24"/>
          <w:szCs w:val="24"/>
        </w:rPr>
        <w:t>mmune cell infiltration of datasets in GSE138198(A) and GSE110147(B).</w:t>
      </w:r>
    </w:p>
    <w:p>
      <w:pPr>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drawing>
          <wp:inline distT="0" distB="0" distL="114300" distR="114300">
            <wp:extent cx="5267325" cy="2655570"/>
            <wp:effectExtent l="0" t="0" r="15875" b="11430"/>
            <wp:docPr id="2" name="图片 2" descr="截屏2022-08-22 下午9.5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截屏2022-08-22 下午9.57.41"/>
                    <pic:cNvPicPr>
                      <a:picLocks noChangeAspect="1"/>
                    </pic:cNvPicPr>
                  </pic:nvPicPr>
                  <pic:blipFill>
                    <a:blip r:embed="rId5"/>
                    <a:stretch>
                      <a:fillRect/>
                    </a:stretch>
                  </pic:blipFill>
                  <pic:spPr>
                    <a:xfrm>
                      <a:off x="0" y="0"/>
                      <a:ext cx="5267325" cy="2655570"/>
                    </a:xfrm>
                    <a:prstGeom prst="rect">
                      <a:avLst/>
                    </a:prstGeom>
                  </pic:spPr>
                </pic:pic>
              </a:graphicData>
            </a:graphic>
          </wp:inline>
        </w:drawing>
      </w: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Arial">
    <w:panose1 w:val="020B0604020202090204"/>
    <w:charset w:val="00"/>
    <w:family w:val="swiss"/>
    <w:pitch w:val="default"/>
    <w:sig w:usb0="E0000AFF" w:usb1="00007843" w:usb2="00000001" w:usb3="00000000" w:csb0="400001BF" w:csb1="DFF7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宋体">
    <w:altName w:val="华文宋体"/>
    <w:panose1 w:val="02010600030101010101"/>
    <w:charset w:val="86"/>
    <w:family w:val="auto"/>
    <w:pitch w:val="default"/>
    <w:sig w:usb0="00000000" w:usb1="00000000" w:usb2="00000016" w:usb3="00000000" w:csb0="00040001" w:csb1="00000000"/>
  </w:font>
  <w:font w:name="Cambria Math">
    <w:altName w:val="Kingsoft Math"/>
    <w:panose1 w:val="02040503050406030204"/>
    <w:charset w:val="00"/>
    <w:family w:val="auto"/>
    <w:pitch w:val="default"/>
    <w:sig w:usb0="00000000" w:usb1="00000000" w:usb2="00000000" w:usb3="00000000" w:csb0="0000019F" w:csb1="00000000"/>
  </w:font>
  <w:font w:name="DengXian">
    <w:altName w:val="汉仪中等线KW"/>
    <w:panose1 w:val="00000000000000000000"/>
    <w:charset w:val="86"/>
    <w:family w:val="auto"/>
    <w:pitch w:val="default"/>
    <w:sig w:usb0="00000000" w:usb1="00000000" w:usb2="00000000" w:usb3="00000000" w:csb0="00000000" w:csb1="00000000"/>
  </w:font>
  <w:font w:name="华文宋体">
    <w:panose1 w:val="02010600040101010101"/>
    <w:charset w:val="86"/>
    <w:family w:val="auto"/>
    <w:pitch w:val="default"/>
    <w:sig w:usb0="80000287" w:usb1="280F3C52" w:usb2="00000016" w:usb3="00000000" w:csb0="0004001F" w:csb1="00000000"/>
  </w:font>
  <w:font w:name="Kingsoft Math">
    <w:panose1 w:val="02040503050406030204"/>
    <w:charset w:val="00"/>
    <w:family w:val="auto"/>
    <w:pitch w:val="default"/>
    <w:sig w:usb0="80000087" w:usb1="00002068" w:usb2="00000000" w:usb3="00000000" w:csb0="2000019F" w:csb1="00000000"/>
  </w:font>
  <w:font w:name="Verdana">
    <w:panose1 w:val="020B0804030504040204"/>
    <w:charset w:val="00"/>
    <w:family w:val="auto"/>
    <w:pitch w:val="default"/>
    <w:sig w:usb0="A10006FF" w:usb1="4000205B" w:usb2="00000010" w:usb3="00000000" w:csb0="2000019F" w:csb1="00000000"/>
  </w:font>
  <w:font w:name="Times New Roman Regular">
    <w:panose1 w:val="02020503050405090304"/>
    <w:charset w:val="00"/>
    <w:family w:val="auto"/>
    <w:pitch w:val="default"/>
    <w:sig w:usb0="E0000AFF" w:usb1="00007843" w:usb2="00000001" w:usb3="00000000" w:csb0="400001BF" w:csb1="DFF70000"/>
  </w:font>
  <w:font w:name="Wingdings">
    <w:panose1 w:val="05000000000000000000"/>
    <w:charset w:val="02"/>
    <w:family w:val="auto"/>
    <w:pitch w:val="default"/>
    <w:sig w:usb0="00000000" w:usb1="00000000" w:usb2="00000000" w:usb3="00000000" w:csb0="80000000" w:csb1="00000000"/>
  </w:font>
  <w:font w:name="DengXian Light">
    <w:altName w:val="汉仪中等线KW"/>
    <w:panose1 w:val="00000000000000000000"/>
    <w:charset w:val="86"/>
    <w:family w:val="roman"/>
    <w:pitch w:val="default"/>
    <w:sig w:usb0="00000000" w:usb1="00000000" w:usb2="00000000" w:usb3="00000000" w:csb0="00000000" w:csb1="00000000"/>
  </w:font>
  <w:font w:name="Calibri Light">
    <w:altName w:val="Helvetica Neue"/>
    <w:panose1 w:val="020F0302020204030204"/>
    <w:charset w:val="00"/>
    <w:family w:val="swiss"/>
    <w:pitch w:val="default"/>
    <w:sig w:usb0="00000000" w:usb1="00000000" w:usb2="00000009" w:usb3="00000000" w:csb0="000001FF" w:csb1="00000000"/>
  </w:font>
  <w:font w:name="冬青黑体简体中文">
    <w:panose1 w:val="020B0300000000000000"/>
    <w:charset w:val="86"/>
    <w:family w:val="auto"/>
    <w:pitch w:val="default"/>
    <w:sig w:usb0="A00002BF" w:usb1="1ACF7CFA" w:usb2="00000016" w:usb3="00000000" w:csb0="00060007" w:csb1="00000000"/>
  </w:font>
  <w:font w:name="MS Mincho">
    <w:altName w:val="Hiragino Sans"/>
    <w:panose1 w:val="02020609040205080304"/>
    <w:charset w:val="80"/>
    <w:family w:val="modern"/>
    <w:pitch w:val="default"/>
    <w:sig w:usb0="00000000" w:usb1="00000000" w:usb2="08000012" w:usb3="00000000" w:csb0="0002009F" w:csb1="00000000"/>
  </w:font>
  <w:font w:name="MS Gothic">
    <w:altName w:val="冬青黑体简体中文"/>
    <w:panose1 w:val="020B0609070205080204"/>
    <w:charset w:val="80"/>
    <w:family w:val="modern"/>
    <w:pitch w:val="default"/>
    <w:sig w:usb0="00000000" w:usb1="00000000" w:usb2="08000012" w:usb3="00000000" w:csb0="0002009F" w:csb1="00000000"/>
  </w:font>
  <w:font w:name="Lucida Grande">
    <w:panose1 w:val="020B0600040502020204"/>
    <w:charset w:val="00"/>
    <w:family w:val="auto"/>
    <w:pitch w:val="default"/>
    <w:sig w:usb0="E1000AEF" w:usb1="5000A1FF" w:usb2="00000000" w:usb3="00000000" w:csb0="200001BF" w:csb1="4F010000"/>
  </w:font>
  <w:font w:name="ＭＳ 明朝">
    <w:altName w:val="Hiragino Sans"/>
    <w:panose1 w:val="00000000000000000000"/>
    <w:charset w:val="86"/>
    <w:family w:val="auto"/>
    <w:pitch w:val="default"/>
    <w:sig w:usb0="00000000" w:usb1="00000000" w:usb2="00000000" w:usb3="00000000" w:csb0="00000000" w:csb1="00000000"/>
  </w:font>
  <w:font w:name="ＭＳ 明朝">
    <w:altName w:val="Hiragino Sans"/>
    <w:panose1 w:val="00000000000000000000"/>
    <w:charset w:val="00"/>
    <w:family w:val="auto"/>
    <w:pitch w:val="default"/>
    <w:sig w:usb0="00000000" w:usb1="00000000" w:usb2="00000000" w:usb3="00000000" w:csb0="00000000" w:csb1="00000000"/>
  </w:font>
  <w:font w:name="Hiragino Sans">
    <w:panose1 w:val="020B0300000000000000"/>
    <w:charset w:val="80"/>
    <w:family w:val="auto"/>
    <w:pitch w:val="default"/>
    <w:sig w:usb0="E00002FF" w:usb1="7AE7FFFF" w:usb2="00000012" w:usb3="00000000" w:csb0="0002000D" w:csb1="00000000"/>
  </w:font>
  <w:font w:name="AdvOT6e5d2ec0">
    <w:altName w:val="苹方-简"/>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FFE216"/>
    <w:rsid w:val="173F1A10"/>
    <w:rsid w:val="2FF730ED"/>
    <w:rsid w:val="3DF7F66C"/>
    <w:rsid w:val="4EFF6188"/>
    <w:rsid w:val="67FFE216"/>
    <w:rsid w:val="74FEE085"/>
    <w:rsid w:val="77754E7B"/>
    <w:rsid w:val="7D7EAE26"/>
    <w:rsid w:val="7EDF05A3"/>
    <w:rsid w:val="7EFDE9CE"/>
    <w:rsid w:val="7F7E2E28"/>
    <w:rsid w:val="B1F249A0"/>
    <w:rsid w:val="BFDD1E56"/>
    <w:rsid w:val="F7F33612"/>
    <w:rsid w:val="FDFFE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qFormat/>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eastAsia" w:ascii="DengXian" w:hAnsi="DengXian" w:eastAsia="DengXian" w:cs="DengXian"/>
      <w:kern w:val="2"/>
      <w:sz w:val="21"/>
      <w:szCs w:val="24"/>
    </w:rPr>
    <w:tblPr>
      <w:tblCellMar>
        <w:top w:w="0" w:type="dxa"/>
        <w:left w:w="108" w:type="dxa"/>
        <w:bottom w:w="0" w:type="dxa"/>
        <w:right w:w="108" w:type="dxa"/>
      </w:tblCellMar>
    </w:tblPr>
  </w:style>
  <w:style w:type="character" w:styleId="3">
    <w:name w:val="Hyperlink"/>
    <w:basedOn w:val="2"/>
    <w:qFormat/>
    <w:uiPriority w:val="0"/>
    <w:rPr>
      <w:color w:val="0000FF"/>
      <w:u w:val="single"/>
    </w:rPr>
  </w:style>
  <w:style w:type="table" w:styleId="5">
    <w:name w:val="Table Grid"/>
    <w:basedOn w:val="4"/>
    <w:qFormat/>
    <w:uiPriority w:val="0"/>
    <w:rPr>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Office_3.4.0.5283_F1E327BC-269C-435d-A152-05C5408002CA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2022-08-23T06:35:00Z</dcterms:created>
  <dc:creator>mac</dc:creator>
  <cp:lastModifiedBy>mac</cp:lastModifiedBy>
  <dcterms:modified xsi:type="dcterms:W3CDTF">2022-08-23T14:57:07Z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2052-3.4.0.5283</vt:lpwstr>
  </property>
</Properties>
</file>