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4CAB" w:rsidRDefault="00A94CAB" w:rsidP="004A0DC4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</w:rPr>
      </w:pPr>
    </w:p>
    <w:p w:rsidR="004A0DC4" w:rsidRPr="00F8585C" w:rsidRDefault="00A94CAB" w:rsidP="00C52595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</w:rPr>
      </w:pPr>
      <w:r w:rsidRPr="00D06D8B">
        <w:rPr>
          <w:rFonts w:asciiTheme="majorBidi" w:hAnsiTheme="majorBidi" w:cstheme="majorBidi"/>
          <w:b/>
          <w:bCs/>
        </w:rPr>
        <w:t>Table S</w:t>
      </w:r>
      <w:r w:rsidR="0037491B">
        <w:rPr>
          <w:rFonts w:asciiTheme="majorBidi" w:hAnsiTheme="majorBidi" w:cstheme="majorBidi"/>
          <w:b/>
          <w:bCs/>
        </w:rPr>
        <w:t xml:space="preserve">7. </w:t>
      </w:r>
      <w:bookmarkStart w:id="0" w:name="_GoBack"/>
      <w:bookmarkEnd w:id="0"/>
      <w:r w:rsidR="001F461C" w:rsidRPr="00F8585C">
        <w:rPr>
          <w:rFonts w:asciiTheme="majorBidi" w:hAnsiTheme="majorBidi" w:cstheme="majorBidi"/>
        </w:rPr>
        <w:t xml:space="preserve">The promising genes associated with drought tolerance. The differentially expressed genes detected by more than one approach (common genes) and located on meta-QTLs regions overlying original </w:t>
      </w:r>
      <w:r w:rsidR="004A0DC4" w:rsidRPr="00F8585C">
        <w:rPr>
          <w:rFonts w:asciiTheme="majorBidi" w:hAnsiTheme="majorBidi" w:cstheme="majorBidi"/>
        </w:rPr>
        <w:t>QTLs were assumed as promising candidate genes in this study.</w:t>
      </w:r>
    </w:p>
    <w:p w:rsidR="004A0DC4" w:rsidRDefault="004A0DC4" w:rsidP="001F461C">
      <w:pPr>
        <w:autoSpaceDE w:val="0"/>
        <w:autoSpaceDN w:val="0"/>
        <w:adjustRightInd w:val="0"/>
        <w:spacing w:after="0" w:line="240" w:lineRule="auto"/>
        <w:jc w:val="both"/>
      </w:pPr>
      <w:r>
        <w:rPr>
          <w:rFonts w:asciiTheme="majorBidi" w:hAnsiTheme="majorBidi" w:cstheme="majorBidi"/>
          <w:color w:val="4A4A4A"/>
        </w:rPr>
        <w:fldChar w:fldCharType="begin"/>
      </w:r>
      <w:r>
        <w:rPr>
          <w:rFonts w:asciiTheme="majorBidi" w:hAnsiTheme="majorBidi" w:cstheme="majorBidi"/>
          <w:color w:val="4A4A4A"/>
        </w:rPr>
        <w:instrText xml:space="preserve"> LINK Excel.Sheet.12 "D:\\FIL_E\\transcriptome project\\</w:instrText>
      </w:r>
      <w:r>
        <w:rPr>
          <w:rFonts w:asciiTheme="majorBidi" w:hAnsiTheme="majorBidi" w:cstheme="majorBidi"/>
          <w:color w:val="4A4A4A"/>
          <w:rtl/>
        </w:rPr>
        <w:instrText>نتایج نهایی</w:instrText>
      </w:r>
      <w:r>
        <w:rPr>
          <w:rFonts w:asciiTheme="majorBidi" w:hAnsiTheme="majorBidi" w:cstheme="majorBidi"/>
          <w:color w:val="4A4A4A"/>
        </w:rPr>
        <w:instrText>\\sup\\Candidate gene search in the MQTL positions\\</w:instrText>
      </w:r>
      <w:r>
        <w:rPr>
          <w:rFonts w:asciiTheme="majorBidi" w:hAnsiTheme="majorBidi" w:cstheme="majorBidi"/>
          <w:color w:val="4A4A4A"/>
          <w:rtl/>
        </w:rPr>
        <w:instrText>شبکه ژنی</w:instrText>
      </w:r>
      <w:r>
        <w:rPr>
          <w:rFonts w:asciiTheme="majorBidi" w:hAnsiTheme="majorBidi" w:cstheme="majorBidi"/>
          <w:color w:val="4A4A4A"/>
        </w:rPr>
        <w:instrText xml:space="preserve">.xlsx" "Real time MQTLs!R1C1:R10C7" \a \f 4 \h  \* MERGEFORMAT </w:instrText>
      </w:r>
      <w:r>
        <w:rPr>
          <w:rFonts w:asciiTheme="majorBidi" w:hAnsiTheme="majorBidi" w:cstheme="majorBidi"/>
          <w:color w:val="4A4A4A"/>
        </w:rPr>
        <w:fldChar w:fldCharType="separate"/>
      </w:r>
    </w:p>
    <w:tbl>
      <w:tblPr>
        <w:tblW w:w="12968" w:type="dxa"/>
        <w:jc w:val="center"/>
        <w:tblLook w:val="04A0" w:firstRow="1" w:lastRow="0" w:firstColumn="1" w:lastColumn="0" w:noHBand="0" w:noVBand="1"/>
      </w:tblPr>
      <w:tblGrid>
        <w:gridCol w:w="624"/>
        <w:gridCol w:w="1745"/>
        <w:gridCol w:w="1540"/>
        <w:gridCol w:w="1320"/>
        <w:gridCol w:w="4439"/>
        <w:gridCol w:w="219"/>
        <w:gridCol w:w="1837"/>
        <w:gridCol w:w="123"/>
        <w:gridCol w:w="1121"/>
      </w:tblGrid>
      <w:tr w:rsidR="004A0DC4" w:rsidRPr="004A0DC4" w:rsidTr="00D06D8B">
        <w:trPr>
          <w:trHeight w:val="479"/>
          <w:jc w:val="center"/>
        </w:trPr>
        <w:tc>
          <w:tcPr>
            <w:tcW w:w="62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00"/>
            <w:vAlign w:val="center"/>
            <w:hideMark/>
          </w:tcPr>
          <w:p w:rsidR="004A0DC4" w:rsidRPr="004A0DC4" w:rsidRDefault="004A0DC4" w:rsidP="004A0DC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A0D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NO</w:t>
            </w:r>
          </w:p>
        </w:tc>
        <w:tc>
          <w:tcPr>
            <w:tcW w:w="17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:rsidR="004A0DC4" w:rsidRPr="004A0DC4" w:rsidRDefault="004A0DC4" w:rsidP="004A0D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A0D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Gene ID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:rsidR="004A0DC4" w:rsidRPr="004A0DC4" w:rsidRDefault="004A0DC4" w:rsidP="004A0D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A0D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Meta position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:rsidR="004A0DC4" w:rsidRPr="004A0DC4" w:rsidRDefault="004A0DC4" w:rsidP="004A0D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A0D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Gene name</w:t>
            </w:r>
          </w:p>
        </w:tc>
        <w:tc>
          <w:tcPr>
            <w:tcW w:w="44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:rsidR="004A0DC4" w:rsidRPr="004A0DC4" w:rsidRDefault="004A0DC4" w:rsidP="004A0D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A0D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Function</w:t>
            </w:r>
          </w:p>
        </w:tc>
        <w:tc>
          <w:tcPr>
            <w:tcW w:w="205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:rsidR="004A0DC4" w:rsidRPr="004A0DC4" w:rsidRDefault="004A0DC4" w:rsidP="004A0D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A0D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Location</w:t>
            </w:r>
          </w:p>
        </w:tc>
        <w:tc>
          <w:tcPr>
            <w:tcW w:w="124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:rsidR="004A0DC4" w:rsidRPr="004A0DC4" w:rsidRDefault="004A0DC4" w:rsidP="004A0D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A0DC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Up/Down</w:t>
            </w:r>
          </w:p>
        </w:tc>
      </w:tr>
      <w:tr w:rsidR="004A0DC4" w:rsidRPr="004A0DC4" w:rsidTr="00D06D8B">
        <w:trPr>
          <w:trHeight w:val="456"/>
          <w:jc w:val="center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LOC101785619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MQTL</w:t>
            </w:r>
            <w:r w:rsidR="007C3DE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3-4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515D87" w:rsidP="00515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15D8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SiCSC1</w:t>
            </w:r>
          </w:p>
        </w:tc>
        <w:tc>
          <w:tcPr>
            <w:tcW w:w="46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calcium activated cation channel activity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Membrane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up</w:t>
            </w:r>
          </w:p>
        </w:tc>
      </w:tr>
      <w:tr w:rsidR="004A0DC4" w:rsidRPr="004A0DC4" w:rsidTr="00D06D8B">
        <w:trPr>
          <w:trHeight w:val="456"/>
          <w:jc w:val="center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LOC101756252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7C3D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MQTL</w:t>
            </w:r>
            <w:r w:rsidR="007C3DE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5-</w:t>
            </w: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7C3DEB" w:rsidP="007C3D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7C3DE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SiHSP</w:t>
            </w:r>
            <w:proofErr w:type="spellEnd"/>
          </w:p>
        </w:tc>
        <w:tc>
          <w:tcPr>
            <w:tcW w:w="46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heat shock protein binding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cytoplasm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up</w:t>
            </w:r>
          </w:p>
        </w:tc>
      </w:tr>
      <w:tr w:rsidR="004A0DC4" w:rsidRPr="004A0DC4" w:rsidTr="00D06D8B">
        <w:trPr>
          <w:trHeight w:val="456"/>
          <w:jc w:val="center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LOC101772168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7C3D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MQTL</w:t>
            </w:r>
            <w:r w:rsidR="007C3DE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5-</w:t>
            </w: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515D87" w:rsidP="00515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515D8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SiACO</w:t>
            </w:r>
            <w:proofErr w:type="spellEnd"/>
          </w:p>
        </w:tc>
        <w:tc>
          <w:tcPr>
            <w:tcW w:w="46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1-aminocyclopropane-1-carboxylate oxidase 1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Nucleus/ cytoplasm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up</w:t>
            </w:r>
          </w:p>
        </w:tc>
      </w:tr>
      <w:tr w:rsidR="004A0DC4" w:rsidRPr="004A0DC4" w:rsidTr="00D06D8B">
        <w:trPr>
          <w:trHeight w:val="456"/>
          <w:jc w:val="center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LOC101777340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7C3D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MQTL</w:t>
            </w:r>
            <w:r w:rsidR="007C3DE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1-</w:t>
            </w: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515D87" w:rsidP="00515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15D8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SiAP2/ERF</w:t>
            </w:r>
            <w:r w:rsidRPr="00515D8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6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DNA-binding transcription factor activity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Nucleus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up</w:t>
            </w:r>
          </w:p>
        </w:tc>
      </w:tr>
      <w:tr w:rsidR="004A0DC4" w:rsidRPr="004A0DC4" w:rsidTr="00D06D8B">
        <w:trPr>
          <w:trHeight w:val="456"/>
          <w:jc w:val="center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LOC101784996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7C3D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MQTL</w:t>
            </w:r>
            <w:r w:rsidR="007C3DE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5-</w:t>
            </w: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7C3DEB" w:rsidP="007C3D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C3DE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SiWRKY24</w:t>
            </w:r>
          </w:p>
        </w:tc>
        <w:tc>
          <w:tcPr>
            <w:tcW w:w="46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DNA-binding transcription factor activity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Nucleus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up</w:t>
            </w:r>
          </w:p>
        </w:tc>
      </w:tr>
      <w:tr w:rsidR="004A0DC4" w:rsidRPr="004A0DC4" w:rsidTr="00D06D8B">
        <w:trPr>
          <w:trHeight w:val="456"/>
          <w:jc w:val="center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LOC101768460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7C3D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MQTL</w:t>
            </w:r>
            <w:r w:rsidR="007C3DE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7-4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515D87" w:rsidP="00515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15D8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SiGGT1</w:t>
            </w:r>
          </w:p>
        </w:tc>
        <w:tc>
          <w:tcPr>
            <w:tcW w:w="46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glutathione hydrolase activity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Plasma Membrane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up</w:t>
            </w:r>
          </w:p>
        </w:tc>
      </w:tr>
      <w:tr w:rsidR="004A0DC4" w:rsidRPr="004A0DC4" w:rsidTr="00D06D8B">
        <w:trPr>
          <w:trHeight w:val="456"/>
          <w:jc w:val="center"/>
        </w:trPr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LOC101753014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7C3D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MQTL</w:t>
            </w:r>
            <w:r w:rsidR="007C3DE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5-</w:t>
            </w: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7C3DEB" w:rsidP="007C3D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C3DE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SiZAT12</w:t>
            </w:r>
          </w:p>
        </w:tc>
        <w:tc>
          <w:tcPr>
            <w:tcW w:w="46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zinc finger protein ZAT12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Nucleus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up</w:t>
            </w:r>
          </w:p>
        </w:tc>
      </w:tr>
      <w:tr w:rsidR="004A0DC4" w:rsidRPr="004A0DC4" w:rsidTr="00D06D8B">
        <w:trPr>
          <w:trHeight w:val="456"/>
          <w:jc w:val="center"/>
        </w:trPr>
        <w:tc>
          <w:tcPr>
            <w:tcW w:w="62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7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LOC101768461</w:t>
            </w:r>
          </w:p>
        </w:tc>
        <w:tc>
          <w:tcPr>
            <w:tcW w:w="1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7C3D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MQTL</w:t>
            </w:r>
            <w:r w:rsidR="007C3DE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7-</w:t>
            </w: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7C3DEB" w:rsidP="007C3D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C3DE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SiPFK2</w:t>
            </w:r>
          </w:p>
        </w:tc>
        <w:tc>
          <w:tcPr>
            <w:tcW w:w="465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ATP-dependent 6-phosphofructokinase 2 (cofactor)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Cytoplasm and Cytosol</w:t>
            </w:r>
          </w:p>
        </w:tc>
        <w:tc>
          <w:tcPr>
            <w:tcW w:w="11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up</w:t>
            </w:r>
          </w:p>
        </w:tc>
      </w:tr>
      <w:tr w:rsidR="004A0DC4" w:rsidRPr="004A0DC4" w:rsidTr="00D06D8B">
        <w:trPr>
          <w:trHeight w:val="479"/>
          <w:jc w:val="center"/>
        </w:trPr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LOC101777378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7C3DE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MQTL</w:t>
            </w:r>
            <w:r w:rsidR="007C3DE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2-</w:t>
            </w: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515D87" w:rsidP="00515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15D87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SiCURT1B</w:t>
            </w:r>
          </w:p>
        </w:tc>
        <w:tc>
          <w:tcPr>
            <w:tcW w:w="46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protein domain specific binding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Membrane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0DC4" w:rsidRPr="004A0DC4" w:rsidRDefault="004A0DC4" w:rsidP="00F858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A0DC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down</w:t>
            </w:r>
          </w:p>
        </w:tc>
      </w:tr>
    </w:tbl>
    <w:p w:rsidR="001F461C" w:rsidRPr="001F461C" w:rsidRDefault="004A0DC4" w:rsidP="004A0DC4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color w:val="4A4A4A"/>
        </w:rPr>
        <w:fldChar w:fldCharType="end"/>
      </w:r>
    </w:p>
    <w:sectPr w:rsidR="001F461C" w:rsidRPr="001F461C" w:rsidSect="00D06D8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461C"/>
    <w:rsid w:val="001F461C"/>
    <w:rsid w:val="002036B6"/>
    <w:rsid w:val="002E4F4E"/>
    <w:rsid w:val="0037491B"/>
    <w:rsid w:val="004A0DC4"/>
    <w:rsid w:val="00515D87"/>
    <w:rsid w:val="0068274E"/>
    <w:rsid w:val="007B1183"/>
    <w:rsid w:val="007C3DEB"/>
    <w:rsid w:val="00893141"/>
    <w:rsid w:val="00A94CAB"/>
    <w:rsid w:val="00C079B1"/>
    <w:rsid w:val="00C52595"/>
    <w:rsid w:val="00D06D8B"/>
    <w:rsid w:val="00D102F1"/>
    <w:rsid w:val="00DA7F82"/>
    <w:rsid w:val="00F85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4DA7F"/>
  <w15:chartTrackingRefBased/>
  <w15:docId w15:val="{815D5300-5639-4744-9115-AEC237186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F46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3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Fateme Leoni</dc:creator>
  <cp:keywords/>
  <dc:description/>
  <cp:lastModifiedBy>Fateme Leoni</cp:lastModifiedBy>
  <cp:revision>2</cp:revision>
  <dcterms:created xsi:type="dcterms:W3CDTF">2021-11-13T16:02:00Z</dcterms:created>
  <dcterms:modified xsi:type="dcterms:W3CDTF">2022-11-08T18:30:00Z</dcterms:modified>
</cp:coreProperties>
</file>