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5F5CE7" w14:textId="3298FCB4" w:rsidR="00C57339" w:rsidRDefault="00840958" w:rsidP="001D6874">
      <w:pPr>
        <w:rPr>
          <w:rFonts w:ascii="Arial" w:hAnsi="Arial" w:cs="Arial"/>
        </w:rPr>
      </w:pPr>
      <w:r>
        <w:rPr>
          <w:noProof/>
        </w:rPr>
        <w:softHyphen/>
      </w:r>
    </w:p>
    <w:p w14:paraId="5C6AAB18" w14:textId="77777777" w:rsidR="00C57339" w:rsidRDefault="00C57339" w:rsidP="00AA5D67">
      <w:pPr>
        <w:tabs>
          <w:tab w:val="left" w:pos="1025"/>
        </w:tabs>
        <w:spacing w:line="480" w:lineRule="auto"/>
        <w:rPr>
          <w:rFonts w:ascii="Arial" w:hAnsi="Arial" w:cs="Arial"/>
          <w:noProof/>
        </w:rPr>
      </w:pPr>
    </w:p>
    <w:p w14:paraId="11D1D7AE" w14:textId="46ED2902" w:rsidR="00DF2BD3" w:rsidRDefault="00C577DF" w:rsidP="00AA5D67">
      <w:pPr>
        <w:tabs>
          <w:tab w:val="left" w:pos="1025"/>
        </w:tabs>
        <w:spacing w:line="480" w:lineRule="auto"/>
        <w:rPr>
          <w:rFonts w:ascii="Arial" w:hAnsi="Arial" w:cs="Arial"/>
        </w:rPr>
      </w:pPr>
      <w:r w:rsidRPr="00C577DF">
        <w:rPr>
          <w:rFonts w:ascii="Arial" w:hAnsi="Arial" w:cs="Arial"/>
          <w:noProof/>
        </w:rPr>
        <w:drawing>
          <wp:inline distT="0" distB="0" distL="0" distR="0" wp14:anchorId="300A8F1B" wp14:editId="03329790">
            <wp:extent cx="6832600" cy="5988050"/>
            <wp:effectExtent l="0" t="0" r="635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b="34514"/>
                    <a:stretch/>
                  </pic:blipFill>
                  <pic:spPr bwMode="auto">
                    <a:xfrm>
                      <a:off x="0" y="0"/>
                      <a:ext cx="6832600" cy="5988050"/>
                    </a:xfrm>
                    <a:prstGeom prst="rect">
                      <a:avLst/>
                    </a:prstGeom>
                    <a:noFill/>
                    <a:ln>
                      <a:noFill/>
                    </a:ln>
                    <a:extLst>
                      <a:ext uri="{53640926-AAD7-44D8-BBD7-CCE9431645EC}">
                        <a14:shadowObscured xmlns:a14="http://schemas.microsoft.com/office/drawing/2010/main"/>
                      </a:ext>
                    </a:extLst>
                  </pic:spPr>
                </pic:pic>
              </a:graphicData>
            </a:graphic>
          </wp:inline>
        </w:drawing>
      </w:r>
    </w:p>
    <w:p w14:paraId="0BA813EA" w14:textId="5178B371" w:rsidR="00DF2BD3" w:rsidRDefault="00A73A36" w:rsidP="00AA5D67">
      <w:pPr>
        <w:tabs>
          <w:tab w:val="left" w:pos="1025"/>
        </w:tabs>
        <w:spacing w:line="480" w:lineRule="auto"/>
        <w:rPr>
          <w:rFonts w:ascii="Arial" w:hAnsi="Arial" w:cs="Arial"/>
        </w:rPr>
      </w:pPr>
      <w:r>
        <w:rPr>
          <w:rFonts w:ascii="Arial" w:hAnsi="Arial" w:cs="Arial"/>
        </w:rPr>
        <w:t xml:space="preserve">Sfig1. Selecting the compatible restriction enzymes. In the SCA-seq, we used methyltransferase (EcoGII or M.CviPI) to label the </w:t>
      </w:r>
      <w:r w:rsidR="00004190">
        <w:rPr>
          <w:rFonts w:ascii="Arial" w:hAnsi="Arial" w:cs="Arial"/>
        </w:rPr>
        <w:t>accessible</w:t>
      </w:r>
      <w:r>
        <w:rPr>
          <w:rFonts w:ascii="Arial" w:hAnsi="Arial" w:cs="Arial"/>
        </w:rPr>
        <w:t xml:space="preserve"> chromatin. Then we used the restriction enzyme to digest </w:t>
      </w:r>
      <w:r w:rsidR="000B1CA8">
        <w:rPr>
          <w:rFonts w:ascii="Arial" w:hAnsi="Arial" w:cs="Arial"/>
        </w:rPr>
        <w:t xml:space="preserve">the </w:t>
      </w:r>
      <w:r>
        <w:rPr>
          <w:rFonts w:ascii="Arial" w:hAnsi="Arial" w:cs="Arial"/>
        </w:rPr>
        <w:t xml:space="preserve">genome and prepare for the next step ligation. The EcoGII methyltransferase transferred the methyl group to the 6’ carbon in adenosine (m6A modification). Due to the high density of the adenosines </w:t>
      </w:r>
      <w:r w:rsidR="000B1CA8">
        <w:rPr>
          <w:rFonts w:ascii="Arial" w:hAnsi="Arial" w:cs="Arial"/>
        </w:rPr>
        <w:t>in</w:t>
      </w:r>
      <w:r>
        <w:rPr>
          <w:rFonts w:ascii="Arial" w:hAnsi="Arial" w:cs="Arial"/>
        </w:rPr>
        <w:t xml:space="preserve"> </w:t>
      </w:r>
      <w:r w:rsidR="0027531D">
        <w:rPr>
          <w:rFonts w:ascii="Arial" w:hAnsi="Arial" w:cs="Arial"/>
        </w:rPr>
        <w:t xml:space="preserve">the </w:t>
      </w:r>
      <w:r>
        <w:rPr>
          <w:rFonts w:ascii="Arial" w:hAnsi="Arial" w:cs="Arial"/>
        </w:rPr>
        <w:t xml:space="preserve">genome (~25%), the abundant artificial m6A may impair the restriction enzymes. We used the </w:t>
      </w:r>
      <w:r w:rsidR="00250FEE">
        <w:rPr>
          <w:rFonts w:ascii="Arial" w:hAnsi="Arial" w:cs="Arial"/>
        </w:rPr>
        <w:t>EcoGII</w:t>
      </w:r>
      <w:r>
        <w:rPr>
          <w:rFonts w:ascii="Arial" w:hAnsi="Arial" w:cs="Arial"/>
        </w:rPr>
        <w:t xml:space="preserve"> to treat the HEK293T genomic DNAs (m6A +), and leave the control (m6a -) untreated. We tested HindIII (a) PstI and NdeI (b) on the methylated and unmethylated genomic </w:t>
      </w:r>
      <w:r>
        <w:rPr>
          <w:rFonts w:ascii="Arial" w:hAnsi="Arial" w:cs="Arial"/>
        </w:rPr>
        <w:lastRenderedPageBreak/>
        <w:t xml:space="preserve">DNAs, and </w:t>
      </w:r>
      <w:r w:rsidR="00250FEE">
        <w:rPr>
          <w:rFonts w:ascii="Arial" w:hAnsi="Arial" w:cs="Arial"/>
        </w:rPr>
        <w:t>all</w:t>
      </w:r>
      <w:r>
        <w:rPr>
          <w:rFonts w:ascii="Arial" w:hAnsi="Arial" w:cs="Arial"/>
        </w:rPr>
        <w:t xml:space="preserve"> these restriction enzymes were inhibited by the abundant m6A modifications. DpnI is the </w:t>
      </w:r>
      <w:r w:rsidR="0080454D">
        <w:rPr>
          <w:rFonts w:ascii="Arial" w:hAnsi="Arial" w:cs="Arial"/>
        </w:rPr>
        <w:t>m6A-dependent</w:t>
      </w:r>
      <w:r>
        <w:rPr>
          <w:rFonts w:ascii="Arial" w:hAnsi="Arial" w:cs="Arial"/>
        </w:rPr>
        <w:t xml:space="preserve"> restriction enzymes and only digested the genomic locus with m6A modification (a DpnI). NA was the genomic DNA control. </w:t>
      </w:r>
      <w:r w:rsidR="003C25B6">
        <w:rPr>
          <w:rFonts w:ascii="Arial" w:hAnsi="Arial" w:cs="Arial"/>
        </w:rPr>
        <w:t>By the similar process</w:t>
      </w:r>
      <w:r>
        <w:rPr>
          <w:rFonts w:ascii="Arial" w:hAnsi="Arial" w:cs="Arial"/>
        </w:rPr>
        <w:t>, we tested the HindIII (c for lambda DNA), DpnII</w:t>
      </w:r>
      <w:r w:rsidR="00793C7A">
        <w:rPr>
          <w:rFonts w:ascii="Arial" w:hAnsi="Arial" w:cs="Arial"/>
        </w:rPr>
        <w:t>,</w:t>
      </w:r>
      <w:r>
        <w:rPr>
          <w:rFonts w:ascii="Arial" w:hAnsi="Arial" w:cs="Arial"/>
        </w:rPr>
        <w:t xml:space="preserve"> and NIaIII (d for HEK293T genomic DNAs) on the GpC methylated DNAs, which were treated by methyltransferase M.CviPI. DpnII and NIaIII were not significantly inhibited by GpC methylation.</w:t>
      </w:r>
      <w:r w:rsidR="00AE2756">
        <w:rPr>
          <w:rFonts w:ascii="Arial" w:hAnsi="Arial" w:cs="Arial"/>
        </w:rPr>
        <w:t xml:space="preserve"> In the next step, we examined if the digested </w:t>
      </w:r>
      <w:r w:rsidR="00250FEE">
        <w:rPr>
          <w:rFonts w:ascii="Arial" w:hAnsi="Arial" w:cs="Arial"/>
        </w:rPr>
        <w:t>products</w:t>
      </w:r>
      <w:r w:rsidR="00AE2756">
        <w:rPr>
          <w:rFonts w:ascii="Arial" w:hAnsi="Arial" w:cs="Arial"/>
        </w:rPr>
        <w:t xml:space="preserve"> could be ligated by T4 DNA ligase (e).</w:t>
      </w:r>
    </w:p>
    <w:p w14:paraId="4820316C" w14:textId="3263B296" w:rsidR="00573EF7" w:rsidRDefault="00573EF7" w:rsidP="00AA5D67">
      <w:pPr>
        <w:tabs>
          <w:tab w:val="left" w:pos="1025"/>
        </w:tabs>
        <w:spacing w:line="480" w:lineRule="auto"/>
        <w:rPr>
          <w:rFonts w:ascii="Arial" w:hAnsi="Arial" w:cs="Arial"/>
        </w:rPr>
      </w:pPr>
    </w:p>
    <w:p w14:paraId="35C6F56A" w14:textId="2CC1C3F1" w:rsidR="00E2123D" w:rsidRDefault="00E2123D" w:rsidP="00AA5D67">
      <w:pPr>
        <w:tabs>
          <w:tab w:val="left" w:pos="1025"/>
        </w:tabs>
        <w:spacing w:line="480" w:lineRule="auto"/>
        <w:rPr>
          <w:rFonts w:ascii="Arial" w:hAnsi="Arial" w:cs="Arial"/>
        </w:rPr>
      </w:pPr>
    </w:p>
    <w:p w14:paraId="2086C5A0" w14:textId="77777777" w:rsidR="00E2123D" w:rsidRDefault="00E2123D" w:rsidP="00AA5D67">
      <w:pPr>
        <w:tabs>
          <w:tab w:val="left" w:pos="1025"/>
        </w:tabs>
        <w:spacing w:line="480" w:lineRule="auto"/>
        <w:rPr>
          <w:rFonts w:ascii="Arial" w:hAnsi="Arial" w:cs="Arial"/>
        </w:rPr>
      </w:pPr>
    </w:p>
    <w:p w14:paraId="34F67793" w14:textId="121C3BD8" w:rsidR="00E2123D" w:rsidRDefault="00A36775" w:rsidP="00AA5D67">
      <w:pPr>
        <w:tabs>
          <w:tab w:val="left" w:pos="1025"/>
        </w:tabs>
        <w:spacing w:line="480" w:lineRule="auto"/>
        <w:rPr>
          <w:rFonts w:ascii="Arial" w:hAnsi="Arial" w:cs="Arial"/>
        </w:rPr>
      </w:pPr>
      <w:r>
        <w:rPr>
          <w:rFonts w:ascii="Arial" w:hAnsi="Arial" w:cs="Arial"/>
          <w:noProof/>
        </w:rPr>
        <w:drawing>
          <wp:inline distT="0" distB="0" distL="0" distR="0" wp14:anchorId="60308B95" wp14:editId="204668AB">
            <wp:extent cx="6858000" cy="2051050"/>
            <wp:effectExtent l="0" t="0" r="0" b="6350"/>
            <wp:docPr id="24" name="Picture 2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0" cy="2051050"/>
                    </a:xfrm>
                    <a:prstGeom prst="rect">
                      <a:avLst/>
                    </a:prstGeom>
                  </pic:spPr>
                </pic:pic>
              </a:graphicData>
            </a:graphic>
          </wp:inline>
        </w:drawing>
      </w:r>
    </w:p>
    <w:p w14:paraId="2D500997" w14:textId="19F7D849" w:rsidR="00573EF7" w:rsidRDefault="00573EF7" w:rsidP="00AA5D67">
      <w:pPr>
        <w:tabs>
          <w:tab w:val="left" w:pos="1025"/>
        </w:tabs>
        <w:spacing w:line="480" w:lineRule="auto"/>
        <w:rPr>
          <w:rFonts w:ascii="Arial" w:hAnsi="Arial" w:cs="Arial"/>
        </w:rPr>
      </w:pPr>
      <w:r>
        <w:rPr>
          <w:rFonts w:ascii="Arial" w:hAnsi="Arial" w:cs="Arial" w:hint="eastAsia"/>
        </w:rPr>
        <w:t>Sfig</w:t>
      </w:r>
      <w:r w:rsidR="0052629C">
        <w:rPr>
          <w:rFonts w:ascii="Arial" w:hAnsi="Arial" w:cs="Arial"/>
        </w:rPr>
        <w:t>2.</w:t>
      </w:r>
      <w:r w:rsidR="003B1196">
        <w:rPr>
          <w:rFonts w:ascii="Arial" w:hAnsi="Arial" w:cs="Arial"/>
        </w:rPr>
        <w:t xml:space="preserve"> </w:t>
      </w:r>
      <w:r w:rsidR="003B1196">
        <w:rPr>
          <w:rFonts w:ascii="Arial" w:hAnsi="Arial" w:cs="Arial" w:hint="eastAsia"/>
        </w:rPr>
        <w:t>The</w:t>
      </w:r>
      <w:r w:rsidR="003B1196">
        <w:rPr>
          <w:rFonts w:ascii="Arial" w:hAnsi="Arial" w:cs="Arial"/>
        </w:rPr>
        <w:t xml:space="preserve"> </w:t>
      </w:r>
      <w:r w:rsidR="003B1196">
        <w:rPr>
          <w:rFonts w:ascii="Arial" w:hAnsi="Arial" w:cs="Arial" w:hint="eastAsia"/>
        </w:rPr>
        <w:t>feasibility</w:t>
      </w:r>
      <w:r w:rsidR="003B1196">
        <w:rPr>
          <w:rFonts w:ascii="Arial" w:hAnsi="Arial" w:cs="Arial"/>
        </w:rPr>
        <w:t xml:space="preserve"> of the </w:t>
      </w:r>
      <w:r w:rsidR="009532F5">
        <w:rPr>
          <w:rFonts w:ascii="Arial" w:hAnsi="Arial" w:cs="Arial" w:hint="eastAsia"/>
        </w:rPr>
        <w:t>methylation</w:t>
      </w:r>
      <w:r w:rsidR="003B1196">
        <w:rPr>
          <w:rFonts w:ascii="Arial" w:hAnsi="Arial" w:cs="Arial"/>
        </w:rPr>
        <w:t xml:space="preserve"> calling.</w:t>
      </w:r>
      <w:r w:rsidR="0098426A" w:rsidRPr="0098426A">
        <w:t xml:space="preserve"> </w:t>
      </w:r>
      <w:r w:rsidR="0098426A">
        <w:t>(a)</w:t>
      </w:r>
      <w:r w:rsidR="00402902">
        <w:t xml:space="preserve"> </w:t>
      </w:r>
      <w:r w:rsidR="000B1CA8">
        <w:t>The similarity</w:t>
      </w:r>
      <w:r w:rsidR="0098426A" w:rsidRPr="0098426A">
        <w:rPr>
          <w:rFonts w:ascii="Arial" w:hAnsi="Arial" w:cs="Arial"/>
        </w:rPr>
        <w:t xml:space="preserve"> between the gold standard WGBS GpC methylation calls and SCA-seq GpC methylation calls. </w:t>
      </w:r>
      <w:r w:rsidR="00402902">
        <w:rPr>
          <w:rFonts w:ascii="Arial" w:hAnsi="Arial" w:cs="Arial" w:hint="eastAsia"/>
        </w:rPr>
        <w:t>The</w:t>
      </w:r>
      <w:r w:rsidR="00402902">
        <w:rPr>
          <w:rFonts w:ascii="Arial" w:hAnsi="Arial" w:cs="Arial"/>
        </w:rPr>
        <w:t xml:space="preserve"> methylation ratios in 200bp bins of SCA-seq were scatter plotted with WGBS methylation ratio (</w:t>
      </w:r>
      <w:r w:rsidR="00402902" w:rsidRPr="00B03878">
        <w:rPr>
          <w:rFonts w:ascii="Arial" w:hAnsi="Arial" w:cs="Arial"/>
          <w:i/>
          <w:iCs/>
        </w:rPr>
        <w:t>Pearson correlation, p&lt;</w:t>
      </w:r>
      <w:r w:rsidR="00B03878" w:rsidRPr="00B03878">
        <w:rPr>
          <w:rFonts w:ascii="Arial" w:hAnsi="Arial" w:cs="Arial"/>
          <w:i/>
          <w:iCs/>
        </w:rPr>
        <w:t>2.6*10</w:t>
      </w:r>
      <w:r w:rsidR="00B03878" w:rsidRPr="00B03878">
        <w:rPr>
          <w:rFonts w:ascii="Arial" w:hAnsi="Arial" w:cs="Arial"/>
          <w:i/>
          <w:iCs/>
          <w:vertAlign w:val="superscript"/>
        </w:rPr>
        <w:t>-16</w:t>
      </w:r>
      <w:r w:rsidR="00402902">
        <w:rPr>
          <w:rFonts w:ascii="Arial" w:hAnsi="Arial" w:cs="Arial"/>
        </w:rPr>
        <w:t>).</w:t>
      </w:r>
      <w:r w:rsidR="00B03878">
        <w:rPr>
          <w:rFonts w:ascii="Arial" w:hAnsi="Arial" w:cs="Arial"/>
        </w:rPr>
        <w:t xml:space="preserve"> </w:t>
      </w:r>
      <w:r w:rsidR="000B1CA8">
        <w:rPr>
          <w:rFonts w:ascii="Arial" w:hAnsi="Arial" w:cs="Arial"/>
        </w:rPr>
        <w:t>A</w:t>
      </w:r>
      <w:r w:rsidR="00B03878">
        <w:rPr>
          <w:rFonts w:ascii="Arial" w:hAnsi="Arial" w:cs="Arial"/>
        </w:rPr>
        <w:t xml:space="preserve"> similar plot of </w:t>
      </w:r>
      <w:r w:rsidR="000B1CA8">
        <w:rPr>
          <w:rFonts w:ascii="Arial" w:hAnsi="Arial" w:cs="Arial"/>
        </w:rPr>
        <w:t xml:space="preserve">the </w:t>
      </w:r>
      <w:r w:rsidR="00B03878">
        <w:rPr>
          <w:rFonts w:ascii="Arial" w:hAnsi="Arial" w:cs="Arial"/>
        </w:rPr>
        <w:t xml:space="preserve">CpG methylation ratio was on </w:t>
      </w:r>
      <w:r w:rsidR="000B1CA8">
        <w:rPr>
          <w:rFonts w:ascii="Arial" w:hAnsi="Arial" w:cs="Arial"/>
        </w:rPr>
        <w:t xml:space="preserve">the </w:t>
      </w:r>
      <w:r w:rsidR="00B03878">
        <w:rPr>
          <w:rFonts w:ascii="Arial" w:hAnsi="Arial" w:cs="Arial"/>
        </w:rPr>
        <w:t>side(</w:t>
      </w:r>
      <w:r w:rsidR="00B03878" w:rsidRPr="00B03878">
        <w:rPr>
          <w:rFonts w:ascii="Arial" w:hAnsi="Arial" w:cs="Arial"/>
          <w:i/>
          <w:iCs/>
        </w:rPr>
        <w:t>Pearson correlation, p&lt;2.6*10</w:t>
      </w:r>
      <w:r w:rsidR="00B03878" w:rsidRPr="00B03878">
        <w:rPr>
          <w:rFonts w:ascii="Arial" w:hAnsi="Arial" w:cs="Arial"/>
          <w:i/>
          <w:iCs/>
          <w:vertAlign w:val="superscript"/>
        </w:rPr>
        <w:t>-16</w:t>
      </w:r>
      <w:r w:rsidR="00B03878">
        <w:rPr>
          <w:rFonts w:ascii="Arial" w:hAnsi="Arial" w:cs="Arial"/>
        </w:rPr>
        <w:t>)</w:t>
      </w:r>
      <w:r w:rsidR="0098426A" w:rsidRPr="0098426A">
        <w:rPr>
          <w:rFonts w:ascii="Arial" w:hAnsi="Arial" w:cs="Arial"/>
        </w:rPr>
        <w:t>.</w:t>
      </w:r>
      <w:r w:rsidR="0098426A">
        <w:rPr>
          <w:rFonts w:ascii="Arial" w:hAnsi="Arial" w:cs="Arial"/>
        </w:rPr>
        <w:t xml:space="preserve"> (b)</w:t>
      </w:r>
      <w:r w:rsidR="0098426A" w:rsidRPr="0098426A">
        <w:t xml:space="preserve"> </w:t>
      </w:r>
      <w:r w:rsidR="0098426A" w:rsidRPr="0098426A">
        <w:rPr>
          <w:rFonts w:ascii="Arial" w:hAnsi="Arial" w:cs="Arial"/>
        </w:rPr>
        <w:t>Confusion matrix of GpC methylation calling. Subsets of 100,000 sites in unmethylated pore</w:t>
      </w:r>
      <w:r w:rsidR="000B1CA8">
        <w:rPr>
          <w:rFonts w:ascii="Arial" w:hAnsi="Arial" w:cs="Arial"/>
        </w:rPr>
        <w:t>-</w:t>
      </w:r>
      <w:r w:rsidR="0098426A" w:rsidRPr="0098426A">
        <w:rPr>
          <w:rFonts w:ascii="Arial" w:hAnsi="Arial" w:cs="Arial"/>
        </w:rPr>
        <w:t xml:space="preserve">C hek293T samples and methylated lambda DNA samples were methylation called by default threshold of nanopolish cpggpc model. The results are classified into </w:t>
      </w:r>
      <w:r w:rsidR="000B1CA8">
        <w:rPr>
          <w:rFonts w:ascii="Arial" w:hAnsi="Arial" w:cs="Arial"/>
        </w:rPr>
        <w:t>four</w:t>
      </w:r>
      <w:r w:rsidR="0098426A" w:rsidRPr="0098426A">
        <w:rPr>
          <w:rFonts w:ascii="Arial" w:hAnsi="Arial" w:cs="Arial"/>
        </w:rPr>
        <w:t xml:space="preserve"> categories</w:t>
      </w:r>
      <w:r w:rsidR="000B1CA8">
        <w:rPr>
          <w:rFonts w:ascii="Arial" w:hAnsi="Arial" w:cs="Arial"/>
        </w:rPr>
        <w:t>; specifically</w:t>
      </w:r>
      <w:r w:rsidR="0098426A" w:rsidRPr="0098426A">
        <w:rPr>
          <w:rFonts w:ascii="Arial" w:hAnsi="Arial" w:cs="Arial"/>
        </w:rPr>
        <w:t>, false positive and true negative from unmethylated pore</w:t>
      </w:r>
      <w:r w:rsidR="000B1CA8">
        <w:rPr>
          <w:rFonts w:ascii="Arial" w:hAnsi="Arial" w:cs="Arial"/>
        </w:rPr>
        <w:t>-</w:t>
      </w:r>
      <w:r w:rsidR="0098426A" w:rsidRPr="0098426A">
        <w:rPr>
          <w:rFonts w:ascii="Arial" w:hAnsi="Arial" w:cs="Arial"/>
        </w:rPr>
        <w:t xml:space="preserve">C run and true positive and false negative from GpC </w:t>
      </w:r>
      <w:r w:rsidR="000B1CA8">
        <w:rPr>
          <w:rFonts w:ascii="Arial" w:hAnsi="Arial" w:cs="Arial"/>
        </w:rPr>
        <w:t>labeled</w:t>
      </w:r>
      <w:r w:rsidR="0098426A" w:rsidRPr="0098426A">
        <w:rPr>
          <w:rFonts w:ascii="Arial" w:hAnsi="Arial" w:cs="Arial"/>
        </w:rPr>
        <w:t xml:space="preserve"> lambda DNA sample.</w:t>
      </w:r>
    </w:p>
    <w:p w14:paraId="1517C9E9" w14:textId="4CA9BA7F" w:rsidR="00CB5457" w:rsidRDefault="00CB5457" w:rsidP="00AA5D67">
      <w:pPr>
        <w:tabs>
          <w:tab w:val="left" w:pos="1025"/>
        </w:tabs>
        <w:spacing w:line="480" w:lineRule="auto"/>
        <w:rPr>
          <w:rFonts w:ascii="Arial" w:hAnsi="Arial" w:cs="Arial"/>
        </w:rPr>
      </w:pPr>
    </w:p>
    <w:p w14:paraId="26648596" w14:textId="77777777" w:rsidR="00CB5457" w:rsidRDefault="00CB5457" w:rsidP="00AA5D67">
      <w:pPr>
        <w:tabs>
          <w:tab w:val="left" w:pos="1025"/>
        </w:tabs>
        <w:spacing w:line="480" w:lineRule="auto"/>
        <w:rPr>
          <w:rFonts w:ascii="Arial" w:hAnsi="Arial" w:cs="Arial"/>
        </w:rPr>
      </w:pPr>
    </w:p>
    <w:p w14:paraId="5DE9B5F5" w14:textId="398CA810" w:rsidR="0052629C" w:rsidRDefault="00391C06" w:rsidP="00AA5D67">
      <w:pPr>
        <w:tabs>
          <w:tab w:val="left" w:pos="1025"/>
        </w:tabs>
        <w:spacing w:line="480" w:lineRule="auto"/>
        <w:rPr>
          <w:rFonts w:ascii="Arial" w:hAnsi="Arial" w:cs="Arial"/>
        </w:rPr>
      </w:pPr>
      <w:r>
        <w:rPr>
          <w:rFonts w:ascii="Arial" w:hAnsi="Arial" w:cs="Arial"/>
          <w:noProof/>
        </w:rPr>
        <w:drawing>
          <wp:inline distT="0" distB="0" distL="0" distR="0" wp14:anchorId="64184DB8" wp14:editId="306B7A4A">
            <wp:extent cx="6858000" cy="2684780"/>
            <wp:effectExtent l="0" t="0" r="0" b="0"/>
            <wp:docPr id="8" name="Picture 8" descr="Graphical user interface, application, Word,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 Word, Excel&#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2684780"/>
                    </a:xfrm>
                    <a:prstGeom prst="rect">
                      <a:avLst/>
                    </a:prstGeom>
                  </pic:spPr>
                </pic:pic>
              </a:graphicData>
            </a:graphic>
          </wp:inline>
        </w:drawing>
      </w:r>
    </w:p>
    <w:p w14:paraId="6173EA44" w14:textId="7A339E7A" w:rsidR="000E5583" w:rsidRDefault="0052629C" w:rsidP="000E5583">
      <w:pPr>
        <w:tabs>
          <w:tab w:val="left" w:pos="1025"/>
        </w:tabs>
        <w:spacing w:line="480" w:lineRule="auto"/>
        <w:rPr>
          <w:rFonts w:ascii="Arial" w:hAnsi="Arial" w:cs="Arial"/>
        </w:rPr>
      </w:pPr>
      <w:r>
        <w:rPr>
          <w:rFonts w:ascii="Arial" w:hAnsi="Arial" w:cs="Arial" w:hint="eastAsia"/>
        </w:rPr>
        <w:t>Sfig</w:t>
      </w:r>
      <w:r>
        <w:rPr>
          <w:rFonts w:ascii="Arial" w:hAnsi="Arial" w:cs="Arial"/>
        </w:rPr>
        <w:t>3.</w:t>
      </w:r>
      <w:r w:rsidR="003B1196">
        <w:rPr>
          <w:rFonts w:ascii="Arial" w:hAnsi="Arial" w:cs="Arial"/>
        </w:rPr>
        <w:t xml:space="preserve"> The chromatin accessibility in various </w:t>
      </w:r>
      <w:r w:rsidR="005E5636">
        <w:rPr>
          <w:rFonts w:ascii="Arial" w:hAnsi="Arial" w:cs="Arial"/>
        </w:rPr>
        <w:t>resolutions</w:t>
      </w:r>
      <w:r w:rsidR="003B1196">
        <w:rPr>
          <w:rFonts w:ascii="Arial" w:hAnsi="Arial" w:cs="Arial"/>
        </w:rPr>
        <w:t>.</w:t>
      </w:r>
      <w:r w:rsidR="000E5583">
        <w:rPr>
          <w:rFonts w:ascii="Arial" w:hAnsi="Arial" w:cs="Arial"/>
        </w:rPr>
        <w:t xml:space="preserve"> The panel</w:t>
      </w:r>
      <w:r w:rsidR="00AE09FE">
        <w:rPr>
          <w:rFonts w:ascii="Arial" w:hAnsi="Arial" w:cs="Arial"/>
        </w:rPr>
        <w:t>s</w:t>
      </w:r>
      <w:r w:rsidR="000E5583">
        <w:rPr>
          <w:rFonts w:ascii="Arial" w:hAnsi="Arial" w:cs="Arial"/>
        </w:rPr>
        <w:t xml:space="preserve"> showed the raw data of DNase-seq, ATAC-seq, </w:t>
      </w:r>
      <w:r w:rsidR="005E5636">
        <w:rPr>
          <w:rFonts w:ascii="Arial" w:hAnsi="Arial" w:cs="Arial"/>
        </w:rPr>
        <w:t xml:space="preserve">and </w:t>
      </w:r>
      <w:r w:rsidR="000E5583">
        <w:rPr>
          <w:rFonts w:ascii="Arial" w:hAnsi="Arial" w:cs="Arial"/>
        </w:rPr>
        <w:t xml:space="preserve">SCA-seq in </w:t>
      </w:r>
      <w:r w:rsidR="005E5636">
        <w:rPr>
          <w:rFonts w:ascii="Arial" w:hAnsi="Arial" w:cs="Arial"/>
        </w:rPr>
        <w:t xml:space="preserve">the </w:t>
      </w:r>
      <w:r w:rsidR="000E5583">
        <w:rPr>
          <w:rFonts w:ascii="Arial" w:hAnsi="Arial" w:cs="Arial"/>
        </w:rPr>
        <w:t xml:space="preserve">genome browser. DNase-seq and ATAC-seq showed the read counts in each genomic locus, and the SCA-seq showed the methylation site counts in each genomic locus. </w:t>
      </w:r>
    </w:p>
    <w:p w14:paraId="317A6F73" w14:textId="0DE0C1A6" w:rsidR="00652626" w:rsidRDefault="00190391"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0841B3FC" wp14:editId="01615404">
            <wp:extent cx="6851650" cy="8921750"/>
            <wp:effectExtent l="0" t="0" r="635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1650" cy="8921750"/>
                    </a:xfrm>
                    <a:prstGeom prst="rect">
                      <a:avLst/>
                    </a:prstGeom>
                    <a:noFill/>
                    <a:ln>
                      <a:noFill/>
                    </a:ln>
                  </pic:spPr>
                </pic:pic>
              </a:graphicData>
            </a:graphic>
          </wp:inline>
        </w:drawing>
      </w:r>
    </w:p>
    <w:p w14:paraId="2711A818" w14:textId="30010ADA" w:rsidR="00C84728" w:rsidRDefault="00C84728" w:rsidP="00AA5D67">
      <w:pPr>
        <w:tabs>
          <w:tab w:val="left" w:pos="1025"/>
        </w:tabs>
        <w:spacing w:line="480" w:lineRule="auto"/>
        <w:rPr>
          <w:rFonts w:ascii="Arial" w:hAnsi="Arial" w:cs="Arial"/>
        </w:rPr>
      </w:pPr>
      <w:r>
        <w:rPr>
          <w:rFonts w:ascii="Arial" w:hAnsi="Arial" w:cs="Arial"/>
        </w:rPr>
        <w:lastRenderedPageBreak/>
        <w:t xml:space="preserve">Sfig4. The </w:t>
      </w:r>
      <w:r w:rsidR="00E8483E">
        <w:rPr>
          <w:rFonts w:ascii="Arial" w:hAnsi="Arial" w:cs="Arial"/>
        </w:rPr>
        <w:t>labeling efficiency and signal strength in treatment dose</w:t>
      </w:r>
      <w:r w:rsidR="00E9737F">
        <w:rPr>
          <w:rFonts w:ascii="Arial" w:hAnsi="Arial" w:cs="Arial"/>
        </w:rPr>
        <w:t xml:space="preserve"> and sequencing depth</w:t>
      </w:r>
      <w:r>
        <w:rPr>
          <w:rFonts w:ascii="Arial" w:hAnsi="Arial" w:cs="Arial"/>
        </w:rPr>
        <w:t>.</w:t>
      </w:r>
      <w:r w:rsidR="001E39C1">
        <w:rPr>
          <w:rFonts w:ascii="Arial" w:hAnsi="Arial" w:cs="Arial"/>
        </w:rPr>
        <w:t xml:space="preserve"> </w:t>
      </w:r>
      <w:r w:rsidR="00165A81">
        <w:rPr>
          <w:rFonts w:ascii="Arial" w:hAnsi="Arial" w:cs="Arial"/>
        </w:rPr>
        <w:t>(a)</w:t>
      </w:r>
      <w:r w:rsidR="00165A81" w:rsidRPr="00165A81">
        <w:rPr>
          <w:rFonts w:ascii="Arial" w:hAnsi="Arial" w:cs="Arial"/>
        </w:rPr>
        <w:t xml:space="preserve"> </w:t>
      </w:r>
      <w:r w:rsidR="00E97A83">
        <w:rPr>
          <w:rFonts w:ascii="Arial" w:hAnsi="Arial" w:cs="Arial"/>
        </w:rPr>
        <w:t>TSS-centered</w:t>
      </w:r>
      <w:r w:rsidR="00165A81" w:rsidRPr="002E1E4E">
        <w:rPr>
          <w:rFonts w:ascii="Arial" w:hAnsi="Arial" w:cs="Arial"/>
        </w:rPr>
        <w:t xml:space="preserve"> plot. </w:t>
      </w:r>
      <w:r w:rsidR="00165A81">
        <w:rPr>
          <w:rFonts w:ascii="Arial" w:hAnsi="Arial" w:cs="Arial"/>
        </w:rPr>
        <w:t xml:space="preserve">We plotted the enrichment score (Y-axis) of different methods around TSSs (0 on </w:t>
      </w:r>
      <w:r w:rsidR="00E97A83">
        <w:rPr>
          <w:rFonts w:ascii="Arial" w:hAnsi="Arial" w:cs="Arial"/>
        </w:rPr>
        <w:t xml:space="preserve">the </w:t>
      </w:r>
      <w:r w:rsidR="00165A81">
        <w:rPr>
          <w:rFonts w:ascii="Arial" w:hAnsi="Arial" w:cs="Arial"/>
        </w:rPr>
        <w:t xml:space="preserve">X-axis), which have </w:t>
      </w:r>
      <w:r w:rsidR="00E97A83">
        <w:rPr>
          <w:rFonts w:ascii="Arial" w:hAnsi="Arial" w:cs="Arial"/>
        </w:rPr>
        <w:t>a</w:t>
      </w:r>
      <w:r w:rsidR="00165A81">
        <w:rPr>
          <w:rFonts w:ascii="Arial" w:hAnsi="Arial" w:cs="Arial"/>
        </w:rPr>
        <w:t xml:space="preserve"> significant nucleosome </w:t>
      </w:r>
      <w:r w:rsidR="00165A81" w:rsidRPr="009A02AE">
        <w:rPr>
          <w:rFonts w:ascii="Arial" w:hAnsi="Arial" w:cs="Arial"/>
        </w:rPr>
        <w:t>depletion pattern. The enrichment score= log2(signal in each bin/lowest signal</w:t>
      </w:r>
      <w:r w:rsidR="00165A81">
        <w:rPr>
          <w:rFonts w:ascii="Arial" w:hAnsi="Arial" w:cs="Arial"/>
        </w:rPr>
        <w:t xml:space="preserve"> in scale</w:t>
      </w:r>
      <w:r w:rsidR="00165A81" w:rsidRPr="009A02AE">
        <w:rPr>
          <w:rFonts w:ascii="Arial" w:hAnsi="Arial" w:cs="Arial"/>
        </w:rPr>
        <w:t>).</w:t>
      </w:r>
      <w:r w:rsidR="00165A81" w:rsidRPr="002E1E4E">
        <w:rPr>
          <w:rFonts w:ascii="Arial" w:hAnsi="Arial" w:cs="Arial"/>
        </w:rPr>
        <w:t xml:space="preserve"> (</w:t>
      </w:r>
      <w:r w:rsidR="005E5636">
        <w:rPr>
          <w:rFonts w:ascii="Arial" w:hAnsi="Arial" w:cs="Arial"/>
        </w:rPr>
        <w:t xml:space="preserve">b) </w:t>
      </w:r>
      <w:r w:rsidR="001E39C1">
        <w:rPr>
          <w:rFonts w:ascii="Arial" w:hAnsi="Arial" w:cs="Arial"/>
        </w:rPr>
        <w:t>We tested three different labeling times</w:t>
      </w:r>
      <w:r w:rsidR="00235A42">
        <w:rPr>
          <w:rFonts w:ascii="Arial" w:hAnsi="Arial" w:cs="Arial"/>
        </w:rPr>
        <w:t xml:space="preserve"> </w:t>
      </w:r>
      <w:r w:rsidR="001E39C1">
        <w:rPr>
          <w:rFonts w:ascii="Arial" w:hAnsi="Arial" w:cs="Arial"/>
        </w:rPr>
        <w:t>(15</w:t>
      </w:r>
      <w:r w:rsidR="00576820">
        <w:rPr>
          <w:rFonts w:ascii="Arial" w:hAnsi="Arial" w:cs="Arial"/>
        </w:rPr>
        <w:t xml:space="preserve"> </w:t>
      </w:r>
      <w:r w:rsidR="001E39C1">
        <w:rPr>
          <w:rFonts w:ascii="Arial" w:hAnsi="Arial" w:cs="Arial"/>
        </w:rPr>
        <w:t>min 2</w:t>
      </w:r>
      <w:r w:rsidR="00576820">
        <w:rPr>
          <w:rFonts w:ascii="Arial" w:hAnsi="Arial" w:cs="Arial"/>
        </w:rPr>
        <w:t xml:space="preserve"> </w:t>
      </w:r>
      <w:r w:rsidR="001E39C1">
        <w:rPr>
          <w:rFonts w:ascii="Arial" w:hAnsi="Arial" w:cs="Arial"/>
        </w:rPr>
        <w:t>time</w:t>
      </w:r>
      <w:r w:rsidR="00576820">
        <w:rPr>
          <w:rFonts w:ascii="Arial" w:hAnsi="Arial" w:cs="Arial"/>
        </w:rPr>
        <w:t>s</w:t>
      </w:r>
      <w:r w:rsidR="001E39C1">
        <w:rPr>
          <w:rFonts w:ascii="Arial" w:hAnsi="Arial" w:cs="Arial"/>
        </w:rPr>
        <w:t xml:space="preserve"> added enzyme</w:t>
      </w:r>
      <w:r w:rsidR="00576820">
        <w:rPr>
          <w:rFonts w:ascii="Arial" w:hAnsi="Arial" w:cs="Arial"/>
        </w:rPr>
        <w:t>, 30 min 2 times added enzyme, 3 hours 3 times added enzyme</w:t>
      </w:r>
      <w:r w:rsidR="001E39C1">
        <w:rPr>
          <w:rFonts w:ascii="Arial" w:hAnsi="Arial" w:cs="Arial"/>
        </w:rPr>
        <w:t>)</w:t>
      </w:r>
      <w:r w:rsidR="00576820">
        <w:rPr>
          <w:rFonts w:ascii="Arial" w:hAnsi="Arial" w:cs="Arial"/>
        </w:rPr>
        <w:t xml:space="preserve">. As our observation, </w:t>
      </w:r>
      <w:r w:rsidR="00E97A83">
        <w:rPr>
          <w:rFonts w:ascii="Arial" w:hAnsi="Arial" w:cs="Arial"/>
        </w:rPr>
        <w:t xml:space="preserve">the </w:t>
      </w:r>
      <w:r w:rsidR="00576820">
        <w:rPr>
          <w:rFonts w:ascii="Arial" w:hAnsi="Arial" w:cs="Arial"/>
        </w:rPr>
        <w:t>3h treatment showed the highest GpC labeling efficiency</w:t>
      </w:r>
      <w:r w:rsidR="00E97A83">
        <w:rPr>
          <w:rFonts w:ascii="Arial" w:hAnsi="Arial" w:cs="Arial"/>
        </w:rPr>
        <w:t>,</w:t>
      </w:r>
      <w:r w:rsidR="00576820">
        <w:rPr>
          <w:rFonts w:ascii="Arial" w:hAnsi="Arial" w:cs="Arial"/>
        </w:rPr>
        <w:t xml:space="preserve"> and the labeled GpC signal accurately showed the CTCF motif nucleosome pattern (</w:t>
      </w:r>
      <w:r w:rsidR="00E97A83">
        <w:rPr>
          <w:rFonts w:ascii="Arial" w:hAnsi="Arial" w:cs="Arial"/>
        </w:rPr>
        <w:t>c</w:t>
      </w:r>
      <w:r w:rsidR="00576820">
        <w:rPr>
          <w:rFonts w:ascii="Arial" w:hAnsi="Arial" w:cs="Arial"/>
        </w:rPr>
        <w:t xml:space="preserve">). The 3 hours </w:t>
      </w:r>
      <w:r w:rsidR="00E97A83">
        <w:rPr>
          <w:rFonts w:ascii="Arial" w:hAnsi="Arial" w:cs="Arial"/>
        </w:rPr>
        <w:t xml:space="preserve">of </w:t>
      </w:r>
      <w:r w:rsidR="00576820">
        <w:rPr>
          <w:rFonts w:ascii="Arial" w:hAnsi="Arial" w:cs="Arial"/>
        </w:rPr>
        <w:t>treatments were also similar to the nanoNOME-seq tissue sample preparation</w:t>
      </w:r>
      <w:r w:rsidR="00A353A2">
        <w:rPr>
          <w:rFonts w:ascii="Arial" w:hAnsi="Arial" w:cs="Arial"/>
        </w:rPr>
        <w:t xml:space="preserve"> </w:t>
      </w:r>
      <w:r w:rsidR="00805AC8">
        <w:rPr>
          <w:rFonts w:ascii="Arial" w:hAnsi="Arial" w:cs="Arial"/>
        </w:rPr>
        <w:fldChar w:fldCharType="begin"/>
      </w:r>
      <w:r w:rsidR="0055366C">
        <w:rPr>
          <w:rFonts w:ascii="Arial" w:hAnsi="Arial" w:cs="Arial"/>
        </w:rPr>
        <w:instrText xml:space="preserve"> ADDIN EN.CITE &lt;EndNote&gt;&lt;Cite&gt;&lt;Author&gt;Lee&lt;/Author&gt;&lt;Year&gt;2020&lt;/Year&gt;&lt;RecNum&gt;312&lt;/RecNum&gt;&lt;DisplayText&gt;&lt;style face="superscript"&gt;1&lt;/style&gt;&lt;/DisplayText&gt;&lt;record&gt;&lt;rec-number&gt;312&lt;/rec-number&gt;&lt;foreign-keys&gt;&lt;key app="EN" db-id="9p0w29sssdpftoeaarwpwpp6zf5p0parvppa" timestamp="1614915943"&gt;312&lt;/key&gt;&lt;/foreign-keys&gt;&lt;ref-type name="Journal Article"&gt;17&lt;/ref-type&gt;&lt;contributors&gt;&lt;authors&gt;&lt;author&gt;Lee, Isac&lt;/author&gt;&lt;author&gt;Razaghi, Roham&lt;/author&gt;&lt;author&gt;Gilpatrick, Timothy&lt;/author&gt;&lt;author&gt;Molnar, Michael&lt;/author&gt;&lt;author&gt;Gershman, Ariel&lt;/author&gt;&lt;author&gt;Sadowski, Norah&lt;/author&gt;&lt;author&gt;Sedlazeck, Fritz J.&lt;/author&gt;&lt;author&gt;Hansen, Kasper D.&lt;/author&gt;&lt;author&gt;Simpson, Jared T.&lt;/author&gt;&lt;author&gt;Timp, Winston&lt;/author&gt;&lt;/authors&gt;&lt;/contributors&gt;&lt;titles&gt;&lt;title&gt;Simultaneous profiling of chromatin accessibility and methylation on human cell lines with nanopore sequencing&lt;/title&gt;&lt;secondary-title&gt;Nature Methods&lt;/secondary-title&gt;&lt;/titles&gt;&lt;periodical&gt;&lt;full-title&gt;Nature Methods&lt;/full-title&gt;&lt;/periodical&gt;&lt;pages&gt;1191-1199&lt;/pages&gt;&lt;volume&gt;17&lt;/volume&gt;&lt;number&gt;12&lt;/number&gt;&lt;dates&gt;&lt;year&gt;2020&lt;/year&gt;&lt;pub-dates&gt;&lt;date&gt;2020/12/01&lt;/date&gt;&lt;/pub-dates&gt;&lt;/dates&gt;&lt;isbn&gt;1548-7105&lt;/isbn&gt;&lt;urls&gt;&lt;related-urls&gt;&lt;url&gt;https://doi.org/10.1038/s41592-020-01000-7&lt;/url&gt;&lt;/related-urls&gt;&lt;/urls&gt;&lt;electronic-resource-num&gt;10.1038/s41592-020-01000-7&lt;/electronic-resource-num&gt;&lt;/record&gt;&lt;/Cite&gt;&lt;/EndNote&gt;</w:instrText>
      </w:r>
      <w:r w:rsidR="00805AC8">
        <w:rPr>
          <w:rFonts w:ascii="Arial" w:hAnsi="Arial" w:cs="Arial"/>
        </w:rPr>
        <w:fldChar w:fldCharType="separate"/>
      </w:r>
      <w:r w:rsidR="0055366C" w:rsidRPr="0055366C">
        <w:rPr>
          <w:rFonts w:ascii="Arial" w:hAnsi="Arial" w:cs="Arial"/>
          <w:noProof/>
          <w:vertAlign w:val="superscript"/>
        </w:rPr>
        <w:t>1</w:t>
      </w:r>
      <w:r w:rsidR="00805AC8">
        <w:rPr>
          <w:rFonts w:ascii="Arial" w:hAnsi="Arial" w:cs="Arial"/>
        </w:rPr>
        <w:fldChar w:fldCharType="end"/>
      </w:r>
      <w:r w:rsidR="00576820">
        <w:rPr>
          <w:rFonts w:ascii="Arial" w:hAnsi="Arial" w:cs="Arial"/>
        </w:rPr>
        <w:t>.</w:t>
      </w:r>
      <w:r w:rsidR="00E9737F">
        <w:rPr>
          <w:rFonts w:ascii="Arial" w:hAnsi="Arial" w:cs="Arial"/>
        </w:rPr>
        <w:t xml:space="preserve"> (</w:t>
      </w:r>
      <w:r w:rsidR="00E97A83">
        <w:rPr>
          <w:rFonts w:ascii="Arial" w:hAnsi="Arial" w:cs="Arial"/>
        </w:rPr>
        <w:t>d-e</w:t>
      </w:r>
      <w:r w:rsidR="00E9737F">
        <w:rPr>
          <w:rFonts w:ascii="Arial" w:hAnsi="Arial" w:cs="Arial"/>
        </w:rPr>
        <w:t>) The ATAC-seq peaks were</w:t>
      </w:r>
      <w:r w:rsidR="006605FD">
        <w:rPr>
          <w:rFonts w:ascii="Arial" w:hAnsi="Arial" w:cs="Arial"/>
        </w:rPr>
        <w:t xml:space="preserve"> identified first</w:t>
      </w:r>
      <w:r w:rsidR="00E97A83">
        <w:rPr>
          <w:rFonts w:ascii="Arial" w:hAnsi="Arial" w:cs="Arial"/>
        </w:rPr>
        <w:t>,</w:t>
      </w:r>
      <w:r w:rsidR="006605FD">
        <w:rPr>
          <w:rFonts w:ascii="Arial" w:hAnsi="Arial" w:cs="Arial"/>
        </w:rPr>
        <w:t xml:space="preserve"> and the methylation ratios of SCA-seq were plotted around the identified peaks (center to 0) with different sequencing </w:t>
      </w:r>
      <w:r w:rsidR="00E97A83">
        <w:rPr>
          <w:rFonts w:ascii="Arial" w:hAnsi="Arial" w:cs="Arial"/>
        </w:rPr>
        <w:t>depths</w:t>
      </w:r>
      <w:r w:rsidR="006605FD">
        <w:rPr>
          <w:rFonts w:ascii="Arial" w:hAnsi="Arial" w:cs="Arial"/>
        </w:rPr>
        <w:t xml:space="preserve">. The line panels showed </w:t>
      </w:r>
      <w:r w:rsidR="00E97A83">
        <w:rPr>
          <w:rFonts w:ascii="Arial" w:hAnsi="Arial" w:cs="Arial"/>
        </w:rPr>
        <w:t>a</w:t>
      </w:r>
      <w:r w:rsidR="006605FD">
        <w:rPr>
          <w:rFonts w:ascii="Arial" w:hAnsi="Arial" w:cs="Arial"/>
        </w:rPr>
        <w:t xml:space="preserve"> single molecular resolution.</w:t>
      </w:r>
    </w:p>
    <w:p w14:paraId="734EC954" w14:textId="1C96916F" w:rsidR="001E39C1" w:rsidRDefault="000D4DB6"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31A2CBD5" wp14:editId="240CDD68">
            <wp:extent cx="6858000" cy="7353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58000" cy="7353300"/>
                    </a:xfrm>
                    <a:prstGeom prst="rect">
                      <a:avLst/>
                    </a:prstGeom>
                    <a:noFill/>
                    <a:ln>
                      <a:noFill/>
                    </a:ln>
                  </pic:spPr>
                </pic:pic>
              </a:graphicData>
            </a:graphic>
          </wp:inline>
        </w:drawing>
      </w:r>
    </w:p>
    <w:p w14:paraId="1F0A5349" w14:textId="74437323" w:rsidR="000B6D16" w:rsidRDefault="00D56557" w:rsidP="00AA5D67">
      <w:pPr>
        <w:tabs>
          <w:tab w:val="left" w:pos="1025"/>
        </w:tabs>
        <w:spacing w:line="480" w:lineRule="auto"/>
        <w:rPr>
          <w:rFonts w:ascii="Arial" w:hAnsi="Arial" w:cs="Arial"/>
        </w:rPr>
      </w:pPr>
      <w:r>
        <w:rPr>
          <w:rFonts w:ascii="Arial" w:hAnsi="Arial" w:cs="Arial"/>
        </w:rPr>
        <w:t>Sfig5</w:t>
      </w:r>
      <w:r w:rsidR="00C86ECB">
        <w:rPr>
          <w:rFonts w:ascii="Arial" w:hAnsi="Arial" w:cs="Arial"/>
        </w:rPr>
        <w:t xml:space="preserve">. The quality </w:t>
      </w:r>
      <w:r w:rsidR="00273659">
        <w:rPr>
          <w:rFonts w:ascii="Arial" w:hAnsi="Arial" w:cs="Arial"/>
        </w:rPr>
        <w:t>statics</w:t>
      </w:r>
      <w:r w:rsidR="00C86ECB">
        <w:rPr>
          <w:rFonts w:ascii="Arial" w:hAnsi="Arial" w:cs="Arial"/>
        </w:rPr>
        <w:t xml:space="preserve"> of SCA-seq for resolving the genome structure.</w:t>
      </w:r>
      <w:r w:rsidR="001D2B4F">
        <w:rPr>
          <w:rFonts w:ascii="Arial" w:hAnsi="Arial" w:cs="Arial"/>
        </w:rPr>
        <w:t xml:space="preserve"> (a)</w:t>
      </w:r>
      <w:r w:rsidR="00C86ECB">
        <w:rPr>
          <w:rFonts w:ascii="Arial" w:hAnsi="Arial" w:cs="Arial"/>
        </w:rPr>
        <w:t xml:space="preserve"> The medium length of </w:t>
      </w:r>
      <w:r w:rsidR="0093769E">
        <w:rPr>
          <w:rFonts w:ascii="Arial" w:hAnsi="Arial" w:cs="Arial"/>
        </w:rPr>
        <w:t>se</w:t>
      </w:r>
      <w:r w:rsidR="00C86ECB">
        <w:rPr>
          <w:rFonts w:ascii="Arial" w:hAnsi="Arial" w:cs="Arial"/>
        </w:rPr>
        <w:t xml:space="preserve">gments in concatemers </w:t>
      </w:r>
      <w:r w:rsidR="00D17E12">
        <w:rPr>
          <w:rFonts w:ascii="Arial" w:hAnsi="Arial" w:cs="Arial"/>
        </w:rPr>
        <w:t>was</w:t>
      </w:r>
      <w:r w:rsidR="00C86ECB">
        <w:rPr>
          <w:rFonts w:ascii="Arial" w:hAnsi="Arial" w:cs="Arial"/>
        </w:rPr>
        <w:t xml:space="preserve"> around 700bp. </w:t>
      </w:r>
      <w:r w:rsidR="001D2B4F">
        <w:rPr>
          <w:rFonts w:ascii="Arial" w:hAnsi="Arial" w:cs="Arial"/>
        </w:rPr>
        <w:t xml:space="preserve">(b) </w:t>
      </w:r>
      <w:r w:rsidR="000B6D16">
        <w:rPr>
          <w:rFonts w:ascii="Arial" w:hAnsi="Arial" w:cs="Arial"/>
        </w:rPr>
        <w:t>We further calculated the</w:t>
      </w:r>
      <w:r w:rsidR="00D210A8">
        <w:rPr>
          <w:rFonts w:ascii="Arial" w:hAnsi="Arial" w:cs="Arial"/>
        </w:rPr>
        <w:t xml:space="preserve"> false positive contacts caused by the ligations (contamination). We used the contacts between </w:t>
      </w:r>
      <w:r w:rsidR="00D17E12">
        <w:rPr>
          <w:rFonts w:ascii="Arial" w:hAnsi="Arial" w:cs="Arial"/>
        </w:rPr>
        <w:t xml:space="preserve">the </w:t>
      </w:r>
      <w:r w:rsidR="00D210A8">
        <w:rPr>
          <w:rFonts w:ascii="Arial" w:hAnsi="Arial" w:cs="Arial"/>
        </w:rPr>
        <w:t xml:space="preserve">mitochondrial genome and nucleic genome/total contacts to calculate the contaminations. There </w:t>
      </w:r>
      <w:r w:rsidR="00D17E12">
        <w:rPr>
          <w:rFonts w:ascii="Arial" w:hAnsi="Arial" w:cs="Arial"/>
        </w:rPr>
        <w:t>was</w:t>
      </w:r>
      <w:r w:rsidR="00D210A8">
        <w:rPr>
          <w:rFonts w:ascii="Arial" w:hAnsi="Arial" w:cs="Arial"/>
        </w:rPr>
        <w:t xml:space="preserve"> 9% contamination in SCA-seq, </w:t>
      </w:r>
      <w:r w:rsidR="00D17E12">
        <w:rPr>
          <w:rFonts w:ascii="Arial" w:hAnsi="Arial" w:cs="Arial"/>
        </w:rPr>
        <w:t>compared</w:t>
      </w:r>
      <w:r w:rsidR="00D210A8">
        <w:rPr>
          <w:rFonts w:ascii="Arial" w:hAnsi="Arial" w:cs="Arial"/>
        </w:rPr>
        <w:t xml:space="preserve"> with the Hi-C 12% contamination. </w:t>
      </w:r>
      <w:r w:rsidR="00C571A9">
        <w:rPr>
          <w:rFonts w:ascii="Arial" w:hAnsi="Arial" w:cs="Arial"/>
        </w:rPr>
        <w:t xml:space="preserve">(c) </w:t>
      </w:r>
      <w:r w:rsidR="00D210A8">
        <w:rPr>
          <w:rFonts w:ascii="Arial" w:hAnsi="Arial" w:cs="Arial"/>
        </w:rPr>
        <w:t xml:space="preserve">We then </w:t>
      </w:r>
      <w:r w:rsidR="00D17E12">
        <w:rPr>
          <w:rFonts w:ascii="Arial" w:hAnsi="Arial" w:cs="Arial"/>
        </w:rPr>
        <w:t>subsampled</w:t>
      </w:r>
      <w:r w:rsidR="00D210A8">
        <w:rPr>
          <w:rFonts w:ascii="Arial" w:hAnsi="Arial" w:cs="Arial"/>
        </w:rPr>
        <w:t xml:space="preserve"> the reads to test the </w:t>
      </w:r>
      <w:r w:rsidR="00D210A8">
        <w:rPr>
          <w:rFonts w:ascii="Arial" w:hAnsi="Arial" w:cs="Arial"/>
        </w:rPr>
        <w:lastRenderedPageBreak/>
        <w:t>sequencing threshold to calculate the eigenvector (AB compartment) and insulation score (TAD).  We need over</w:t>
      </w:r>
      <w:r w:rsidR="003B6686">
        <w:rPr>
          <w:rFonts w:ascii="Arial" w:hAnsi="Arial" w:cs="Arial"/>
        </w:rPr>
        <w:t xml:space="preserve"> 5 </w:t>
      </w:r>
      <w:r w:rsidR="00D17E12">
        <w:rPr>
          <w:rFonts w:ascii="Arial" w:hAnsi="Arial" w:cs="Arial"/>
        </w:rPr>
        <w:t>million</w:t>
      </w:r>
      <w:r w:rsidR="003B6686">
        <w:rPr>
          <w:rFonts w:ascii="Arial" w:hAnsi="Arial" w:cs="Arial"/>
        </w:rPr>
        <w:t xml:space="preserve"> and 30</w:t>
      </w:r>
      <w:r w:rsidR="00D210A8">
        <w:rPr>
          <w:rFonts w:ascii="Arial" w:hAnsi="Arial" w:cs="Arial"/>
        </w:rPr>
        <w:t xml:space="preserve"> </w:t>
      </w:r>
      <w:r w:rsidR="00D17E12">
        <w:rPr>
          <w:rFonts w:ascii="Arial" w:hAnsi="Arial" w:cs="Arial"/>
        </w:rPr>
        <w:t>million</w:t>
      </w:r>
      <w:r w:rsidR="00D210A8">
        <w:rPr>
          <w:rFonts w:ascii="Arial" w:hAnsi="Arial" w:cs="Arial"/>
        </w:rPr>
        <w:t xml:space="preserve"> reads to accurately produce the Hi-C similar results in </w:t>
      </w:r>
      <w:r w:rsidR="00D17E12">
        <w:rPr>
          <w:rFonts w:ascii="Arial" w:hAnsi="Arial" w:cs="Arial"/>
        </w:rPr>
        <w:t xml:space="preserve">the </w:t>
      </w:r>
      <w:r w:rsidR="00D210A8">
        <w:rPr>
          <w:rFonts w:ascii="Arial" w:hAnsi="Arial" w:cs="Arial"/>
        </w:rPr>
        <w:t xml:space="preserve">AB compartment and TAD. </w:t>
      </w:r>
      <w:r w:rsidR="00D17E12">
        <w:rPr>
          <w:rFonts w:ascii="Arial" w:hAnsi="Arial" w:cs="Arial"/>
        </w:rPr>
        <w:t xml:space="preserve">(d) </w:t>
      </w:r>
      <w:r w:rsidR="00D210A8">
        <w:rPr>
          <w:rFonts w:ascii="Arial" w:hAnsi="Arial" w:cs="Arial"/>
        </w:rPr>
        <w:t>We then tested the correlation</w:t>
      </w:r>
      <w:r w:rsidR="00E65B09">
        <w:rPr>
          <w:rFonts w:ascii="Arial" w:hAnsi="Arial" w:cs="Arial"/>
        </w:rPr>
        <w:t xml:space="preserve"> (0.93~0.94)</w:t>
      </w:r>
      <w:r w:rsidR="00D210A8">
        <w:rPr>
          <w:rFonts w:ascii="Arial" w:hAnsi="Arial" w:cs="Arial"/>
        </w:rPr>
        <w:t xml:space="preserve"> between </w:t>
      </w:r>
      <w:r w:rsidR="00CA030B">
        <w:rPr>
          <w:rFonts w:ascii="Arial" w:hAnsi="Arial" w:cs="Arial"/>
        </w:rPr>
        <w:t xml:space="preserve">SCA-seq </w:t>
      </w:r>
      <w:r w:rsidR="00D210A8">
        <w:rPr>
          <w:rFonts w:ascii="Arial" w:hAnsi="Arial" w:cs="Arial"/>
        </w:rPr>
        <w:t>replicates</w:t>
      </w:r>
      <w:r w:rsidR="00D17E12">
        <w:rPr>
          <w:rFonts w:ascii="Arial" w:hAnsi="Arial" w:cs="Arial"/>
        </w:rPr>
        <w:t>,</w:t>
      </w:r>
      <w:r w:rsidR="00D210A8">
        <w:rPr>
          <w:rFonts w:ascii="Arial" w:hAnsi="Arial" w:cs="Arial"/>
        </w:rPr>
        <w:t xml:space="preserve"> and pore-C</w:t>
      </w:r>
      <w:r w:rsidR="00405D5D">
        <w:rPr>
          <w:rFonts w:ascii="Arial" w:hAnsi="Arial" w:cs="Arial"/>
        </w:rPr>
        <w:t xml:space="preserve"> replicates </w:t>
      </w:r>
      <w:r w:rsidR="00805AC8">
        <w:rPr>
          <w:rFonts w:ascii="Arial" w:hAnsi="Arial" w:cs="Arial"/>
        </w:rPr>
        <w:fldChar w:fldCharType="begin"/>
      </w:r>
      <w:r w:rsidR="0055366C">
        <w:rPr>
          <w:rFonts w:ascii="Arial" w:hAnsi="Arial" w:cs="Arial"/>
        </w:rPr>
        <w:instrText xml:space="preserve"> ADDIN EN.CITE &lt;EndNote&gt;&lt;Cite&gt;&lt;Author&gt;Ulahannan&lt;/Author&gt;&lt;Year&gt;2019&lt;/Year&gt;&lt;RecNum&gt;718&lt;/RecNum&gt;&lt;DisplayText&gt;&lt;style face="superscript"&gt;2&lt;/style&gt;&lt;/DisplayText&gt;&lt;record&gt;&lt;rec-number&gt;718&lt;/rec-number&gt;&lt;foreign-keys&gt;&lt;key app="EN" db-id="zse550w9y5sxvpez2enxd2dk9xpetrrr5zda" timestamp="1648197833" guid="31c7a2f4-3914-4bdf-b24f-81600a46460a"&gt;718&lt;/key&gt;&lt;/foreign-keys&gt;&lt;ref-type name="Journal Article"&gt;17&lt;/ref-type&gt;&lt;contributors&gt;&lt;authors&gt;&lt;author&gt;Ulahannan, Netha&lt;/author&gt;&lt;author&gt;Pendleton, Matthew&lt;/author&gt;&lt;author&gt;Deshpande, Aditya&lt;/author&gt;&lt;author&gt;Schwenk, Stefan&lt;/author&gt;&lt;author&gt;Behr, Julie M.&lt;/author&gt;&lt;author&gt;Dai, Xiaoguang&lt;/author&gt;&lt;author&gt;Tyer, Carly&lt;/author&gt;&lt;author&gt;Rughani, Priyesh&lt;/author&gt;&lt;author&gt;Kudman, Sarah&lt;/author&gt;&lt;author&gt;Adney, Emily&lt;/author&gt;&lt;author&gt;Tian, Huasong&lt;/author&gt;&lt;author&gt;Wilkes, David&lt;/author&gt;&lt;author&gt;Mosquera, Juan Miguel&lt;/author&gt;&lt;author&gt;Stoddart, David&lt;/author&gt;&lt;author&gt;Turner, Daniel J.&lt;/author&gt;&lt;author&gt;Juul, Sissel&lt;/author&gt;&lt;author&gt;Harrington, Eoghan&lt;/author&gt;&lt;author&gt;Imielinski, Marcin&lt;/author&gt;&lt;/authors&gt;&lt;/contributors&gt;&lt;titles&gt;&lt;title&gt;Nanopore sequencing of DNA concatemers reveals higher-order features of chromatin structure&lt;/title&gt;&lt;secondary-title&gt;bioRxiv&lt;/secondary-title&gt;&lt;/titles&gt;&lt;periodical&gt;&lt;full-title&gt;bioRxiv&lt;/full-title&gt;&lt;/periodical&gt;&lt;pages&gt;833590&lt;/pages&gt;&lt;dates&gt;&lt;year&gt;2019&lt;/year&gt;&lt;/dates&gt;&lt;urls&gt;&lt;related-urls&gt;&lt;url&gt;http://biorxiv.org/content/early/2019/11/07/833590.abstract&lt;/url&gt;&lt;/related-urls&gt;&lt;/urls&gt;&lt;electronic-resource-num&gt;10.1101/833590&lt;/electronic-resource-num&gt;&lt;/record&gt;&lt;/Cite&gt;&lt;/EndNote&gt;</w:instrText>
      </w:r>
      <w:r w:rsidR="00805AC8">
        <w:rPr>
          <w:rFonts w:ascii="Arial" w:hAnsi="Arial" w:cs="Arial"/>
        </w:rPr>
        <w:fldChar w:fldCharType="separate"/>
      </w:r>
      <w:r w:rsidR="0055366C" w:rsidRPr="0055366C">
        <w:rPr>
          <w:rFonts w:ascii="Arial" w:hAnsi="Arial" w:cs="Arial"/>
          <w:noProof/>
          <w:vertAlign w:val="superscript"/>
        </w:rPr>
        <w:t>2</w:t>
      </w:r>
      <w:r w:rsidR="00805AC8">
        <w:rPr>
          <w:rFonts w:ascii="Arial" w:hAnsi="Arial" w:cs="Arial"/>
        </w:rPr>
        <w:fldChar w:fldCharType="end"/>
      </w:r>
      <w:r w:rsidR="00D210A8">
        <w:rPr>
          <w:rFonts w:ascii="Arial" w:hAnsi="Arial" w:cs="Arial"/>
        </w:rPr>
        <w:t>.</w:t>
      </w:r>
      <w:r w:rsidR="00E65B09">
        <w:rPr>
          <w:rFonts w:ascii="Arial" w:hAnsi="Arial" w:cs="Arial"/>
        </w:rPr>
        <w:t xml:space="preserve"> SCA-seq demonstrated </w:t>
      </w:r>
      <w:r w:rsidR="00E65B09">
        <w:rPr>
          <w:rFonts w:ascii="Arial" w:hAnsi="Arial" w:cs="Arial" w:hint="eastAsia"/>
        </w:rPr>
        <w:t>goo</w:t>
      </w:r>
      <w:r w:rsidR="00E65B09">
        <w:rPr>
          <w:rFonts w:ascii="Arial" w:hAnsi="Arial" w:cs="Arial"/>
        </w:rPr>
        <w:t>d consistency between samples.</w:t>
      </w:r>
      <w:r w:rsidR="00F13319">
        <w:rPr>
          <w:rFonts w:ascii="Arial" w:hAnsi="Arial" w:cs="Arial"/>
        </w:rPr>
        <w:t xml:space="preserve"> (e</w:t>
      </w:r>
      <w:r w:rsidR="002C3736">
        <w:rPr>
          <w:rFonts w:ascii="Arial" w:hAnsi="Arial" w:cs="Arial" w:hint="eastAsia"/>
        </w:rPr>
        <w:t>)</w:t>
      </w:r>
      <w:r w:rsidR="002C3736">
        <w:rPr>
          <w:rFonts w:ascii="Arial" w:hAnsi="Arial" w:cs="Arial"/>
        </w:rPr>
        <w:t xml:space="preserve"> The </w:t>
      </w:r>
      <w:r w:rsidR="00723722">
        <w:rPr>
          <w:rFonts w:ascii="Arial" w:hAnsi="Arial" w:cs="Arial"/>
        </w:rPr>
        <w:t>global</w:t>
      </w:r>
      <w:r w:rsidR="00D22F7F">
        <w:rPr>
          <w:rFonts w:ascii="Arial" w:hAnsi="Arial" w:cs="Arial"/>
        </w:rPr>
        <w:t xml:space="preserve"> </w:t>
      </w:r>
      <w:r w:rsidR="006F1A80">
        <w:rPr>
          <w:rFonts w:ascii="Arial" w:hAnsi="Arial" w:cs="Arial"/>
        </w:rPr>
        <w:t>eigenvalue</w:t>
      </w:r>
      <w:r w:rsidR="002C3736">
        <w:rPr>
          <w:rFonts w:ascii="Arial" w:hAnsi="Arial" w:cs="Arial"/>
        </w:rPr>
        <w:t xml:space="preserve"> correlation</w:t>
      </w:r>
      <w:r w:rsidR="004B3058">
        <w:rPr>
          <w:rFonts w:ascii="Arial" w:hAnsi="Arial" w:cs="Arial"/>
        </w:rPr>
        <w:t xml:space="preserve"> (without quality control)</w:t>
      </w:r>
      <w:r w:rsidR="00D22F7F">
        <w:rPr>
          <w:rFonts w:ascii="Arial" w:hAnsi="Arial" w:cs="Arial"/>
        </w:rPr>
        <w:t xml:space="preserve"> </w:t>
      </w:r>
      <w:r w:rsidR="002C3736">
        <w:rPr>
          <w:rFonts w:ascii="Arial" w:hAnsi="Arial" w:cs="Arial"/>
        </w:rPr>
        <w:t>between SCA-seq and Hi-C was 0.88. (</w:t>
      </w:r>
      <w:r w:rsidR="00D22F7F">
        <w:rPr>
          <w:rFonts w:ascii="Arial" w:hAnsi="Arial" w:cs="Arial"/>
        </w:rPr>
        <w:t>f</w:t>
      </w:r>
      <w:r w:rsidR="002C3736">
        <w:rPr>
          <w:rFonts w:ascii="Arial" w:hAnsi="Arial" w:cs="Arial"/>
        </w:rPr>
        <w:t>)</w:t>
      </w:r>
      <w:r w:rsidR="00D22F7F">
        <w:rPr>
          <w:rFonts w:ascii="Arial" w:hAnsi="Arial" w:cs="Arial"/>
        </w:rPr>
        <w:t xml:space="preserve"> The compartment correlations with bias were far from the diagonal</w:t>
      </w:r>
      <w:r w:rsidR="00D22F7F">
        <w:rPr>
          <w:rFonts w:ascii="Arial" w:hAnsi="Arial" w:cs="Arial" w:hint="eastAsia"/>
        </w:rPr>
        <w:t xml:space="preserve"> </w:t>
      </w:r>
      <w:r w:rsidR="00D22F7F">
        <w:rPr>
          <w:rFonts w:ascii="Arial" w:hAnsi="Arial" w:cs="Arial"/>
        </w:rPr>
        <w:t xml:space="preserve">line and colored red. The bias regions showed </w:t>
      </w:r>
      <w:r w:rsidR="006F1A80">
        <w:rPr>
          <w:rFonts w:ascii="Arial" w:hAnsi="Arial" w:cs="Arial"/>
        </w:rPr>
        <w:t>a</w:t>
      </w:r>
      <w:r w:rsidR="00D22F7F">
        <w:rPr>
          <w:rFonts w:ascii="Arial" w:hAnsi="Arial" w:cs="Arial"/>
        </w:rPr>
        <w:t xml:space="preserve"> significantly lower GC ratio than the </w:t>
      </w:r>
      <w:r w:rsidR="004B0710">
        <w:rPr>
          <w:rFonts w:ascii="Arial" w:hAnsi="Arial" w:cs="Arial"/>
        </w:rPr>
        <w:t>unbiased</w:t>
      </w:r>
      <w:r w:rsidR="00D22F7F">
        <w:rPr>
          <w:rFonts w:ascii="Arial" w:hAnsi="Arial" w:cs="Arial"/>
        </w:rPr>
        <w:t xml:space="preserve"> region</w:t>
      </w:r>
      <w:r w:rsidR="00CA18E6">
        <w:rPr>
          <w:rFonts w:ascii="Arial" w:hAnsi="Arial" w:cs="Arial"/>
        </w:rPr>
        <w:t xml:space="preserve"> </w:t>
      </w:r>
      <w:r w:rsidR="00CA18E6">
        <w:rPr>
          <w:rFonts w:ascii="Arial" w:hAnsi="Arial" w:cs="Arial" w:hint="eastAsia"/>
        </w:rPr>
        <w:t>in</w:t>
      </w:r>
      <w:r w:rsidR="00CA18E6">
        <w:rPr>
          <w:rFonts w:ascii="Arial" w:hAnsi="Arial" w:cs="Arial"/>
        </w:rPr>
        <w:t xml:space="preserve"> </w:t>
      </w:r>
      <w:r w:rsidR="006F1A80">
        <w:rPr>
          <w:rFonts w:ascii="Arial" w:hAnsi="Arial" w:cs="Arial"/>
        </w:rPr>
        <w:t xml:space="preserve">the </w:t>
      </w:r>
      <w:r w:rsidR="00CA18E6">
        <w:rPr>
          <w:rFonts w:ascii="Arial" w:hAnsi="Arial" w:cs="Arial" w:hint="eastAsia"/>
        </w:rPr>
        <w:t>violin</w:t>
      </w:r>
      <w:r w:rsidR="00CA18E6">
        <w:rPr>
          <w:rFonts w:ascii="Arial" w:hAnsi="Arial" w:cs="Arial"/>
        </w:rPr>
        <w:t xml:space="preserve"> plot</w:t>
      </w:r>
      <w:r w:rsidR="00D22F7F">
        <w:rPr>
          <w:rFonts w:ascii="Arial" w:hAnsi="Arial" w:cs="Arial" w:hint="eastAsia"/>
        </w:rPr>
        <w:t>.</w:t>
      </w:r>
      <w:r w:rsidR="004B0710">
        <w:rPr>
          <w:rFonts w:ascii="Arial" w:hAnsi="Arial" w:cs="Arial"/>
        </w:rPr>
        <w:t xml:space="preserve"> (</w:t>
      </w:r>
      <w:r w:rsidR="00D36DFE">
        <w:rPr>
          <w:rFonts w:ascii="Arial" w:hAnsi="Arial" w:cs="Arial"/>
        </w:rPr>
        <w:t>g</w:t>
      </w:r>
      <w:r w:rsidR="004B0710">
        <w:rPr>
          <w:rFonts w:ascii="Arial" w:hAnsi="Arial" w:cs="Arial"/>
        </w:rPr>
        <w:t>)</w:t>
      </w:r>
      <w:r w:rsidR="00D22F7F">
        <w:rPr>
          <w:rFonts w:ascii="Arial" w:hAnsi="Arial" w:cs="Arial"/>
        </w:rPr>
        <w:t xml:space="preserve"> </w:t>
      </w:r>
      <w:r w:rsidR="00723722">
        <w:rPr>
          <w:rFonts w:ascii="Arial" w:hAnsi="Arial" w:cs="Arial"/>
        </w:rPr>
        <w:t>The GC ratio distribution in SCA-seq and Hi-C. (</w:t>
      </w:r>
      <w:r w:rsidR="00D36DFE">
        <w:rPr>
          <w:rFonts w:ascii="Arial" w:hAnsi="Arial" w:cs="Arial"/>
        </w:rPr>
        <w:t>h</w:t>
      </w:r>
      <w:r w:rsidR="00723722">
        <w:rPr>
          <w:rFonts w:ascii="Arial" w:hAnsi="Arial" w:cs="Arial"/>
        </w:rPr>
        <w:t>) The global insulation score</w:t>
      </w:r>
      <w:r w:rsidR="004B3058">
        <w:rPr>
          <w:rFonts w:ascii="Arial" w:hAnsi="Arial" w:cs="Arial"/>
        </w:rPr>
        <w:t xml:space="preserve"> (without quality control)</w:t>
      </w:r>
      <w:r w:rsidR="00723722">
        <w:rPr>
          <w:rFonts w:ascii="Arial" w:hAnsi="Arial" w:cs="Arial"/>
        </w:rPr>
        <w:t xml:space="preserve"> correlation between SCA-seq and Hi-C was 0.808.</w:t>
      </w:r>
    </w:p>
    <w:p w14:paraId="65345291" w14:textId="1B1D6834" w:rsidR="000B6D16" w:rsidRDefault="00CF6DEA"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04DB7F2F" wp14:editId="3B1120A0">
            <wp:extent cx="6854190" cy="6010910"/>
            <wp:effectExtent l="0" t="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54190" cy="6010910"/>
                    </a:xfrm>
                    <a:prstGeom prst="rect">
                      <a:avLst/>
                    </a:prstGeom>
                    <a:noFill/>
                    <a:ln>
                      <a:noFill/>
                    </a:ln>
                  </pic:spPr>
                </pic:pic>
              </a:graphicData>
            </a:graphic>
          </wp:inline>
        </w:drawing>
      </w:r>
    </w:p>
    <w:p w14:paraId="39F13776" w14:textId="48109F97" w:rsidR="00C86ECB" w:rsidRDefault="00D56557" w:rsidP="00AA5D67">
      <w:pPr>
        <w:tabs>
          <w:tab w:val="left" w:pos="1025"/>
        </w:tabs>
        <w:spacing w:line="480" w:lineRule="auto"/>
        <w:rPr>
          <w:rFonts w:ascii="Arial" w:hAnsi="Arial" w:cs="Arial"/>
        </w:rPr>
      </w:pPr>
      <w:r>
        <w:rPr>
          <w:rFonts w:ascii="Arial" w:hAnsi="Arial" w:cs="Arial"/>
        </w:rPr>
        <w:t>Sfig6</w:t>
      </w:r>
      <w:r w:rsidR="000B6D16">
        <w:rPr>
          <w:rFonts w:ascii="Arial" w:hAnsi="Arial" w:cs="Arial"/>
        </w:rPr>
        <w:t xml:space="preserve">. </w:t>
      </w:r>
      <w:r w:rsidR="003A2BAD">
        <w:rPr>
          <w:rFonts w:ascii="Arial" w:hAnsi="Arial" w:cs="Arial"/>
        </w:rPr>
        <w:t xml:space="preserve">The </w:t>
      </w:r>
      <w:r w:rsidR="00500F2E">
        <w:rPr>
          <w:rFonts w:ascii="Arial" w:hAnsi="Arial" w:cs="Arial"/>
        </w:rPr>
        <w:t>high-order</w:t>
      </w:r>
      <w:r w:rsidR="003A2BAD">
        <w:rPr>
          <w:rFonts w:ascii="Arial" w:hAnsi="Arial" w:cs="Arial"/>
        </w:rPr>
        <w:t xml:space="preserve"> contacts resolved the long</w:t>
      </w:r>
      <w:r w:rsidR="00792624">
        <w:rPr>
          <w:rFonts w:ascii="Arial" w:hAnsi="Arial" w:cs="Arial"/>
        </w:rPr>
        <w:t>-</w:t>
      </w:r>
      <w:r w:rsidR="003A2BAD">
        <w:rPr>
          <w:rFonts w:ascii="Arial" w:hAnsi="Arial" w:cs="Arial"/>
        </w:rPr>
        <w:t xml:space="preserve">distance genome interaction. </w:t>
      </w:r>
      <w:r w:rsidR="0068532E">
        <w:rPr>
          <w:rFonts w:ascii="Arial" w:hAnsi="Arial" w:cs="Arial"/>
        </w:rPr>
        <w:t xml:space="preserve">(a) </w:t>
      </w:r>
      <w:r w:rsidR="00355BF7">
        <w:rPr>
          <w:rFonts w:ascii="Arial" w:hAnsi="Arial" w:cs="Arial"/>
        </w:rPr>
        <w:t xml:space="preserve">Intra-chromosome contacts on chr7. </w:t>
      </w:r>
      <w:r w:rsidR="00C86ECB">
        <w:rPr>
          <w:rFonts w:ascii="Arial" w:hAnsi="Arial" w:cs="Arial"/>
        </w:rPr>
        <w:t xml:space="preserve">65% </w:t>
      </w:r>
      <w:r w:rsidR="00500F2E">
        <w:rPr>
          <w:rFonts w:ascii="Arial" w:hAnsi="Arial" w:cs="Arial"/>
        </w:rPr>
        <w:t xml:space="preserve">of </w:t>
      </w:r>
      <w:r w:rsidR="00C86ECB">
        <w:rPr>
          <w:rFonts w:ascii="Arial" w:hAnsi="Arial" w:cs="Arial"/>
        </w:rPr>
        <w:t xml:space="preserve">concatemers contain </w:t>
      </w:r>
      <w:r w:rsidR="00500F2E">
        <w:rPr>
          <w:rFonts w:ascii="Arial" w:hAnsi="Arial" w:cs="Arial"/>
        </w:rPr>
        <w:t>one</w:t>
      </w:r>
      <w:r w:rsidR="00C86ECB">
        <w:rPr>
          <w:rFonts w:ascii="Arial" w:hAnsi="Arial" w:cs="Arial"/>
        </w:rPr>
        <w:t xml:space="preserve"> </w:t>
      </w:r>
      <w:r w:rsidR="00500F2E">
        <w:rPr>
          <w:rFonts w:ascii="Arial" w:hAnsi="Arial" w:cs="Arial"/>
        </w:rPr>
        <w:t>segment</w:t>
      </w:r>
      <w:r w:rsidR="00C86ECB">
        <w:rPr>
          <w:rFonts w:ascii="Arial" w:hAnsi="Arial" w:cs="Arial"/>
        </w:rPr>
        <w:t xml:space="preserve"> without any genome contacts. 14.7% </w:t>
      </w:r>
      <w:r w:rsidR="00500F2E">
        <w:rPr>
          <w:rFonts w:ascii="Arial" w:hAnsi="Arial" w:cs="Arial"/>
        </w:rPr>
        <w:t xml:space="preserve">of </w:t>
      </w:r>
      <w:r w:rsidR="00C86ECB">
        <w:rPr>
          <w:rFonts w:ascii="Arial" w:hAnsi="Arial" w:cs="Arial"/>
        </w:rPr>
        <w:t xml:space="preserve">concatemers contain </w:t>
      </w:r>
      <w:r w:rsidR="00500F2E">
        <w:rPr>
          <w:rFonts w:ascii="Arial" w:hAnsi="Arial" w:cs="Arial"/>
        </w:rPr>
        <w:t>two</w:t>
      </w:r>
      <w:r w:rsidR="00273659">
        <w:rPr>
          <w:rFonts w:ascii="Arial" w:hAnsi="Arial" w:cs="Arial"/>
        </w:rPr>
        <w:t xml:space="preserve"> </w:t>
      </w:r>
      <w:r w:rsidR="00500F2E">
        <w:rPr>
          <w:rFonts w:ascii="Arial" w:hAnsi="Arial" w:cs="Arial"/>
        </w:rPr>
        <w:t>segments,</w:t>
      </w:r>
      <w:r w:rsidR="00273659">
        <w:rPr>
          <w:rFonts w:ascii="Arial" w:hAnsi="Arial" w:cs="Arial"/>
        </w:rPr>
        <w:t xml:space="preserve"> and 14.5% </w:t>
      </w:r>
      <w:r w:rsidR="00500F2E">
        <w:rPr>
          <w:rFonts w:ascii="Arial" w:hAnsi="Arial" w:cs="Arial"/>
        </w:rPr>
        <w:t>contain</w:t>
      </w:r>
      <w:r w:rsidR="00273659">
        <w:rPr>
          <w:rFonts w:ascii="Arial" w:hAnsi="Arial" w:cs="Arial"/>
        </w:rPr>
        <w:t xml:space="preserve"> 3-5 </w:t>
      </w:r>
      <w:r w:rsidR="00500F2E">
        <w:rPr>
          <w:rFonts w:ascii="Arial" w:hAnsi="Arial" w:cs="Arial"/>
        </w:rPr>
        <w:t>segments</w:t>
      </w:r>
      <w:r w:rsidR="00273659">
        <w:rPr>
          <w:rFonts w:ascii="Arial" w:hAnsi="Arial" w:cs="Arial"/>
        </w:rPr>
        <w:t xml:space="preserve">. 5.4% </w:t>
      </w:r>
      <w:r w:rsidR="00500F2E">
        <w:rPr>
          <w:rFonts w:ascii="Arial" w:hAnsi="Arial" w:cs="Arial"/>
        </w:rPr>
        <w:t xml:space="preserve">of </w:t>
      </w:r>
      <w:r w:rsidR="00273659">
        <w:rPr>
          <w:rFonts w:ascii="Arial" w:hAnsi="Arial" w:cs="Arial"/>
        </w:rPr>
        <w:t>concatemers have &gt;=</w:t>
      </w:r>
      <w:r w:rsidR="00500F2E">
        <w:rPr>
          <w:rFonts w:ascii="Arial" w:hAnsi="Arial" w:cs="Arial"/>
        </w:rPr>
        <w:t xml:space="preserve"> six</w:t>
      </w:r>
      <w:r w:rsidR="00273659">
        <w:rPr>
          <w:rFonts w:ascii="Arial" w:hAnsi="Arial" w:cs="Arial"/>
        </w:rPr>
        <w:t xml:space="preserve"> </w:t>
      </w:r>
      <w:r w:rsidR="00500F2E">
        <w:rPr>
          <w:rFonts w:ascii="Arial" w:hAnsi="Arial" w:cs="Arial"/>
        </w:rPr>
        <w:t>segments</w:t>
      </w:r>
      <w:r w:rsidR="00273659">
        <w:rPr>
          <w:rFonts w:ascii="Arial" w:hAnsi="Arial" w:cs="Arial"/>
        </w:rPr>
        <w:t>.</w:t>
      </w:r>
      <w:r w:rsidR="003A2BAD">
        <w:rPr>
          <w:rFonts w:ascii="Arial" w:hAnsi="Arial" w:cs="Arial"/>
        </w:rPr>
        <w:t xml:space="preserve"> </w:t>
      </w:r>
      <w:r w:rsidR="0068532E">
        <w:rPr>
          <w:rFonts w:ascii="Arial" w:hAnsi="Arial" w:cs="Arial"/>
        </w:rPr>
        <w:t xml:space="preserve">(b) </w:t>
      </w:r>
      <w:r w:rsidR="003A2BAD">
        <w:rPr>
          <w:rFonts w:ascii="Arial" w:hAnsi="Arial" w:cs="Arial"/>
        </w:rPr>
        <w:t xml:space="preserve">We plotted the contact frequency with the contact distance in different concatemer </w:t>
      </w:r>
      <w:r w:rsidR="00500F2E">
        <w:rPr>
          <w:rFonts w:ascii="Arial" w:hAnsi="Arial" w:cs="Arial"/>
        </w:rPr>
        <w:t>cardinality</w:t>
      </w:r>
      <w:r w:rsidR="00E24FD0">
        <w:rPr>
          <w:rFonts w:ascii="Arial" w:hAnsi="Arial" w:cs="Arial"/>
        </w:rPr>
        <w:t xml:space="preserve">. The </w:t>
      </w:r>
      <w:r w:rsidR="00500F2E">
        <w:rPr>
          <w:rFonts w:ascii="Arial" w:hAnsi="Arial" w:cs="Arial"/>
        </w:rPr>
        <w:t>high-cardinality</w:t>
      </w:r>
      <w:r w:rsidR="00E24FD0">
        <w:rPr>
          <w:rFonts w:ascii="Arial" w:hAnsi="Arial" w:cs="Arial"/>
        </w:rPr>
        <w:t xml:space="preserve"> concatemers have more distant contacts than the low</w:t>
      </w:r>
      <w:r w:rsidR="00500F2E">
        <w:rPr>
          <w:rFonts w:ascii="Arial" w:hAnsi="Arial" w:cs="Arial"/>
        </w:rPr>
        <w:t xml:space="preserve">-cardinality </w:t>
      </w:r>
      <w:r w:rsidR="00E24FD0">
        <w:rPr>
          <w:rFonts w:ascii="Arial" w:hAnsi="Arial" w:cs="Arial"/>
        </w:rPr>
        <w:t>concatemers.</w:t>
      </w:r>
      <w:r w:rsidR="0068532E">
        <w:rPr>
          <w:rFonts w:ascii="Arial" w:hAnsi="Arial" w:cs="Arial"/>
        </w:rPr>
        <w:t xml:space="preserve"> (c)</w:t>
      </w:r>
      <w:r w:rsidR="00E24FD0">
        <w:rPr>
          <w:rFonts w:ascii="Arial" w:hAnsi="Arial" w:cs="Arial"/>
        </w:rPr>
        <w:t xml:space="preserve"> The maximum contact distance in each concatemer also positively correlated with the concatemer </w:t>
      </w:r>
      <w:r w:rsidR="00500F2E">
        <w:rPr>
          <w:rFonts w:ascii="Arial" w:hAnsi="Arial" w:cs="Arial"/>
        </w:rPr>
        <w:t>cardinality</w:t>
      </w:r>
      <w:r w:rsidR="00E24FD0">
        <w:rPr>
          <w:rFonts w:ascii="Arial" w:hAnsi="Arial" w:cs="Arial"/>
        </w:rPr>
        <w:t>.</w:t>
      </w:r>
      <w:r w:rsidR="0068532E">
        <w:rPr>
          <w:rFonts w:ascii="Arial" w:hAnsi="Arial" w:cs="Arial"/>
        </w:rPr>
        <w:t xml:space="preserve"> (d</w:t>
      </w:r>
      <w:r w:rsidR="0068532E" w:rsidRPr="00E63BA7">
        <w:rPr>
          <w:rFonts w:ascii="Arial" w:hAnsi="Arial" w:cs="Arial"/>
        </w:rPr>
        <w:t>)</w:t>
      </w:r>
      <w:r w:rsidR="00D234B4" w:rsidRPr="00E63BA7">
        <w:rPr>
          <w:rFonts w:ascii="Arial" w:hAnsi="Arial" w:cs="Arial"/>
        </w:rPr>
        <w:t xml:space="preserve"> We converted the concatemers with different </w:t>
      </w:r>
      <w:r w:rsidR="00500F2E">
        <w:rPr>
          <w:rFonts w:ascii="Arial" w:hAnsi="Arial" w:cs="Arial"/>
        </w:rPr>
        <w:t>cardinality</w:t>
      </w:r>
      <w:r w:rsidR="00D234B4" w:rsidRPr="00E63BA7">
        <w:rPr>
          <w:rFonts w:ascii="Arial" w:hAnsi="Arial" w:cs="Arial"/>
        </w:rPr>
        <w:t xml:space="preserve"> to </w:t>
      </w:r>
      <w:r w:rsidR="00500F2E">
        <w:rPr>
          <w:rFonts w:ascii="Arial" w:hAnsi="Arial" w:cs="Arial"/>
        </w:rPr>
        <w:t>pair-wise</w:t>
      </w:r>
      <w:r w:rsidR="00D234B4" w:rsidRPr="00E63BA7">
        <w:rPr>
          <w:rFonts w:ascii="Arial" w:hAnsi="Arial" w:cs="Arial"/>
        </w:rPr>
        <w:t xml:space="preserve"> contact maps. The high</w:t>
      </w:r>
      <w:r w:rsidR="00500F2E">
        <w:rPr>
          <w:rFonts w:ascii="Arial" w:hAnsi="Arial" w:cs="Arial"/>
        </w:rPr>
        <w:t>-cardinality</w:t>
      </w:r>
      <w:r w:rsidR="00D234B4" w:rsidRPr="00E63BA7">
        <w:rPr>
          <w:rFonts w:ascii="Arial" w:hAnsi="Arial" w:cs="Arial"/>
        </w:rPr>
        <w:t xml:space="preserve"> concatemers tend to maintain the TAD structure</w:t>
      </w:r>
      <w:r w:rsidR="00A3157B" w:rsidRPr="00E63BA7">
        <w:rPr>
          <w:rFonts w:ascii="Arial" w:hAnsi="Arial" w:cs="Arial"/>
        </w:rPr>
        <w:t>s</w:t>
      </w:r>
      <w:r w:rsidR="00D234B4" w:rsidRPr="00E63BA7">
        <w:rPr>
          <w:rFonts w:ascii="Arial" w:hAnsi="Arial" w:cs="Arial"/>
        </w:rPr>
        <w:t xml:space="preserve"> and </w:t>
      </w:r>
      <w:r w:rsidR="00500F2E">
        <w:rPr>
          <w:rFonts w:ascii="Arial" w:hAnsi="Arial" w:cs="Arial"/>
        </w:rPr>
        <w:t>indicate</w:t>
      </w:r>
      <w:r w:rsidR="00D234B4" w:rsidRPr="00E63BA7">
        <w:rPr>
          <w:rFonts w:ascii="Arial" w:hAnsi="Arial" w:cs="Arial"/>
        </w:rPr>
        <w:t xml:space="preserve"> </w:t>
      </w:r>
      <w:r w:rsidR="00500F2E">
        <w:rPr>
          <w:rFonts w:ascii="Arial" w:hAnsi="Arial" w:cs="Arial"/>
        </w:rPr>
        <w:lastRenderedPageBreak/>
        <w:t>long-distance</w:t>
      </w:r>
      <w:r w:rsidR="00D234B4" w:rsidRPr="00E63BA7">
        <w:rPr>
          <w:rFonts w:ascii="Arial" w:hAnsi="Arial" w:cs="Arial"/>
        </w:rPr>
        <w:t xml:space="preserve"> interaction.</w:t>
      </w:r>
      <w:r w:rsidR="0068532E">
        <w:rPr>
          <w:rFonts w:ascii="Arial" w:hAnsi="Arial" w:cs="Arial"/>
        </w:rPr>
        <w:t xml:space="preserve"> (e) The data, cell type</w:t>
      </w:r>
      <w:r w:rsidR="00500F2E">
        <w:rPr>
          <w:rFonts w:ascii="Arial" w:hAnsi="Arial" w:cs="Arial"/>
        </w:rPr>
        <w:t>,</w:t>
      </w:r>
      <w:r w:rsidR="0068532E">
        <w:rPr>
          <w:rFonts w:ascii="Arial" w:hAnsi="Arial" w:cs="Arial"/>
        </w:rPr>
        <w:t xml:space="preserve"> and cell number of each method. (f)</w:t>
      </w:r>
      <w:r w:rsidR="00072698">
        <w:rPr>
          <w:rFonts w:ascii="Arial" w:hAnsi="Arial" w:cs="Arial"/>
        </w:rPr>
        <w:t xml:space="preserve"> The interaction distance &gt;</w:t>
      </w:r>
      <w:r w:rsidR="006A2D7B">
        <w:rPr>
          <w:rFonts w:ascii="Arial" w:hAnsi="Arial" w:cs="Arial"/>
        </w:rPr>
        <w:t>= 20</w:t>
      </w:r>
      <w:r w:rsidR="006A2D7B">
        <w:rPr>
          <w:rFonts w:ascii="Arial" w:hAnsi="Arial" w:cs="Arial" w:hint="eastAsia"/>
        </w:rPr>
        <w:t>kb</w:t>
      </w:r>
      <w:r w:rsidR="006A2D7B">
        <w:rPr>
          <w:rFonts w:ascii="Arial" w:hAnsi="Arial" w:cs="Arial"/>
        </w:rPr>
        <w:t xml:space="preserve"> </w:t>
      </w:r>
      <w:r w:rsidR="00072698">
        <w:rPr>
          <w:rFonts w:ascii="Arial" w:hAnsi="Arial" w:cs="Arial"/>
        </w:rPr>
        <w:t>was classified as long-range interaction. The interaction distance &lt;</w:t>
      </w:r>
      <w:r w:rsidR="006A2D7B">
        <w:rPr>
          <w:rFonts w:ascii="Arial" w:hAnsi="Arial" w:cs="Arial"/>
        </w:rPr>
        <w:t>20kb</w:t>
      </w:r>
      <w:r w:rsidR="00072698">
        <w:rPr>
          <w:rFonts w:ascii="Arial" w:hAnsi="Arial" w:cs="Arial"/>
        </w:rPr>
        <w:t xml:space="preserve"> was classified as short-range interaction. The duplicates were the duplicated reads. Trans indicated the interaction </w:t>
      </w:r>
      <w:r w:rsidR="00500F2E">
        <w:rPr>
          <w:rFonts w:ascii="Arial" w:hAnsi="Arial" w:cs="Arial"/>
        </w:rPr>
        <w:t>across</w:t>
      </w:r>
      <w:r w:rsidR="00072698">
        <w:rPr>
          <w:rFonts w:ascii="Arial" w:hAnsi="Arial" w:cs="Arial"/>
        </w:rPr>
        <w:t xml:space="preserve"> chromosomes. (g) The </w:t>
      </w:r>
      <w:r w:rsidR="00500F2E">
        <w:rPr>
          <w:rFonts w:ascii="Arial" w:hAnsi="Arial" w:cs="Arial"/>
        </w:rPr>
        <w:t xml:space="preserve">cardinality </w:t>
      </w:r>
      <w:r w:rsidR="00072698">
        <w:rPr>
          <w:rFonts w:ascii="Arial" w:hAnsi="Arial" w:cs="Arial"/>
        </w:rPr>
        <w:t xml:space="preserve">represented the segment number in one </w:t>
      </w:r>
      <w:r w:rsidR="000430E7">
        <w:rPr>
          <w:rFonts w:ascii="Arial" w:hAnsi="Arial" w:cs="Arial"/>
        </w:rPr>
        <w:t>read</w:t>
      </w:r>
      <w:r w:rsidR="00072698">
        <w:rPr>
          <w:rFonts w:ascii="Arial" w:hAnsi="Arial" w:cs="Arial"/>
        </w:rPr>
        <w:t>, suggesting the higher-</w:t>
      </w:r>
      <w:r w:rsidR="00500F2E">
        <w:rPr>
          <w:rFonts w:ascii="Arial" w:hAnsi="Arial" w:cs="Arial"/>
        </w:rPr>
        <w:t>cardinality</w:t>
      </w:r>
      <w:r w:rsidR="00072698">
        <w:rPr>
          <w:rFonts w:ascii="Arial" w:hAnsi="Arial" w:cs="Arial"/>
        </w:rPr>
        <w:t xml:space="preserve"> interaction.</w:t>
      </w:r>
      <w:r w:rsidR="000430E7">
        <w:rPr>
          <w:rFonts w:ascii="Arial" w:hAnsi="Arial" w:cs="Arial"/>
        </w:rPr>
        <w:t xml:space="preserve"> (h) </w:t>
      </w:r>
      <w:bookmarkStart w:id="0" w:name="OLE_LINK1"/>
      <w:bookmarkStart w:id="1" w:name="OLE_LINK2"/>
      <w:r w:rsidR="000430E7">
        <w:rPr>
          <w:rFonts w:ascii="Arial" w:hAnsi="Arial" w:cs="Arial"/>
        </w:rPr>
        <w:t xml:space="preserve">The reads with 2 </w:t>
      </w:r>
      <w:r w:rsidR="00386115">
        <w:rPr>
          <w:rFonts w:ascii="Arial" w:hAnsi="Arial" w:cs="Arial"/>
        </w:rPr>
        <w:t>promoter/enhancers</w:t>
      </w:r>
      <w:r w:rsidR="000430E7">
        <w:rPr>
          <w:rFonts w:ascii="Arial" w:hAnsi="Arial" w:cs="Arial"/>
        </w:rPr>
        <w:t xml:space="preserve"> and &gt;2 </w:t>
      </w:r>
      <w:r w:rsidR="00386115">
        <w:rPr>
          <w:rFonts w:ascii="Arial" w:hAnsi="Arial" w:cs="Arial"/>
        </w:rPr>
        <w:t>promoter/enhancers</w:t>
      </w:r>
      <w:r w:rsidR="000430E7">
        <w:rPr>
          <w:rFonts w:ascii="Arial" w:hAnsi="Arial" w:cs="Arial"/>
        </w:rPr>
        <w:t xml:space="preserve"> were transformed to the pair-wise interaction in chr7:25800000~26400000. The resolution of each bin is </w:t>
      </w:r>
      <w:r w:rsidR="006A2D7B">
        <w:rPr>
          <w:rFonts w:ascii="Arial" w:hAnsi="Arial" w:cs="Arial"/>
        </w:rPr>
        <w:t>25kb</w:t>
      </w:r>
      <w:r w:rsidR="000430E7">
        <w:rPr>
          <w:rFonts w:ascii="Arial" w:hAnsi="Arial" w:cs="Arial"/>
        </w:rPr>
        <w:t>.</w:t>
      </w:r>
      <w:r w:rsidR="00C30214">
        <w:rPr>
          <w:rFonts w:ascii="Arial" w:hAnsi="Arial" w:cs="Arial"/>
        </w:rPr>
        <w:t xml:space="preserve"> The average </w:t>
      </w:r>
      <w:r w:rsidR="004E3EC0">
        <w:rPr>
          <w:rFonts w:ascii="Arial" w:hAnsi="Arial" w:cs="Arial"/>
        </w:rPr>
        <w:t>accessible</w:t>
      </w:r>
      <w:r w:rsidR="00C30214">
        <w:rPr>
          <w:rFonts w:ascii="Arial" w:hAnsi="Arial" w:cs="Arial"/>
        </w:rPr>
        <w:t xml:space="preserve"> chromatin ratio (</w:t>
      </w:r>
      <w:r w:rsidR="004E3EC0">
        <w:rPr>
          <w:rFonts w:ascii="Arial" w:hAnsi="Arial" w:cs="Arial"/>
        </w:rPr>
        <w:t>accessible</w:t>
      </w:r>
      <w:r w:rsidR="00C30214">
        <w:rPr>
          <w:rFonts w:ascii="Arial" w:hAnsi="Arial" w:cs="Arial"/>
        </w:rPr>
        <w:t>/</w:t>
      </w:r>
      <w:r w:rsidR="004E3EC0">
        <w:rPr>
          <w:rFonts w:ascii="Arial" w:hAnsi="Arial" w:cs="Arial"/>
        </w:rPr>
        <w:t>inaccessible</w:t>
      </w:r>
      <w:r w:rsidR="00C30214">
        <w:rPr>
          <w:rFonts w:ascii="Arial" w:hAnsi="Arial" w:cs="Arial"/>
        </w:rPr>
        <w:t xml:space="preserve"> </w:t>
      </w:r>
      <w:r w:rsidR="004E3EC0">
        <w:rPr>
          <w:rFonts w:ascii="Arial" w:hAnsi="Arial" w:cs="Arial"/>
        </w:rPr>
        <w:t>segments</w:t>
      </w:r>
      <w:r w:rsidR="00C30214">
        <w:rPr>
          <w:rFonts w:ascii="Arial" w:hAnsi="Arial" w:cs="Arial"/>
        </w:rPr>
        <w:t xml:space="preserve"> in concatemers), GpC ratio</w:t>
      </w:r>
      <w:r w:rsidR="004E3EC0">
        <w:rPr>
          <w:rFonts w:ascii="Arial" w:hAnsi="Arial" w:cs="Arial"/>
        </w:rPr>
        <w:t>,</w:t>
      </w:r>
      <w:r w:rsidR="00C30214">
        <w:rPr>
          <w:rFonts w:ascii="Arial" w:hAnsi="Arial" w:cs="Arial"/>
        </w:rPr>
        <w:t xml:space="preserve"> and CpG ratio were plotted to </w:t>
      </w:r>
      <w:r w:rsidR="004E3EC0">
        <w:rPr>
          <w:rFonts w:ascii="Arial" w:hAnsi="Arial" w:cs="Arial"/>
        </w:rPr>
        <w:t xml:space="preserve">a </w:t>
      </w:r>
      <w:r w:rsidR="00C30214">
        <w:rPr>
          <w:rFonts w:ascii="Arial" w:hAnsi="Arial" w:cs="Arial"/>
        </w:rPr>
        <w:t xml:space="preserve">2D interaction map. </w:t>
      </w:r>
      <w:bookmarkEnd w:id="0"/>
      <w:bookmarkEnd w:id="1"/>
      <w:r w:rsidR="00E33C88">
        <w:rPr>
          <w:rFonts w:ascii="Arial" w:hAnsi="Arial" w:cs="Arial"/>
        </w:rPr>
        <w:t>(i)</w:t>
      </w:r>
      <w:r w:rsidR="00E33C88" w:rsidRPr="00E33C88">
        <w:rPr>
          <w:rFonts w:ascii="Arial" w:hAnsi="Arial" w:cs="Arial"/>
        </w:rPr>
        <w:t xml:space="preserve"> </w:t>
      </w:r>
      <w:r w:rsidR="00E33C88">
        <w:rPr>
          <w:rFonts w:ascii="Arial" w:hAnsi="Arial" w:cs="Arial"/>
        </w:rPr>
        <w:t xml:space="preserve">We plotted the contact frequency with the contact distance in different </w:t>
      </w:r>
      <w:r w:rsidR="006A2AD5">
        <w:rPr>
          <w:rFonts w:ascii="Arial" w:hAnsi="Arial" w:cs="Arial"/>
        </w:rPr>
        <w:t>promoter/enhancer</w:t>
      </w:r>
      <w:r w:rsidR="00E33C88">
        <w:rPr>
          <w:rFonts w:ascii="Arial" w:hAnsi="Arial" w:cs="Arial"/>
        </w:rPr>
        <w:t xml:space="preserve"> </w:t>
      </w:r>
      <w:r w:rsidR="004E3EC0">
        <w:rPr>
          <w:rFonts w:ascii="Arial" w:hAnsi="Arial" w:cs="Arial"/>
        </w:rPr>
        <w:t>cardinality</w:t>
      </w:r>
      <w:r w:rsidR="00E33C88">
        <w:rPr>
          <w:rFonts w:ascii="Arial" w:hAnsi="Arial" w:cs="Arial"/>
        </w:rPr>
        <w:t xml:space="preserve">. The </w:t>
      </w:r>
      <w:r w:rsidR="004E3EC0">
        <w:rPr>
          <w:rFonts w:ascii="Arial" w:hAnsi="Arial" w:cs="Arial"/>
        </w:rPr>
        <w:t>high-cardinality</w:t>
      </w:r>
      <w:r w:rsidR="00E33C88">
        <w:rPr>
          <w:rFonts w:ascii="Arial" w:hAnsi="Arial" w:cs="Arial"/>
        </w:rPr>
        <w:t xml:space="preserve"> </w:t>
      </w:r>
      <w:r w:rsidR="006A2AD5">
        <w:rPr>
          <w:rFonts w:ascii="Arial" w:hAnsi="Arial" w:cs="Arial"/>
        </w:rPr>
        <w:t>promoter/enhancers</w:t>
      </w:r>
      <w:r w:rsidR="00E33C88">
        <w:rPr>
          <w:rFonts w:ascii="Arial" w:hAnsi="Arial" w:cs="Arial"/>
        </w:rPr>
        <w:t xml:space="preserve"> have more distant contacts than the low</w:t>
      </w:r>
      <w:r w:rsidR="004E3EC0">
        <w:rPr>
          <w:rFonts w:ascii="Arial" w:hAnsi="Arial" w:cs="Arial"/>
        </w:rPr>
        <w:t>-cardinality</w:t>
      </w:r>
      <w:r w:rsidR="00E33C88">
        <w:rPr>
          <w:rFonts w:ascii="Arial" w:hAnsi="Arial" w:cs="Arial"/>
        </w:rPr>
        <w:t xml:space="preserve"> concatemers.</w:t>
      </w:r>
    </w:p>
    <w:p w14:paraId="46620CC4" w14:textId="3A90A18E" w:rsidR="00454C3E" w:rsidRDefault="00454C3E" w:rsidP="00AA5D67">
      <w:pPr>
        <w:tabs>
          <w:tab w:val="left" w:pos="1025"/>
        </w:tabs>
        <w:spacing w:line="480" w:lineRule="auto"/>
        <w:rPr>
          <w:rFonts w:ascii="Arial" w:hAnsi="Arial" w:cs="Arial"/>
        </w:rPr>
      </w:pPr>
    </w:p>
    <w:p w14:paraId="5992A312" w14:textId="6986C540" w:rsidR="00454C3E" w:rsidRDefault="00454C3E" w:rsidP="00AA5D67">
      <w:pPr>
        <w:tabs>
          <w:tab w:val="left" w:pos="1025"/>
        </w:tabs>
        <w:spacing w:line="480" w:lineRule="auto"/>
        <w:rPr>
          <w:rFonts w:ascii="Arial" w:hAnsi="Arial" w:cs="Arial"/>
        </w:rPr>
      </w:pPr>
    </w:p>
    <w:p w14:paraId="724A0EAD" w14:textId="1E21E84E" w:rsidR="00454C3E" w:rsidRDefault="00454C3E" w:rsidP="00AA5D67">
      <w:pPr>
        <w:tabs>
          <w:tab w:val="left" w:pos="1025"/>
        </w:tabs>
        <w:spacing w:line="480" w:lineRule="auto"/>
        <w:rPr>
          <w:rFonts w:ascii="Arial" w:hAnsi="Arial" w:cs="Arial"/>
        </w:rPr>
      </w:pPr>
    </w:p>
    <w:p w14:paraId="15D9A9B7" w14:textId="5A509FDB" w:rsidR="00454C3E" w:rsidRDefault="00454C3E" w:rsidP="00AA5D67">
      <w:pPr>
        <w:tabs>
          <w:tab w:val="left" w:pos="1025"/>
        </w:tabs>
        <w:spacing w:line="480" w:lineRule="auto"/>
        <w:rPr>
          <w:rFonts w:ascii="Arial" w:hAnsi="Arial" w:cs="Arial"/>
        </w:rPr>
      </w:pPr>
    </w:p>
    <w:p w14:paraId="62116E3F" w14:textId="51BF50FC" w:rsidR="00454C3E" w:rsidRDefault="00454C3E" w:rsidP="00AA5D67">
      <w:pPr>
        <w:tabs>
          <w:tab w:val="left" w:pos="1025"/>
        </w:tabs>
        <w:spacing w:line="480" w:lineRule="auto"/>
        <w:rPr>
          <w:rFonts w:ascii="Arial" w:hAnsi="Arial" w:cs="Arial"/>
        </w:rPr>
      </w:pPr>
    </w:p>
    <w:p w14:paraId="3392B52E" w14:textId="1E3D7330" w:rsidR="00454C3E" w:rsidRDefault="00454C3E" w:rsidP="00AA5D67">
      <w:pPr>
        <w:tabs>
          <w:tab w:val="left" w:pos="1025"/>
        </w:tabs>
        <w:spacing w:line="480" w:lineRule="auto"/>
        <w:rPr>
          <w:rFonts w:ascii="Arial" w:hAnsi="Arial" w:cs="Arial"/>
        </w:rPr>
      </w:pPr>
    </w:p>
    <w:p w14:paraId="3678CB3C" w14:textId="77777777" w:rsidR="00454C3E" w:rsidRDefault="00454C3E" w:rsidP="00AA5D67">
      <w:pPr>
        <w:tabs>
          <w:tab w:val="left" w:pos="1025"/>
        </w:tabs>
        <w:spacing w:line="480" w:lineRule="auto"/>
        <w:rPr>
          <w:rFonts w:ascii="Arial" w:hAnsi="Arial" w:cs="Arial"/>
        </w:rPr>
      </w:pPr>
    </w:p>
    <w:p w14:paraId="08D7BE50" w14:textId="0E472819" w:rsidR="000E5583" w:rsidRDefault="00BE7D6E"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0AC2F5DC" wp14:editId="62811D1F">
            <wp:extent cx="6850380" cy="5370195"/>
            <wp:effectExtent l="0" t="0" r="7620" b="190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850380" cy="5370195"/>
                    </a:xfrm>
                    <a:prstGeom prst="rect">
                      <a:avLst/>
                    </a:prstGeom>
                    <a:noFill/>
                    <a:ln>
                      <a:noFill/>
                    </a:ln>
                  </pic:spPr>
                </pic:pic>
              </a:graphicData>
            </a:graphic>
          </wp:inline>
        </w:drawing>
      </w:r>
    </w:p>
    <w:p w14:paraId="46E29D7D" w14:textId="3EBB20AD" w:rsidR="00D56557" w:rsidRDefault="00D56557" w:rsidP="00D56557">
      <w:pPr>
        <w:tabs>
          <w:tab w:val="left" w:pos="1025"/>
        </w:tabs>
        <w:spacing w:line="480" w:lineRule="auto"/>
        <w:rPr>
          <w:rFonts w:ascii="Arial" w:hAnsi="Arial" w:cs="Arial"/>
        </w:rPr>
      </w:pPr>
      <w:r>
        <w:rPr>
          <w:rFonts w:ascii="Arial" w:hAnsi="Arial" w:cs="Arial"/>
        </w:rPr>
        <w:t xml:space="preserve">Sfig7. The GpC labeling efficiency in vitro and in vivo. We used the lambda DNA as the spike-in DNA control to monitor the M.CviPI efficiency. The genomic DNAs without labeling were used as the background control to calculate the background level of GpC. The labeled genomic DNAs were processed as SCA-seq. We plotted the density plot of GpC ratios in each segment (methylated GpC/total GpC in each </w:t>
      </w:r>
      <w:r w:rsidR="002D6A6E">
        <w:rPr>
          <w:rFonts w:ascii="Arial" w:hAnsi="Arial" w:cs="Arial"/>
        </w:rPr>
        <w:t>segment</w:t>
      </w:r>
      <w:r>
        <w:rPr>
          <w:rFonts w:ascii="Arial" w:hAnsi="Arial" w:cs="Arial"/>
        </w:rPr>
        <w:t xml:space="preserve">) for background genomic DNA, treated genomic DNA, </w:t>
      </w:r>
      <w:r w:rsidR="002D6A6E">
        <w:rPr>
          <w:rFonts w:ascii="Arial" w:hAnsi="Arial" w:cs="Arial"/>
        </w:rPr>
        <w:t xml:space="preserve">and </w:t>
      </w:r>
      <w:r>
        <w:rPr>
          <w:rFonts w:ascii="Arial" w:hAnsi="Arial" w:cs="Arial"/>
        </w:rPr>
        <w:t xml:space="preserve">spike-in control.  The background level of </w:t>
      </w:r>
      <w:r w:rsidR="002E5F89">
        <w:rPr>
          <w:rFonts w:ascii="Arial" w:hAnsi="Arial" w:cs="Arial"/>
        </w:rPr>
        <w:t xml:space="preserve">the </w:t>
      </w:r>
      <w:r>
        <w:rPr>
          <w:rFonts w:ascii="Arial" w:hAnsi="Arial" w:cs="Arial"/>
        </w:rPr>
        <w:t xml:space="preserve">GpC ratio in each segment </w:t>
      </w:r>
      <w:r w:rsidR="002E5F89">
        <w:rPr>
          <w:rFonts w:ascii="Arial" w:hAnsi="Arial" w:cs="Arial" w:hint="eastAsia"/>
        </w:rPr>
        <w:t>was</w:t>
      </w:r>
      <w:r>
        <w:rPr>
          <w:rFonts w:ascii="Arial" w:hAnsi="Arial" w:cs="Arial"/>
        </w:rPr>
        <w:t xml:space="preserve"> around </w:t>
      </w:r>
      <w:r w:rsidRPr="00CA58AE">
        <w:rPr>
          <w:rFonts w:ascii="Arial" w:hAnsi="Arial" w:cs="Arial"/>
        </w:rPr>
        <w:t>0.01</w:t>
      </w:r>
      <w:r>
        <w:rPr>
          <w:rFonts w:ascii="Arial" w:hAnsi="Arial" w:cs="Arial"/>
        </w:rPr>
        <w:t>8 (a,b</w:t>
      </w:r>
      <w:r>
        <w:rPr>
          <w:rFonts w:ascii="Arial" w:hAnsi="Arial" w:cs="Arial" w:hint="eastAsia"/>
        </w:rPr>
        <w:t>)</w:t>
      </w:r>
      <w:r>
        <w:rPr>
          <w:rFonts w:ascii="Arial" w:hAnsi="Arial" w:cs="Arial"/>
        </w:rPr>
        <w:t xml:space="preserve">. The spike-in lambda DNA showed </w:t>
      </w:r>
      <w:r w:rsidR="002E5F89">
        <w:rPr>
          <w:rFonts w:ascii="Arial" w:hAnsi="Arial" w:cs="Arial"/>
        </w:rPr>
        <w:t xml:space="preserve">that </w:t>
      </w:r>
      <w:r>
        <w:rPr>
          <w:rFonts w:ascii="Arial" w:hAnsi="Arial" w:cs="Arial"/>
        </w:rPr>
        <w:t>the M.CviPI labeling efficiency is around 0.88 in vitro (a,b). We then selected the CTCF motifs as the in vivo control to calculate the in vivo labeling efficiency(c). We plotted the CpG methylation ratio (methylated CpG/total CpG) with the GpC methylation ratio in CTCF motifs. Previous publications showed the p</w:t>
      </w:r>
      <w:r w:rsidRPr="002D137B">
        <w:rPr>
          <w:rFonts w:ascii="Arial" w:hAnsi="Arial" w:cs="Arial"/>
        </w:rPr>
        <w:t xml:space="preserve">re-existing methylation can antagonize CTCF binding in </w:t>
      </w:r>
      <w:r>
        <w:rPr>
          <w:rFonts w:ascii="Arial" w:hAnsi="Arial" w:cs="Arial"/>
        </w:rPr>
        <w:lastRenderedPageBreak/>
        <w:t xml:space="preserve">CTCF motifs </w:t>
      </w:r>
      <w:r w:rsidR="00805AC8">
        <w:rPr>
          <w:rFonts w:ascii="Arial" w:hAnsi="Arial" w:cs="Arial"/>
        </w:rPr>
        <w:fldChar w:fldCharType="begin">
          <w:fldData xml:space="preserve">PEVuZE5vdGU+PENpdGU+PEF1dGhvcj5CZWxsPC9BdXRob3I+PFllYXI+MjAwMDwvWWVhcj48UmVj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</w:fldData>
        </w:fldChar>
      </w:r>
      <w:r w:rsidR="0055366C">
        <w:rPr>
          <w:rFonts w:ascii="Arial" w:hAnsi="Arial" w:cs="Arial"/>
        </w:rPr>
        <w:instrText xml:space="preserve"> ADDIN EN.CITE </w:instrText>
      </w:r>
      <w:r w:rsidR="0055366C">
        <w:rPr>
          <w:rFonts w:ascii="Arial" w:hAnsi="Arial" w:cs="Arial"/>
        </w:rPr>
        <w:fldChar w:fldCharType="begin">
          <w:fldData xml:space="preserve">PEVuZE5vdGU+PENpdGU+PEF1dGhvcj5CZWxsPC9BdXRob3I+PFllYXI+MjAwMDwvWWVhcj48UmVj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</w:fldData>
        </w:fldChar>
      </w:r>
      <w:r w:rsidR="0055366C">
        <w:rPr>
          <w:rFonts w:ascii="Arial" w:hAnsi="Arial" w:cs="Arial"/>
        </w:rPr>
        <w:instrText xml:space="preserve"> ADDIN EN.CITE.DATA </w:instrText>
      </w:r>
      <w:r w:rsidR="0055366C">
        <w:rPr>
          <w:rFonts w:ascii="Arial" w:hAnsi="Arial" w:cs="Arial"/>
        </w:rPr>
      </w:r>
      <w:r w:rsidR="0055366C">
        <w:rPr>
          <w:rFonts w:ascii="Arial" w:hAnsi="Arial" w:cs="Arial"/>
        </w:rPr>
        <w:fldChar w:fldCharType="end"/>
      </w:r>
      <w:r w:rsidR="00805AC8">
        <w:rPr>
          <w:rFonts w:ascii="Arial" w:hAnsi="Arial" w:cs="Arial"/>
        </w:rPr>
      </w:r>
      <w:r w:rsidR="00805AC8">
        <w:rPr>
          <w:rFonts w:ascii="Arial" w:hAnsi="Arial" w:cs="Arial"/>
        </w:rPr>
        <w:fldChar w:fldCharType="separate"/>
      </w:r>
      <w:r w:rsidR="0055366C" w:rsidRPr="0055366C">
        <w:rPr>
          <w:rFonts w:ascii="Arial" w:hAnsi="Arial" w:cs="Arial"/>
          <w:noProof/>
          <w:vertAlign w:val="superscript"/>
        </w:rPr>
        <w:t>3-5</w:t>
      </w:r>
      <w:r w:rsidR="00805AC8">
        <w:rPr>
          <w:rFonts w:ascii="Arial" w:hAnsi="Arial" w:cs="Arial"/>
        </w:rPr>
        <w:fldChar w:fldCharType="end"/>
      </w:r>
      <w:r>
        <w:rPr>
          <w:rFonts w:ascii="Arial" w:hAnsi="Arial" w:cs="Arial"/>
        </w:rPr>
        <w:t xml:space="preserve">. Therefore, we could assume that the CTCF motifs with low methylation (CpG methylation&lt;0.25) maintained as the </w:t>
      </w:r>
      <w:r w:rsidR="0010330D">
        <w:rPr>
          <w:rFonts w:ascii="Arial" w:hAnsi="Arial" w:cs="Arial"/>
        </w:rPr>
        <w:t>accessible</w:t>
      </w:r>
      <w:r>
        <w:rPr>
          <w:rFonts w:ascii="Arial" w:hAnsi="Arial" w:cs="Arial"/>
        </w:rPr>
        <w:t xml:space="preserve"> chromatins with the CTCF binding. Then the CTCF motif labeling efficiency was calculated as N</w:t>
      </w:r>
      <w:r w:rsidRPr="00302244">
        <w:rPr>
          <w:rFonts w:ascii="Arial" w:hAnsi="Arial" w:cs="Arial"/>
          <w:vertAlign w:val="subscript"/>
        </w:rPr>
        <w:t>CpGmethylation&lt;0.25&amp;GpCmethylation&gt;0.07</w:t>
      </w:r>
      <w:r>
        <w:rPr>
          <w:rFonts w:ascii="Arial" w:hAnsi="Arial" w:cs="Arial"/>
        </w:rPr>
        <w:t>/</w:t>
      </w:r>
      <w:r w:rsidRPr="00505FB2">
        <w:rPr>
          <w:rFonts w:ascii="Arial" w:hAnsi="Arial" w:cs="Arial"/>
        </w:rPr>
        <w:t>N</w:t>
      </w:r>
      <w:r w:rsidRPr="00302244">
        <w:rPr>
          <w:rFonts w:ascii="Arial" w:hAnsi="Arial" w:cs="Arial"/>
          <w:vertAlign w:val="subscript"/>
        </w:rPr>
        <w:t>GpCmethylation&lt;0.25</w:t>
      </w:r>
      <w:r w:rsidRPr="00505FB2">
        <w:rPr>
          <w:rFonts w:ascii="Arial" w:hAnsi="Arial" w:cs="Arial"/>
        </w:rPr>
        <w:t>=0.79</w:t>
      </w:r>
      <w:r>
        <w:rPr>
          <w:rFonts w:ascii="Arial" w:hAnsi="Arial" w:cs="Arial"/>
        </w:rPr>
        <w:t xml:space="preserve">. However, the highly methylated CTCF motifs might also bind the CTCF to maintain the </w:t>
      </w:r>
      <w:r w:rsidR="0010330D">
        <w:rPr>
          <w:rFonts w:ascii="Arial" w:hAnsi="Arial" w:cs="Arial"/>
        </w:rPr>
        <w:t>accessible</w:t>
      </w:r>
      <w:r>
        <w:rPr>
          <w:rFonts w:ascii="Arial" w:hAnsi="Arial" w:cs="Arial"/>
        </w:rPr>
        <w:t xml:space="preserve"> chromatin. Therefore, the in vivo labeling efficiency only could be roughly estimated. We then used the nanoNOME-seq to cross validate the labeling efficiency of SCA-seq</w:t>
      </w:r>
      <w:r w:rsidR="00BB41F1">
        <w:rPr>
          <w:rFonts w:ascii="Arial" w:hAnsi="Arial" w:cs="Arial"/>
        </w:rPr>
        <w:t xml:space="preserve"> </w:t>
      </w:r>
      <w:r>
        <w:rPr>
          <w:rFonts w:ascii="Arial" w:hAnsi="Arial" w:cs="Arial"/>
        </w:rPr>
        <w:t>(d). Both nanoNOME-seq and SCA-seq were single molecular assays. nanoNOME</w:t>
      </w:r>
      <w:r>
        <w:rPr>
          <w:rFonts w:ascii="Arial" w:hAnsi="Arial" w:cs="Arial" w:hint="eastAsia"/>
        </w:rPr>
        <w:t>-seq</w:t>
      </w:r>
      <w:r>
        <w:rPr>
          <w:rFonts w:ascii="Arial" w:hAnsi="Arial" w:cs="Arial"/>
        </w:rPr>
        <w:t xml:space="preserve"> could observe the chromatin accessibility in 2~20kb single DNA molecule. Literately, the accessibility of concatemers in SCA-seq could </w:t>
      </w:r>
      <w:r>
        <w:rPr>
          <w:rFonts w:ascii="Arial" w:hAnsi="Arial" w:cs="Arial" w:hint="eastAsia"/>
        </w:rPr>
        <w:t>fi</w:t>
      </w:r>
      <w:r>
        <w:rPr>
          <w:rFonts w:ascii="Arial" w:hAnsi="Arial" w:cs="Arial"/>
        </w:rPr>
        <w:t xml:space="preserve">nd the dedicated DNAs in nanoNOME-seq with the same accessibility on corresponding genome loci. The left panel (d) showed the number of </w:t>
      </w:r>
      <w:r w:rsidR="00F87551">
        <w:rPr>
          <w:rFonts w:ascii="Arial" w:hAnsi="Arial" w:cs="Arial"/>
        </w:rPr>
        <w:t>se</w:t>
      </w:r>
      <w:r>
        <w:rPr>
          <w:rFonts w:ascii="Arial" w:hAnsi="Arial" w:cs="Arial"/>
        </w:rPr>
        <w:t>gments in the</w:t>
      </w:r>
      <w:r w:rsidR="00295042">
        <w:rPr>
          <w:rFonts w:ascii="Arial" w:hAnsi="Arial" w:cs="Arial"/>
        </w:rPr>
        <w:t xml:space="preserve"> SCA-seq</w:t>
      </w:r>
      <w:r>
        <w:rPr>
          <w:rFonts w:ascii="Arial" w:hAnsi="Arial" w:cs="Arial"/>
        </w:rPr>
        <w:t xml:space="preserve"> concatemers. 68% </w:t>
      </w:r>
      <w:r w:rsidR="00917293">
        <w:rPr>
          <w:rFonts w:ascii="Arial" w:hAnsi="Arial" w:cs="Arial"/>
        </w:rPr>
        <w:t xml:space="preserve">of </w:t>
      </w:r>
      <w:r>
        <w:rPr>
          <w:rFonts w:ascii="Arial" w:hAnsi="Arial" w:cs="Arial"/>
        </w:rPr>
        <w:t>labeled concatemers could find the dedicated DNAs in nanoNOME-seq (</w:t>
      </w:r>
      <w:r w:rsidR="008F0137">
        <w:rPr>
          <w:rFonts w:ascii="Arial" w:hAnsi="Arial" w:cs="Arial"/>
        </w:rPr>
        <w:t>d</w:t>
      </w:r>
      <w:r>
        <w:rPr>
          <w:rFonts w:ascii="Arial" w:hAnsi="Arial" w:cs="Arial"/>
        </w:rPr>
        <w:t xml:space="preserve"> right panel). The most matched concatemers contained only </w:t>
      </w:r>
      <w:r w:rsidR="00C1536A">
        <w:rPr>
          <w:rFonts w:ascii="Arial" w:hAnsi="Arial" w:cs="Arial"/>
        </w:rPr>
        <w:t>two</w:t>
      </w:r>
      <w:r>
        <w:rPr>
          <w:rFonts w:ascii="Arial" w:hAnsi="Arial" w:cs="Arial"/>
        </w:rPr>
        <w:t xml:space="preserve"> </w:t>
      </w:r>
      <w:r w:rsidR="00C1536A">
        <w:rPr>
          <w:rFonts w:ascii="Arial" w:hAnsi="Arial" w:cs="Arial" w:hint="eastAsia"/>
        </w:rPr>
        <w:t>segments</w:t>
      </w:r>
      <w:r>
        <w:rPr>
          <w:rFonts w:ascii="Arial" w:hAnsi="Arial" w:cs="Arial" w:hint="eastAsia"/>
        </w:rPr>
        <w:t>,</w:t>
      </w:r>
      <w:r>
        <w:rPr>
          <w:rFonts w:ascii="Arial" w:hAnsi="Arial" w:cs="Arial"/>
        </w:rPr>
        <w:t xml:space="preserve"> representing the short distance interaction. The concatemers with multiple </w:t>
      </w:r>
      <w:r w:rsidR="00623E93">
        <w:rPr>
          <w:rFonts w:ascii="Arial" w:hAnsi="Arial" w:cs="Arial"/>
        </w:rPr>
        <w:t>se</w:t>
      </w:r>
      <w:r>
        <w:rPr>
          <w:rFonts w:ascii="Arial" w:hAnsi="Arial" w:cs="Arial"/>
        </w:rPr>
        <w:t>gments, representing the long-distance interaction, may b</w:t>
      </w:r>
      <w:r>
        <w:rPr>
          <w:rFonts w:ascii="Arial" w:hAnsi="Arial" w:cs="Arial" w:hint="eastAsia"/>
        </w:rPr>
        <w:t>e</w:t>
      </w:r>
      <w:r>
        <w:rPr>
          <w:rFonts w:ascii="Arial" w:hAnsi="Arial" w:cs="Arial"/>
        </w:rPr>
        <w:t xml:space="preserve"> out of the detection range with nanoNOME-seq.</w:t>
      </w:r>
    </w:p>
    <w:p w14:paraId="1A2283F1" w14:textId="77777777" w:rsidR="000E5583" w:rsidRDefault="000E5583" w:rsidP="00AA5D67">
      <w:pPr>
        <w:tabs>
          <w:tab w:val="left" w:pos="1025"/>
        </w:tabs>
        <w:spacing w:line="480" w:lineRule="auto"/>
        <w:rPr>
          <w:rFonts w:ascii="Arial" w:hAnsi="Arial" w:cs="Arial"/>
        </w:rPr>
      </w:pPr>
    </w:p>
    <w:p w14:paraId="1EB06F96" w14:textId="2282EDD1" w:rsidR="007D560F" w:rsidRDefault="00BE7D6E"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1D520600" wp14:editId="27A93C81">
            <wp:extent cx="6855460" cy="7585075"/>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855460" cy="7585075"/>
                    </a:xfrm>
                    <a:prstGeom prst="rect">
                      <a:avLst/>
                    </a:prstGeom>
                    <a:noFill/>
                    <a:ln>
                      <a:noFill/>
                    </a:ln>
                  </pic:spPr>
                </pic:pic>
              </a:graphicData>
            </a:graphic>
          </wp:inline>
        </w:drawing>
      </w:r>
    </w:p>
    <w:p w14:paraId="0E60BB3A" w14:textId="77777777" w:rsidR="002F1F57" w:rsidRDefault="002F1F57" w:rsidP="00AA5D67">
      <w:pPr>
        <w:tabs>
          <w:tab w:val="left" w:pos="1025"/>
        </w:tabs>
        <w:spacing w:line="480" w:lineRule="auto"/>
        <w:rPr>
          <w:rFonts w:ascii="Arial" w:hAnsi="Arial" w:cs="Arial"/>
        </w:rPr>
      </w:pPr>
    </w:p>
    <w:p w14:paraId="02B85D45" w14:textId="701A4379" w:rsidR="008C4845" w:rsidRDefault="00D56557" w:rsidP="00AA5D67">
      <w:pPr>
        <w:tabs>
          <w:tab w:val="left" w:pos="1025"/>
        </w:tabs>
        <w:spacing w:line="480" w:lineRule="auto"/>
        <w:rPr>
          <w:rFonts w:ascii="Arial" w:hAnsi="Arial" w:cs="Arial"/>
        </w:rPr>
      </w:pPr>
      <w:r>
        <w:rPr>
          <w:rFonts w:ascii="Arial" w:hAnsi="Arial" w:cs="Arial"/>
        </w:rPr>
        <w:t>Sfig8.</w:t>
      </w:r>
      <w:r w:rsidR="008C4845">
        <w:rPr>
          <w:rFonts w:ascii="Arial" w:hAnsi="Arial" w:cs="Arial"/>
        </w:rPr>
        <w:t xml:space="preserve"> The correlation between </w:t>
      </w:r>
      <w:r w:rsidR="005D18ED">
        <w:rPr>
          <w:rFonts w:ascii="Arial" w:hAnsi="Arial" w:cs="Arial"/>
        </w:rPr>
        <w:t xml:space="preserve">compartmental </w:t>
      </w:r>
      <w:r w:rsidR="00F80A72">
        <w:rPr>
          <w:rFonts w:ascii="Arial" w:hAnsi="Arial" w:cs="Arial"/>
        </w:rPr>
        <w:t>eigenvalue</w:t>
      </w:r>
      <w:r w:rsidR="005D18ED">
        <w:rPr>
          <w:rFonts w:ascii="Arial" w:hAnsi="Arial" w:cs="Arial"/>
        </w:rPr>
        <w:t>,</w:t>
      </w:r>
      <w:r w:rsidR="005D18ED" w:rsidRPr="005D18ED">
        <w:rPr>
          <w:rFonts w:ascii="Arial" w:hAnsi="Arial" w:cs="Arial"/>
        </w:rPr>
        <w:t xml:space="preserve"> </w:t>
      </w:r>
      <w:r w:rsidR="005D18ED">
        <w:rPr>
          <w:rFonts w:ascii="Arial" w:hAnsi="Arial" w:cs="Arial"/>
        </w:rPr>
        <w:t>RNA expression</w:t>
      </w:r>
      <w:r w:rsidR="00F80A72">
        <w:rPr>
          <w:rFonts w:ascii="Arial" w:hAnsi="Arial" w:cs="Arial"/>
        </w:rPr>
        <w:t>,</w:t>
      </w:r>
      <w:r w:rsidR="008C4845">
        <w:rPr>
          <w:rFonts w:ascii="Arial" w:hAnsi="Arial" w:cs="Arial"/>
        </w:rPr>
        <w:t xml:space="preserve"> and spatial</w:t>
      </w:r>
      <w:r w:rsidR="005D18ED">
        <w:rPr>
          <w:rFonts w:ascii="Arial" w:hAnsi="Arial" w:cs="Arial"/>
        </w:rPr>
        <w:t xml:space="preserve"> accessibility</w:t>
      </w:r>
      <w:r w:rsidR="008C4845">
        <w:rPr>
          <w:rFonts w:ascii="Arial" w:hAnsi="Arial" w:cs="Arial"/>
        </w:rPr>
        <w:t xml:space="preserve">. </w:t>
      </w:r>
      <w:r w:rsidR="001919DD">
        <w:rPr>
          <w:rFonts w:ascii="Arial" w:hAnsi="Arial" w:cs="Arial"/>
        </w:rPr>
        <w:t>(a)</w:t>
      </w:r>
      <w:r w:rsidR="008C4845">
        <w:rPr>
          <w:rFonts w:ascii="Arial" w:hAnsi="Arial" w:cs="Arial"/>
        </w:rPr>
        <w:t xml:space="preserve">We plotted the compartmental </w:t>
      </w:r>
      <w:r w:rsidR="00F80A72">
        <w:rPr>
          <w:rFonts w:ascii="Arial" w:hAnsi="Arial" w:cs="Arial"/>
        </w:rPr>
        <w:t>eigenvalues</w:t>
      </w:r>
      <w:r w:rsidR="008C4845">
        <w:rPr>
          <w:rFonts w:ascii="Arial" w:hAnsi="Arial" w:cs="Arial"/>
        </w:rPr>
        <w:t xml:space="preserve"> with the average </w:t>
      </w:r>
      <w:r w:rsidR="00BF7D41">
        <w:rPr>
          <w:rFonts w:ascii="Arial" w:hAnsi="Arial" w:cs="Arial"/>
        </w:rPr>
        <w:t xml:space="preserve">concatemer </w:t>
      </w:r>
      <w:r w:rsidR="00F80A72">
        <w:rPr>
          <w:rFonts w:ascii="Arial" w:hAnsi="Arial" w:cs="Arial"/>
        </w:rPr>
        <w:t>accessible</w:t>
      </w:r>
      <w:r w:rsidR="008C4845">
        <w:rPr>
          <w:rFonts w:ascii="Arial" w:hAnsi="Arial" w:cs="Arial"/>
        </w:rPr>
        <w:t>/</w:t>
      </w:r>
      <w:r w:rsidR="00F80A72">
        <w:rPr>
          <w:rFonts w:ascii="Arial" w:hAnsi="Arial" w:cs="Arial"/>
        </w:rPr>
        <w:t>inaccessible</w:t>
      </w:r>
      <w:r w:rsidR="008C4845">
        <w:rPr>
          <w:rFonts w:ascii="Arial" w:hAnsi="Arial" w:cs="Arial"/>
        </w:rPr>
        <w:t xml:space="preserve"> ratio</w:t>
      </w:r>
      <w:r w:rsidR="007D560F">
        <w:rPr>
          <w:rFonts w:ascii="Arial" w:hAnsi="Arial" w:cs="Arial"/>
        </w:rPr>
        <w:t xml:space="preserve"> in the compartments</w:t>
      </w:r>
      <w:r w:rsidR="00CE7F11">
        <w:rPr>
          <w:rFonts w:ascii="Arial" w:hAnsi="Arial" w:cs="Arial"/>
        </w:rPr>
        <w:t xml:space="preserve">. The </w:t>
      </w:r>
      <w:r w:rsidR="007D560F">
        <w:rPr>
          <w:rFonts w:ascii="Arial" w:hAnsi="Arial" w:cs="Arial"/>
        </w:rPr>
        <w:t xml:space="preserve">average </w:t>
      </w:r>
      <w:r w:rsidR="00CE7F11">
        <w:rPr>
          <w:rFonts w:ascii="Arial" w:hAnsi="Arial" w:cs="Arial"/>
        </w:rPr>
        <w:t xml:space="preserve">concatemer </w:t>
      </w:r>
      <w:r w:rsidR="00F80A72">
        <w:rPr>
          <w:rFonts w:ascii="Arial" w:hAnsi="Arial" w:cs="Arial"/>
        </w:rPr>
        <w:t>accessible</w:t>
      </w:r>
      <w:r w:rsidR="00CE7F11">
        <w:rPr>
          <w:rFonts w:ascii="Arial" w:hAnsi="Arial" w:cs="Arial"/>
        </w:rPr>
        <w:t>/</w:t>
      </w:r>
      <w:r w:rsidR="00F80A72">
        <w:rPr>
          <w:rFonts w:ascii="Arial" w:hAnsi="Arial" w:cs="Arial"/>
        </w:rPr>
        <w:t>inaccessible</w:t>
      </w:r>
      <w:r w:rsidR="00CE7F11">
        <w:rPr>
          <w:rFonts w:ascii="Arial" w:hAnsi="Arial" w:cs="Arial"/>
        </w:rPr>
        <w:t xml:space="preserve"> ratio is higher correlated </w:t>
      </w:r>
      <w:r w:rsidR="00CE7F11">
        <w:rPr>
          <w:rFonts w:ascii="Arial" w:hAnsi="Arial" w:cs="Arial"/>
        </w:rPr>
        <w:lastRenderedPageBreak/>
        <w:t xml:space="preserve">with the compartmental </w:t>
      </w:r>
      <w:r w:rsidR="00F80A72">
        <w:rPr>
          <w:rFonts w:ascii="Arial" w:hAnsi="Arial" w:cs="Arial"/>
        </w:rPr>
        <w:t>eigenvalue</w:t>
      </w:r>
      <w:r w:rsidR="001919DD">
        <w:rPr>
          <w:rFonts w:ascii="Arial" w:hAnsi="Arial" w:cs="Arial"/>
        </w:rPr>
        <w:t xml:space="preserve"> (</w:t>
      </w:r>
      <w:r w:rsidR="007D560F" w:rsidRPr="002B74BF">
        <w:rPr>
          <w:rFonts w:ascii="Arial" w:hAnsi="Arial" w:cs="Arial"/>
          <w:i/>
          <w:iCs/>
        </w:rPr>
        <w:t xml:space="preserve">Pearson correlation </w:t>
      </w:r>
      <w:r w:rsidR="001919DD" w:rsidRPr="002B74BF">
        <w:rPr>
          <w:rFonts w:ascii="Arial" w:hAnsi="Arial" w:cs="Arial"/>
          <w:i/>
          <w:iCs/>
        </w:rPr>
        <w:t>p&lt;2.6e-16</w:t>
      </w:r>
      <w:r w:rsidR="001919DD">
        <w:rPr>
          <w:rFonts w:ascii="Arial" w:hAnsi="Arial" w:cs="Arial"/>
        </w:rPr>
        <w:t xml:space="preserve">). The average concatemer </w:t>
      </w:r>
      <w:r w:rsidR="00F80A72">
        <w:rPr>
          <w:rFonts w:ascii="Arial" w:hAnsi="Arial" w:cs="Arial"/>
        </w:rPr>
        <w:t>accessible</w:t>
      </w:r>
      <w:r w:rsidR="001919DD">
        <w:rPr>
          <w:rFonts w:ascii="Arial" w:hAnsi="Arial" w:cs="Arial"/>
        </w:rPr>
        <w:t>/</w:t>
      </w:r>
      <w:r w:rsidR="00F80A72">
        <w:rPr>
          <w:rFonts w:ascii="Arial" w:hAnsi="Arial" w:cs="Arial"/>
        </w:rPr>
        <w:t>inaccessible</w:t>
      </w:r>
      <w:r w:rsidR="001919DD">
        <w:rPr>
          <w:rFonts w:ascii="Arial" w:hAnsi="Arial" w:cs="Arial"/>
        </w:rPr>
        <w:t xml:space="preserve"> ratio was significantly higher in </w:t>
      </w:r>
      <w:r w:rsidR="00F80A72">
        <w:rPr>
          <w:rFonts w:ascii="Arial" w:hAnsi="Arial" w:cs="Arial"/>
        </w:rPr>
        <w:t xml:space="preserve">the </w:t>
      </w:r>
      <w:r w:rsidR="001919DD">
        <w:rPr>
          <w:rFonts w:ascii="Arial" w:hAnsi="Arial" w:cs="Arial"/>
        </w:rPr>
        <w:t>A compartments</w:t>
      </w:r>
      <w:r w:rsidR="007D560F">
        <w:rPr>
          <w:rFonts w:ascii="Arial" w:hAnsi="Arial" w:cs="Arial"/>
        </w:rPr>
        <w:t xml:space="preserve"> </w:t>
      </w:r>
      <w:r w:rsidR="001919DD">
        <w:rPr>
          <w:rFonts w:ascii="Arial" w:hAnsi="Arial" w:cs="Arial"/>
        </w:rPr>
        <w:t xml:space="preserve">(positive </w:t>
      </w:r>
      <w:r w:rsidR="00F80A72">
        <w:rPr>
          <w:rFonts w:ascii="Arial" w:hAnsi="Arial" w:cs="Arial"/>
        </w:rPr>
        <w:t>eigenvalue</w:t>
      </w:r>
      <w:r w:rsidR="001919DD">
        <w:rPr>
          <w:rFonts w:ascii="Arial" w:hAnsi="Arial" w:cs="Arial"/>
        </w:rPr>
        <w:t xml:space="preserve">) than in the B compartments (negative </w:t>
      </w:r>
      <w:r w:rsidR="00F80A72">
        <w:rPr>
          <w:rFonts w:ascii="Arial" w:hAnsi="Arial" w:cs="Arial"/>
        </w:rPr>
        <w:t>eigenvalue</w:t>
      </w:r>
      <w:r w:rsidR="001919DD">
        <w:rPr>
          <w:rFonts w:ascii="Arial" w:hAnsi="Arial" w:cs="Arial"/>
        </w:rPr>
        <w:t>)</w:t>
      </w:r>
      <w:r w:rsidR="007D560F">
        <w:rPr>
          <w:rFonts w:ascii="Arial" w:hAnsi="Arial" w:cs="Arial"/>
        </w:rPr>
        <w:t xml:space="preserve"> </w:t>
      </w:r>
      <w:r w:rsidR="00CE7F11">
        <w:rPr>
          <w:rFonts w:ascii="Arial" w:hAnsi="Arial" w:cs="Arial"/>
        </w:rPr>
        <w:t>(</w:t>
      </w:r>
      <w:r w:rsidR="00CE7F11" w:rsidRPr="009847E6">
        <w:rPr>
          <w:rFonts w:ascii="Arial" w:hAnsi="Arial" w:cs="Arial"/>
          <w:i/>
          <w:iCs/>
        </w:rPr>
        <w:t>p&lt;2.6e-16</w:t>
      </w:r>
      <w:r w:rsidR="007D560F" w:rsidRPr="009847E6">
        <w:rPr>
          <w:rFonts w:ascii="Arial" w:hAnsi="Arial" w:cs="Arial"/>
          <w:i/>
          <w:iCs/>
        </w:rPr>
        <w:t>, student t-test</w:t>
      </w:r>
      <w:r w:rsidR="00CE7F11">
        <w:rPr>
          <w:rFonts w:ascii="Arial" w:hAnsi="Arial" w:cs="Arial"/>
        </w:rPr>
        <w:t>)</w:t>
      </w:r>
      <w:r w:rsidR="001919DD">
        <w:rPr>
          <w:rFonts w:ascii="Arial" w:hAnsi="Arial" w:cs="Arial"/>
        </w:rPr>
        <w:t xml:space="preserve">. (b)In </w:t>
      </w:r>
      <w:r w:rsidR="00F80A72">
        <w:rPr>
          <w:rFonts w:ascii="Arial" w:hAnsi="Arial" w:cs="Arial"/>
        </w:rPr>
        <w:t>a</w:t>
      </w:r>
      <w:r w:rsidR="001919DD">
        <w:rPr>
          <w:rFonts w:ascii="Arial" w:hAnsi="Arial" w:cs="Arial"/>
        </w:rPr>
        <w:t xml:space="preserve"> similar way, we plotted the compartmental </w:t>
      </w:r>
      <w:r w:rsidR="00F80A72">
        <w:rPr>
          <w:rFonts w:ascii="Arial" w:hAnsi="Arial" w:cs="Arial"/>
        </w:rPr>
        <w:t>eigenvalues</w:t>
      </w:r>
      <w:r w:rsidR="001919DD">
        <w:rPr>
          <w:rFonts w:ascii="Arial" w:hAnsi="Arial" w:cs="Arial"/>
        </w:rPr>
        <w:t xml:space="preserve"> with the labeled GpC methylations. </w:t>
      </w:r>
      <w:r w:rsidR="00CE7F11">
        <w:rPr>
          <w:rFonts w:ascii="Arial" w:hAnsi="Arial" w:cs="Arial"/>
        </w:rPr>
        <w:t xml:space="preserve">The labeled GpC methylations were </w:t>
      </w:r>
      <w:r w:rsidR="00F80A72">
        <w:rPr>
          <w:rFonts w:ascii="Arial" w:hAnsi="Arial" w:cs="Arial"/>
        </w:rPr>
        <w:t>highly</w:t>
      </w:r>
      <w:r w:rsidR="00CE7F11">
        <w:rPr>
          <w:rFonts w:ascii="Arial" w:hAnsi="Arial" w:cs="Arial"/>
        </w:rPr>
        <w:t xml:space="preserve"> correlated with the compartmental </w:t>
      </w:r>
      <w:r w:rsidR="00F80A72">
        <w:rPr>
          <w:rFonts w:ascii="Arial" w:hAnsi="Arial" w:cs="Arial"/>
        </w:rPr>
        <w:t>eigenvalue</w:t>
      </w:r>
      <w:r w:rsidR="00CE7F11">
        <w:rPr>
          <w:rFonts w:ascii="Arial" w:hAnsi="Arial" w:cs="Arial"/>
        </w:rPr>
        <w:t xml:space="preserve"> (</w:t>
      </w:r>
      <w:r w:rsidR="007D560F" w:rsidRPr="004F38DE">
        <w:rPr>
          <w:rFonts w:ascii="Arial" w:hAnsi="Arial" w:cs="Arial"/>
          <w:i/>
          <w:iCs/>
        </w:rPr>
        <w:t>Pearson correlation</w:t>
      </w:r>
      <w:r w:rsidR="00CE7F11" w:rsidRPr="004F38DE">
        <w:rPr>
          <w:rFonts w:ascii="Arial" w:hAnsi="Arial" w:cs="Arial"/>
          <w:i/>
          <w:iCs/>
        </w:rPr>
        <w:t xml:space="preserve"> p&lt;2.6e-16</w:t>
      </w:r>
      <w:r w:rsidR="00CE7F11">
        <w:rPr>
          <w:rFonts w:ascii="Arial" w:hAnsi="Arial" w:cs="Arial"/>
        </w:rPr>
        <w:t xml:space="preserve">). </w:t>
      </w:r>
      <w:r w:rsidR="001919DD">
        <w:rPr>
          <w:rFonts w:ascii="Arial" w:hAnsi="Arial" w:cs="Arial"/>
        </w:rPr>
        <w:t>The labeled GpC methylations were significantly</w:t>
      </w:r>
      <w:r w:rsidR="00CE7F11">
        <w:rPr>
          <w:rFonts w:ascii="Arial" w:hAnsi="Arial" w:cs="Arial"/>
        </w:rPr>
        <w:t xml:space="preserve"> more </w:t>
      </w:r>
      <w:r w:rsidR="00F20726">
        <w:rPr>
          <w:rFonts w:ascii="Arial" w:hAnsi="Arial" w:cs="Arial"/>
        </w:rPr>
        <w:t>abundant</w:t>
      </w:r>
      <w:r w:rsidR="001919DD">
        <w:rPr>
          <w:rFonts w:ascii="Arial" w:hAnsi="Arial" w:cs="Arial"/>
        </w:rPr>
        <w:t xml:space="preserve"> in </w:t>
      </w:r>
      <w:r w:rsidR="00F80A72">
        <w:rPr>
          <w:rFonts w:ascii="Arial" w:hAnsi="Arial" w:cs="Arial"/>
        </w:rPr>
        <w:t xml:space="preserve">the </w:t>
      </w:r>
      <w:r w:rsidR="001919DD">
        <w:rPr>
          <w:rFonts w:ascii="Arial" w:hAnsi="Arial" w:cs="Arial"/>
        </w:rPr>
        <w:t xml:space="preserve">A compartments (positive </w:t>
      </w:r>
      <w:r w:rsidR="00F80A72">
        <w:rPr>
          <w:rFonts w:ascii="Arial" w:hAnsi="Arial" w:cs="Arial"/>
        </w:rPr>
        <w:t>eigenvalue</w:t>
      </w:r>
      <w:r w:rsidR="001919DD">
        <w:rPr>
          <w:rFonts w:ascii="Arial" w:hAnsi="Arial" w:cs="Arial"/>
        </w:rPr>
        <w:t xml:space="preserve">) than in the B compartments (negative </w:t>
      </w:r>
      <w:r w:rsidR="00F80A72">
        <w:rPr>
          <w:rFonts w:ascii="Arial" w:hAnsi="Arial" w:cs="Arial"/>
        </w:rPr>
        <w:t>eigenvalue</w:t>
      </w:r>
      <w:r w:rsidR="001919DD">
        <w:rPr>
          <w:rFonts w:ascii="Arial" w:hAnsi="Arial" w:cs="Arial"/>
        </w:rPr>
        <w:t>)</w:t>
      </w:r>
      <w:r w:rsidR="007D560F">
        <w:rPr>
          <w:rFonts w:ascii="Arial" w:hAnsi="Arial" w:cs="Arial"/>
        </w:rPr>
        <w:t xml:space="preserve"> </w:t>
      </w:r>
      <w:r w:rsidR="00CE7F11">
        <w:rPr>
          <w:rFonts w:ascii="Arial" w:hAnsi="Arial" w:cs="Arial"/>
        </w:rPr>
        <w:t>(</w:t>
      </w:r>
      <w:r w:rsidR="00CE7F11" w:rsidRPr="00CE7F11">
        <w:rPr>
          <w:rFonts w:ascii="Arial" w:hAnsi="Arial" w:cs="Arial"/>
          <w:i/>
          <w:iCs/>
        </w:rPr>
        <w:t xml:space="preserve"> </w:t>
      </w:r>
      <w:r w:rsidR="00CE7F11" w:rsidRPr="009847E6">
        <w:rPr>
          <w:rFonts w:ascii="Arial" w:hAnsi="Arial" w:cs="Arial"/>
          <w:i/>
          <w:iCs/>
        </w:rPr>
        <w:t>p&lt;2.6e-16</w:t>
      </w:r>
      <w:r w:rsidR="007D560F" w:rsidRPr="009847E6">
        <w:rPr>
          <w:rFonts w:ascii="Arial" w:hAnsi="Arial" w:cs="Arial"/>
          <w:i/>
          <w:iCs/>
        </w:rPr>
        <w:t>, student t-test</w:t>
      </w:r>
      <w:r w:rsidR="00CE7F11">
        <w:rPr>
          <w:rFonts w:ascii="Arial" w:hAnsi="Arial" w:cs="Arial"/>
        </w:rPr>
        <w:t>).</w:t>
      </w:r>
      <w:r w:rsidR="00E363A4">
        <w:rPr>
          <w:rFonts w:ascii="Arial" w:hAnsi="Arial" w:cs="Arial"/>
        </w:rPr>
        <w:t xml:space="preserve"> </w:t>
      </w:r>
      <w:r w:rsidR="005D18ED">
        <w:rPr>
          <w:rFonts w:ascii="Arial" w:hAnsi="Arial" w:cs="Arial"/>
        </w:rPr>
        <w:t>(</w:t>
      </w:r>
      <w:r w:rsidR="00971252">
        <w:rPr>
          <w:rFonts w:ascii="Arial" w:hAnsi="Arial" w:cs="Arial"/>
        </w:rPr>
        <w:t>c</w:t>
      </w:r>
      <w:r w:rsidR="005D18ED">
        <w:rPr>
          <w:rFonts w:ascii="Arial" w:hAnsi="Arial" w:cs="Arial"/>
        </w:rPr>
        <w:t xml:space="preserve">) </w:t>
      </w:r>
      <w:r w:rsidR="00E363A4">
        <w:rPr>
          <w:rFonts w:ascii="Arial" w:hAnsi="Arial" w:cs="Arial"/>
        </w:rPr>
        <w:t>For enhancer/promoter accessibility contacts in Fig4d, we summarize</w:t>
      </w:r>
      <w:r w:rsidR="007E0E2E">
        <w:rPr>
          <w:rFonts w:ascii="Arial" w:hAnsi="Arial" w:cs="Arial"/>
        </w:rPr>
        <w:t>d</w:t>
      </w:r>
      <w:r w:rsidR="00E363A4">
        <w:rPr>
          <w:rFonts w:ascii="Arial" w:hAnsi="Arial" w:cs="Arial"/>
        </w:rPr>
        <w:t xml:space="preserve"> the mean</w:t>
      </w:r>
      <w:r w:rsidR="007D560F">
        <w:rPr>
          <w:rFonts w:ascii="Arial" w:hAnsi="Arial" w:cs="Arial"/>
        </w:rPr>
        <w:t xml:space="preserve"> contactable accessibility on the promoters</w:t>
      </w:r>
      <w:r w:rsidR="0022620B">
        <w:rPr>
          <w:rFonts w:ascii="Arial" w:hAnsi="Arial" w:cs="Arial"/>
        </w:rPr>
        <w:t>/enhancers</w:t>
      </w:r>
      <w:r w:rsidR="007D560F">
        <w:rPr>
          <w:rFonts w:ascii="Arial" w:hAnsi="Arial" w:cs="Arial"/>
        </w:rPr>
        <w:t xml:space="preserve"> (</w:t>
      </w:r>
      <w:r w:rsidR="0022620B">
        <w:rPr>
          <w:rFonts w:ascii="Arial" w:hAnsi="Arial" w:cs="Arial"/>
        </w:rPr>
        <w:t>inaccessible</w:t>
      </w:r>
      <w:r w:rsidR="007D560F">
        <w:rPr>
          <w:rFonts w:ascii="Arial" w:hAnsi="Arial" w:cs="Arial"/>
        </w:rPr>
        <w:t>/</w:t>
      </w:r>
      <w:r w:rsidR="0022620B">
        <w:rPr>
          <w:rFonts w:ascii="Arial" w:hAnsi="Arial" w:cs="Arial"/>
        </w:rPr>
        <w:t>inaccessible</w:t>
      </w:r>
      <w:r w:rsidR="007D560F">
        <w:rPr>
          <w:rFonts w:ascii="Arial" w:hAnsi="Arial" w:cs="Arial"/>
        </w:rPr>
        <w:t xml:space="preserve"> 0, </w:t>
      </w:r>
      <w:r w:rsidR="0022620B">
        <w:rPr>
          <w:rFonts w:ascii="Arial" w:hAnsi="Arial" w:cs="Arial"/>
        </w:rPr>
        <w:t>inaccessible</w:t>
      </w:r>
      <w:r w:rsidR="007D560F">
        <w:rPr>
          <w:rFonts w:ascii="Arial" w:hAnsi="Arial" w:cs="Arial"/>
        </w:rPr>
        <w:t>/</w:t>
      </w:r>
      <w:r w:rsidR="0022620B">
        <w:rPr>
          <w:rFonts w:ascii="Arial" w:hAnsi="Arial" w:cs="Arial"/>
        </w:rPr>
        <w:t>accessible</w:t>
      </w:r>
      <w:r w:rsidR="007D560F">
        <w:rPr>
          <w:rFonts w:ascii="Arial" w:hAnsi="Arial" w:cs="Arial"/>
        </w:rPr>
        <w:t xml:space="preserve"> 1, </w:t>
      </w:r>
      <w:r w:rsidR="0022620B">
        <w:rPr>
          <w:rFonts w:ascii="Arial" w:hAnsi="Arial" w:cs="Arial"/>
        </w:rPr>
        <w:t>accessible</w:t>
      </w:r>
      <w:r w:rsidR="007D560F">
        <w:rPr>
          <w:rFonts w:ascii="Arial" w:hAnsi="Arial" w:cs="Arial"/>
        </w:rPr>
        <w:t>/</w:t>
      </w:r>
      <w:r w:rsidR="0022620B">
        <w:rPr>
          <w:rFonts w:ascii="Arial" w:hAnsi="Arial" w:cs="Arial"/>
        </w:rPr>
        <w:t>accessible</w:t>
      </w:r>
      <w:r w:rsidR="007D560F">
        <w:rPr>
          <w:rFonts w:ascii="Arial" w:hAnsi="Arial" w:cs="Arial"/>
        </w:rPr>
        <w:t xml:space="preserve"> 2). The mean contactable accessibilities on promoters were highly correlated with their gene expression (</w:t>
      </w:r>
      <w:r w:rsidR="007D560F" w:rsidRPr="004F38DE">
        <w:rPr>
          <w:rFonts w:ascii="Arial" w:hAnsi="Arial" w:cs="Arial"/>
          <w:i/>
          <w:iCs/>
        </w:rPr>
        <w:t>Pearson correlation p&lt;2.6e-16</w:t>
      </w:r>
      <w:r w:rsidR="007D560F">
        <w:rPr>
          <w:rFonts w:ascii="Arial" w:hAnsi="Arial" w:cs="Arial"/>
        </w:rPr>
        <w:t xml:space="preserve">). </w:t>
      </w:r>
      <w:r w:rsidR="005D18ED">
        <w:rPr>
          <w:rFonts w:ascii="Arial" w:hAnsi="Arial" w:cs="Arial"/>
        </w:rPr>
        <w:t>(d)</w:t>
      </w:r>
      <w:r w:rsidR="007D560F">
        <w:rPr>
          <w:rFonts w:ascii="Arial" w:hAnsi="Arial" w:cs="Arial"/>
        </w:rPr>
        <w:t xml:space="preserve">Similarly, we summarized the mean </w:t>
      </w:r>
      <w:r w:rsidR="007E0E2E">
        <w:rPr>
          <w:rFonts w:ascii="Arial" w:hAnsi="Arial" w:cs="Arial"/>
        </w:rPr>
        <w:t xml:space="preserve">GpC methylation </w:t>
      </w:r>
      <w:r w:rsidR="007D560F">
        <w:rPr>
          <w:rFonts w:ascii="Arial" w:hAnsi="Arial" w:cs="Arial"/>
        </w:rPr>
        <w:t>ratio on the concatemers with the promoter</w:t>
      </w:r>
      <w:r w:rsidR="00BC2A0F">
        <w:rPr>
          <w:rFonts w:ascii="Arial" w:hAnsi="Arial" w:cs="Arial"/>
        </w:rPr>
        <w:t>s/</w:t>
      </w:r>
      <w:r w:rsidR="007E0E2E">
        <w:rPr>
          <w:rFonts w:ascii="Arial" w:hAnsi="Arial" w:cs="Arial"/>
        </w:rPr>
        <w:t>enhancer’s</w:t>
      </w:r>
      <w:r w:rsidR="007D560F">
        <w:rPr>
          <w:rFonts w:ascii="Arial" w:hAnsi="Arial" w:cs="Arial"/>
        </w:rPr>
        <w:t xml:space="preserve"> regions. The</w:t>
      </w:r>
      <w:r w:rsidR="005D18ED">
        <w:rPr>
          <w:rFonts w:ascii="Arial" w:hAnsi="Arial" w:cs="Arial"/>
        </w:rPr>
        <w:t xml:space="preserve">n average concatemer </w:t>
      </w:r>
      <w:r w:rsidR="007E0E2E">
        <w:rPr>
          <w:rFonts w:ascii="Arial" w:hAnsi="Arial" w:cs="Arial"/>
        </w:rPr>
        <w:t xml:space="preserve">GpC methylation </w:t>
      </w:r>
      <w:r w:rsidR="005D18ED">
        <w:rPr>
          <w:rFonts w:ascii="Arial" w:hAnsi="Arial" w:cs="Arial"/>
        </w:rPr>
        <w:t>ratios on promoters</w:t>
      </w:r>
      <w:r w:rsidR="007E0E2E">
        <w:rPr>
          <w:rFonts w:ascii="Arial" w:hAnsi="Arial" w:cs="Arial"/>
        </w:rPr>
        <w:t>/enhancers</w:t>
      </w:r>
      <w:r w:rsidR="005D18ED">
        <w:rPr>
          <w:rFonts w:ascii="Arial" w:hAnsi="Arial" w:cs="Arial"/>
        </w:rPr>
        <w:t xml:space="preserve"> were significantly correlated with gene expression (</w:t>
      </w:r>
      <w:r w:rsidR="005D18ED" w:rsidRPr="004F38DE">
        <w:rPr>
          <w:rFonts w:ascii="Arial" w:hAnsi="Arial" w:cs="Arial"/>
          <w:i/>
          <w:iCs/>
        </w:rPr>
        <w:t>Pearson correlation p&lt;2.6e-16</w:t>
      </w:r>
      <w:r w:rsidR="005D18ED">
        <w:rPr>
          <w:rFonts w:ascii="Arial" w:hAnsi="Arial" w:cs="Arial"/>
        </w:rPr>
        <w:t>).</w:t>
      </w:r>
      <w:r w:rsidR="00F80A72">
        <w:rPr>
          <w:rFonts w:ascii="Arial" w:hAnsi="Arial" w:cs="Arial"/>
        </w:rPr>
        <w:t xml:space="preserve"> </w:t>
      </w:r>
      <w:r w:rsidR="002F1F57">
        <w:rPr>
          <w:rFonts w:ascii="Arial" w:hAnsi="Arial" w:cs="Arial"/>
        </w:rPr>
        <w:t xml:space="preserve">(e) The </w:t>
      </w:r>
      <w:r w:rsidR="007E0E2E">
        <w:rPr>
          <w:rFonts w:ascii="Arial" w:hAnsi="Arial" w:cs="Arial"/>
        </w:rPr>
        <w:t>accessible</w:t>
      </w:r>
      <w:r w:rsidR="002F1F57">
        <w:rPr>
          <w:rFonts w:ascii="Arial" w:hAnsi="Arial" w:cs="Arial"/>
        </w:rPr>
        <w:t>/</w:t>
      </w:r>
      <w:r w:rsidR="007E0E2E">
        <w:rPr>
          <w:rFonts w:ascii="Arial" w:hAnsi="Arial" w:cs="Arial"/>
        </w:rPr>
        <w:t>inaccessible</w:t>
      </w:r>
      <w:r w:rsidR="002F1F57">
        <w:rPr>
          <w:rFonts w:ascii="Arial" w:hAnsi="Arial" w:cs="Arial"/>
        </w:rPr>
        <w:t xml:space="preserve"> ratios of concatemers were positively correlated with the </w:t>
      </w:r>
      <w:r w:rsidR="00380078">
        <w:rPr>
          <w:rFonts w:ascii="Arial" w:hAnsi="Arial" w:cs="Arial"/>
        </w:rPr>
        <w:t>cardinality</w:t>
      </w:r>
      <w:r w:rsidR="002F1F57">
        <w:rPr>
          <w:rFonts w:ascii="Arial" w:hAnsi="Arial" w:cs="Arial"/>
        </w:rPr>
        <w:t xml:space="preserve"> (</w:t>
      </w:r>
      <w:r w:rsidR="002F1F57" w:rsidRPr="004F38DE">
        <w:rPr>
          <w:rFonts w:ascii="Arial" w:hAnsi="Arial" w:cs="Arial"/>
          <w:i/>
          <w:iCs/>
        </w:rPr>
        <w:t>Pearson correlation p=0.0008</w:t>
      </w:r>
      <w:r w:rsidR="002F1F57">
        <w:rPr>
          <w:rFonts w:ascii="Arial" w:hAnsi="Arial" w:cs="Arial"/>
        </w:rPr>
        <w:t>). In the Sfig6bc, we found the high order concatemers indicated the long-distance interactions.</w:t>
      </w:r>
    </w:p>
    <w:p w14:paraId="21967DA9" w14:textId="255F79C3" w:rsidR="00E10578" w:rsidRPr="002F1F57" w:rsidRDefault="00E10578" w:rsidP="00AA5D67">
      <w:pPr>
        <w:tabs>
          <w:tab w:val="left" w:pos="1025"/>
        </w:tabs>
        <w:spacing w:line="480" w:lineRule="auto"/>
        <w:rPr>
          <w:rFonts w:ascii="Arial" w:hAnsi="Arial" w:cs="Arial"/>
        </w:rPr>
      </w:pPr>
    </w:p>
    <w:p w14:paraId="5ACEFE9C" w14:textId="520A9F88" w:rsidR="00E10578" w:rsidRDefault="00E10578" w:rsidP="00AA5D67">
      <w:pPr>
        <w:tabs>
          <w:tab w:val="left" w:pos="1025"/>
        </w:tabs>
        <w:spacing w:line="480" w:lineRule="auto"/>
        <w:rPr>
          <w:rFonts w:ascii="Arial" w:hAnsi="Arial" w:cs="Arial"/>
        </w:rPr>
      </w:pPr>
    </w:p>
    <w:p w14:paraId="7C96FDB8" w14:textId="47906977" w:rsidR="00E10578" w:rsidRDefault="00E10578" w:rsidP="00AA5D67">
      <w:pPr>
        <w:tabs>
          <w:tab w:val="left" w:pos="1025"/>
        </w:tabs>
        <w:spacing w:line="480" w:lineRule="auto"/>
        <w:rPr>
          <w:rFonts w:ascii="Arial" w:hAnsi="Arial" w:cs="Arial"/>
        </w:rPr>
      </w:pPr>
    </w:p>
    <w:p w14:paraId="0A2ACA2F" w14:textId="269B1949" w:rsidR="00E10578" w:rsidRDefault="00E10578" w:rsidP="00AA5D67">
      <w:pPr>
        <w:tabs>
          <w:tab w:val="left" w:pos="1025"/>
        </w:tabs>
        <w:spacing w:line="480" w:lineRule="auto"/>
        <w:rPr>
          <w:rFonts w:ascii="Arial" w:hAnsi="Arial" w:cs="Arial"/>
        </w:rPr>
      </w:pPr>
    </w:p>
    <w:p w14:paraId="2725BF71" w14:textId="6E2E152F" w:rsidR="00E10578" w:rsidRDefault="00E10578" w:rsidP="00AA5D67">
      <w:pPr>
        <w:tabs>
          <w:tab w:val="left" w:pos="1025"/>
        </w:tabs>
        <w:spacing w:line="480" w:lineRule="auto"/>
        <w:rPr>
          <w:rFonts w:ascii="Arial" w:hAnsi="Arial" w:cs="Arial"/>
        </w:rPr>
      </w:pPr>
    </w:p>
    <w:p w14:paraId="78EFA2AF" w14:textId="77777777" w:rsidR="00E10578" w:rsidRDefault="00E10578" w:rsidP="00AA5D67">
      <w:pPr>
        <w:tabs>
          <w:tab w:val="left" w:pos="1025"/>
        </w:tabs>
        <w:spacing w:line="480" w:lineRule="auto"/>
        <w:rPr>
          <w:rFonts w:ascii="Arial" w:hAnsi="Arial" w:cs="Arial"/>
        </w:rPr>
      </w:pPr>
    </w:p>
    <w:p w14:paraId="735573AA" w14:textId="3043405D" w:rsidR="00E10578" w:rsidRDefault="00E10578" w:rsidP="00AA5D67">
      <w:pPr>
        <w:tabs>
          <w:tab w:val="left" w:pos="1025"/>
        </w:tabs>
        <w:spacing w:line="480" w:lineRule="auto"/>
        <w:rPr>
          <w:rFonts w:ascii="Arial" w:hAnsi="Arial" w:cs="Arial"/>
        </w:rPr>
      </w:pPr>
    </w:p>
    <w:p w14:paraId="1F08F027" w14:textId="2F6EE617" w:rsidR="00E10578" w:rsidRDefault="00BE7D6E"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22A795CE" wp14:editId="38DA72B2">
            <wp:extent cx="6850380" cy="6644005"/>
            <wp:effectExtent l="0" t="0" r="7620" b="444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850380" cy="6644005"/>
                    </a:xfrm>
                    <a:prstGeom prst="rect">
                      <a:avLst/>
                    </a:prstGeom>
                    <a:noFill/>
                    <a:ln>
                      <a:noFill/>
                    </a:ln>
                  </pic:spPr>
                </pic:pic>
              </a:graphicData>
            </a:graphic>
          </wp:inline>
        </w:drawing>
      </w:r>
    </w:p>
    <w:p w14:paraId="5B4BB4EE" w14:textId="4A960610" w:rsidR="00193FD7" w:rsidRPr="00634E85" w:rsidRDefault="00E10578" w:rsidP="00AA5D67">
      <w:pPr>
        <w:tabs>
          <w:tab w:val="left" w:pos="1025"/>
        </w:tabs>
        <w:spacing w:line="480" w:lineRule="auto"/>
        <w:rPr>
          <w:rFonts w:ascii="Arial" w:hAnsi="Arial" w:cs="Arial"/>
        </w:rPr>
      </w:pPr>
      <w:r>
        <w:rPr>
          <w:rFonts w:ascii="Arial" w:hAnsi="Arial" w:cs="Arial"/>
        </w:rPr>
        <w:t>Sfig9.</w:t>
      </w:r>
      <w:r w:rsidR="00634E85">
        <w:rPr>
          <w:rFonts w:ascii="Arial" w:hAnsi="Arial" w:cs="Arial"/>
        </w:rPr>
        <w:t xml:space="preserve"> </w:t>
      </w:r>
      <w:r w:rsidR="00634E85">
        <w:rPr>
          <w:rFonts w:ascii="Arial" w:hAnsi="Arial" w:cs="Arial" w:hint="eastAsia"/>
        </w:rPr>
        <w:t>C</w:t>
      </w:r>
      <w:r w:rsidR="00634E85">
        <w:rPr>
          <w:rFonts w:ascii="Arial" w:hAnsi="Arial" w:cs="Arial"/>
        </w:rPr>
        <w:t xml:space="preserve">ompare the genome architecture between WT and </w:t>
      </w:r>
      <w:r w:rsidR="004D2631" w:rsidRPr="00F621A8">
        <w:rPr>
          <w:rFonts w:ascii="Arial" w:hAnsi="Arial" w:cs="Arial"/>
          <w:i/>
          <w:iCs/>
        </w:rPr>
        <w:t>CTCF</w:t>
      </w:r>
      <w:r w:rsidR="004D2631" w:rsidRPr="00F621A8">
        <w:rPr>
          <w:rFonts w:ascii="Arial" w:hAnsi="Arial" w:cs="Arial"/>
          <w:vertAlign w:val="superscript"/>
        </w:rPr>
        <w:t>+/-</w:t>
      </w:r>
      <w:r w:rsidR="00634E85">
        <w:rPr>
          <w:rFonts w:ascii="Arial" w:hAnsi="Arial" w:cs="Arial"/>
        </w:rPr>
        <w:t xml:space="preserve">. </w:t>
      </w:r>
      <w:r w:rsidR="00634E85" w:rsidRPr="00634E85">
        <w:rPr>
          <w:rFonts w:ascii="Arial" w:hAnsi="Arial" w:cs="Arial"/>
        </w:rPr>
        <w:t xml:space="preserve">(a)Comparison of 1.11 M virtual pairwise contacts (lower triangle) of SCA-seq hek293T wild type (WT) and 1.16 M virtual pairwise contacts (upper triangle) of SCA-seq hek293T CTCF </w:t>
      </w:r>
      <w:r w:rsidR="00E800E7">
        <w:rPr>
          <w:rFonts w:ascii="Arial" w:hAnsi="Arial" w:cs="Arial"/>
        </w:rPr>
        <w:t xml:space="preserve">allele specific </w:t>
      </w:r>
      <w:r w:rsidR="00634E85" w:rsidRPr="00634E85">
        <w:rPr>
          <w:rFonts w:ascii="Arial" w:hAnsi="Arial" w:cs="Arial"/>
        </w:rPr>
        <w:t>knockout (</w:t>
      </w:r>
      <w:r w:rsidR="000216B4" w:rsidRPr="00F621A8">
        <w:rPr>
          <w:rFonts w:ascii="Arial" w:hAnsi="Arial" w:cs="Arial"/>
          <w:i/>
          <w:iCs/>
        </w:rPr>
        <w:t>CTCF</w:t>
      </w:r>
      <w:r w:rsidR="000216B4" w:rsidRPr="00F621A8">
        <w:rPr>
          <w:rFonts w:ascii="Arial" w:hAnsi="Arial" w:cs="Arial"/>
          <w:vertAlign w:val="superscript"/>
        </w:rPr>
        <w:t>+/-</w:t>
      </w:r>
      <w:r w:rsidR="00634E85" w:rsidRPr="00634E85">
        <w:rPr>
          <w:rFonts w:ascii="Arial" w:hAnsi="Arial" w:cs="Arial"/>
        </w:rPr>
        <w:t xml:space="preserve">) for chromosome 1-22 and X (hg19). (b) Contact frequency (y-axis) as a function of linear genomic distance (x-axis) was plotted across all hg19 chromosomes for WT (solid line) and </w:t>
      </w:r>
      <w:r w:rsidR="000216B4" w:rsidRPr="00F621A8">
        <w:rPr>
          <w:rFonts w:ascii="Arial" w:hAnsi="Arial" w:cs="Arial"/>
          <w:i/>
          <w:iCs/>
        </w:rPr>
        <w:t>CTCF</w:t>
      </w:r>
      <w:r w:rsidR="000216B4" w:rsidRPr="00F621A8">
        <w:rPr>
          <w:rFonts w:ascii="Arial" w:hAnsi="Arial" w:cs="Arial"/>
          <w:vertAlign w:val="superscript"/>
        </w:rPr>
        <w:t>+/-</w:t>
      </w:r>
      <w:r w:rsidR="00634E85" w:rsidRPr="00634E85">
        <w:rPr>
          <w:rFonts w:ascii="Arial" w:hAnsi="Arial" w:cs="Arial"/>
        </w:rPr>
        <w:t xml:space="preserve"> (dashed line). (c) and (e) Comparison of WT and </w:t>
      </w:r>
      <w:r w:rsidR="004A63FF" w:rsidRPr="00F621A8">
        <w:rPr>
          <w:rFonts w:ascii="Arial" w:hAnsi="Arial" w:cs="Arial"/>
          <w:i/>
          <w:iCs/>
        </w:rPr>
        <w:t>CTCF</w:t>
      </w:r>
      <w:r w:rsidR="004A63FF" w:rsidRPr="00F621A8">
        <w:rPr>
          <w:rFonts w:ascii="Arial" w:hAnsi="Arial" w:cs="Arial"/>
          <w:vertAlign w:val="superscript"/>
        </w:rPr>
        <w:t>+/-</w:t>
      </w:r>
      <w:r w:rsidR="00634E85" w:rsidRPr="00634E85">
        <w:rPr>
          <w:rFonts w:ascii="Arial" w:hAnsi="Arial" w:cs="Arial"/>
        </w:rPr>
        <w:t xml:space="preserve"> (c) 250 kb and (e) 25 kb contact maps for chromosome 7. Color key: log normalized read counts. (d) and (f) Scatterplots comparing (d) </w:t>
      </w:r>
      <w:r w:rsidR="00634E85" w:rsidRPr="00634E85">
        <w:rPr>
          <w:rFonts w:ascii="Arial" w:hAnsi="Arial" w:cs="Arial"/>
        </w:rPr>
        <w:lastRenderedPageBreak/>
        <w:t xml:space="preserve">eigenvector and (f) insulation score between WT and </w:t>
      </w:r>
      <w:r w:rsidR="004A63FF" w:rsidRPr="00F621A8">
        <w:rPr>
          <w:rFonts w:ascii="Arial" w:hAnsi="Arial" w:cs="Arial"/>
          <w:i/>
          <w:iCs/>
        </w:rPr>
        <w:t>CTCF</w:t>
      </w:r>
      <w:r w:rsidR="004A63FF" w:rsidRPr="00F621A8">
        <w:rPr>
          <w:rFonts w:ascii="Arial" w:hAnsi="Arial" w:cs="Arial"/>
          <w:vertAlign w:val="superscript"/>
        </w:rPr>
        <w:t>+/-</w:t>
      </w:r>
      <w:r w:rsidR="00634E85" w:rsidRPr="00634E85">
        <w:rPr>
          <w:rFonts w:ascii="Arial" w:hAnsi="Arial" w:cs="Arial"/>
        </w:rPr>
        <w:t>. PCC: Pearson correlation coefficient. (g) Contact map showing an example of CTCF peaks at 10kb resolution with loop anchor signal indicated in the black circle. Color key: log normalized read counts. (h) Aggregate peak analysis (APA) showing the visual correspondence of enrichment pattern between Hi-C and SCA within 100kb of loop anchors at 10kb resolution. Color key: sum of contacts detected across the entire loop sets at CTCF ChIP-seq peaks in a coordinate system centered around each loop anchor.</w:t>
      </w:r>
    </w:p>
    <w:p w14:paraId="398DB3C9" w14:textId="5A250EE4" w:rsidR="00193FD7" w:rsidRDefault="00BE7D6E"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28D70470" wp14:editId="2D095595">
            <wp:extent cx="6020435" cy="8895715"/>
            <wp:effectExtent l="0" t="0" r="0" b="63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20435" cy="8895715"/>
                    </a:xfrm>
                    <a:prstGeom prst="rect">
                      <a:avLst/>
                    </a:prstGeom>
                    <a:noFill/>
                    <a:ln>
                      <a:noFill/>
                    </a:ln>
                  </pic:spPr>
                </pic:pic>
              </a:graphicData>
            </a:graphic>
          </wp:inline>
        </w:drawing>
      </w:r>
    </w:p>
    <w:p w14:paraId="1130FAC8" w14:textId="05A3C0D7" w:rsidR="00193FD7" w:rsidRDefault="00193FD7" w:rsidP="00AA5D67">
      <w:pPr>
        <w:tabs>
          <w:tab w:val="left" w:pos="1025"/>
        </w:tabs>
        <w:spacing w:line="480" w:lineRule="auto"/>
        <w:rPr>
          <w:rFonts w:ascii="Arial" w:hAnsi="Arial" w:cs="Arial"/>
        </w:rPr>
      </w:pPr>
      <w:r>
        <w:rPr>
          <w:rFonts w:ascii="Arial" w:hAnsi="Arial" w:cs="Arial" w:hint="eastAsia"/>
        </w:rPr>
        <w:lastRenderedPageBreak/>
        <w:t>Sfig</w:t>
      </w:r>
      <w:r>
        <w:rPr>
          <w:rFonts w:ascii="Arial" w:hAnsi="Arial" w:cs="Arial"/>
        </w:rPr>
        <w:t>10.</w:t>
      </w:r>
      <w:r w:rsidR="00BC2777">
        <w:rPr>
          <w:rFonts w:ascii="Arial" w:hAnsi="Arial" w:cs="Arial"/>
        </w:rPr>
        <w:t xml:space="preserve"> </w:t>
      </w:r>
      <w:r w:rsidR="00BC2777" w:rsidRPr="00A572C6">
        <w:rPr>
          <w:rFonts w:ascii="Arial" w:hAnsi="Arial" w:cs="Arial"/>
        </w:rPr>
        <w:t xml:space="preserve">Compare the chromatin accessibility between WT and </w:t>
      </w:r>
      <w:r w:rsidR="00713AC6" w:rsidRPr="00F621A8">
        <w:rPr>
          <w:rFonts w:ascii="Arial" w:hAnsi="Arial" w:cs="Arial"/>
          <w:i/>
          <w:iCs/>
        </w:rPr>
        <w:t>CTCF</w:t>
      </w:r>
      <w:r w:rsidR="00713AC6" w:rsidRPr="00F621A8">
        <w:rPr>
          <w:rFonts w:ascii="Arial" w:hAnsi="Arial" w:cs="Arial"/>
          <w:vertAlign w:val="superscript"/>
        </w:rPr>
        <w:t>+/-</w:t>
      </w:r>
      <w:r w:rsidR="00BC2777" w:rsidRPr="00A572C6">
        <w:rPr>
          <w:rFonts w:ascii="Arial" w:hAnsi="Arial" w:cs="Arial"/>
        </w:rPr>
        <w:t xml:space="preserve">. </w:t>
      </w:r>
      <w:r w:rsidR="002321DD" w:rsidRPr="00A572C6">
        <w:rPr>
          <w:rFonts w:ascii="Arial" w:hAnsi="Arial" w:cs="Arial"/>
        </w:rPr>
        <w:t>(a) The peak calling algorithm was based binomial test (</w:t>
      </w:r>
      <w:r w:rsidR="002321DD" w:rsidRPr="00A572C6">
        <w:rPr>
          <w:rFonts w:ascii="Arial" w:hAnsi="Arial" w:cs="Arial"/>
          <w:i/>
          <w:iCs/>
        </w:rPr>
        <w:t>p=background GpC methylation ratio</w:t>
      </w:r>
      <w:r w:rsidR="002321DD" w:rsidRPr="00A572C6">
        <w:rPr>
          <w:rFonts w:ascii="Arial" w:hAnsi="Arial" w:cs="Arial"/>
        </w:rPr>
        <w:t xml:space="preserve">) from </w:t>
      </w:r>
      <w:r w:rsidR="000C7C0C">
        <w:rPr>
          <w:rFonts w:ascii="Arial" w:hAnsi="Arial" w:cs="Arial"/>
        </w:rPr>
        <w:t xml:space="preserve">the </w:t>
      </w:r>
      <w:r w:rsidR="002321DD" w:rsidRPr="00A572C6">
        <w:rPr>
          <w:rFonts w:ascii="Arial" w:hAnsi="Arial" w:cs="Arial"/>
        </w:rPr>
        <w:t>previous publication nanoNOME</w:t>
      </w:r>
      <w:r w:rsidR="005E4902" w:rsidRPr="00A572C6">
        <w:rPr>
          <w:rFonts w:ascii="Arial" w:hAnsi="Arial" w:cs="Arial"/>
        </w:rPr>
        <w:fldChar w:fldCharType="begin"/>
      </w:r>
      <w:r w:rsidR="0055366C">
        <w:rPr>
          <w:rFonts w:ascii="Arial" w:hAnsi="Arial" w:cs="Arial"/>
        </w:rPr>
        <w:instrText xml:space="preserve"> ADDIN EN.CITE &lt;EndNote&gt;&lt;Cite&gt;&lt;Author&gt;Lee&lt;/Author&gt;&lt;Year&gt;2020&lt;/Year&gt;&lt;RecNum&gt;312&lt;/RecNum&gt;&lt;DisplayText&gt;&lt;style face="superscript"&gt;1&lt;/style&gt;&lt;/DisplayText&gt;&lt;record&gt;&lt;rec-number&gt;312&lt;/rec-number&gt;&lt;foreign-keys&gt;&lt;key app="EN" db-id="9p0w29sssdpftoeaarwpwpp6zf5p0parvppa" timestamp="1614915943"&gt;312&lt;/key&gt;&lt;/foreign-keys&gt;&lt;ref-type name="Journal Article"&gt;17&lt;/ref-type&gt;&lt;contributors&gt;&lt;authors&gt;&lt;author&gt;Lee, Isac&lt;/author&gt;&lt;author&gt;Razaghi, Roham&lt;/author&gt;&lt;author&gt;Gilpatrick, Timothy&lt;/author&gt;&lt;author&gt;Molnar, Michael&lt;/author&gt;&lt;author&gt;Gershman, Ariel&lt;/author&gt;&lt;author&gt;Sadowski, Norah&lt;/author&gt;&lt;author&gt;Sedlazeck, Fritz J.&lt;/author&gt;&lt;author&gt;Hansen, Kasper D.&lt;/author&gt;&lt;author&gt;Simpson, Jared T.&lt;/author&gt;&lt;author&gt;Timp, Winston&lt;/author&gt;&lt;/authors&gt;&lt;/contributors&gt;&lt;titles&gt;&lt;title&gt;Simultaneous profiling of chromatin accessibility and methylation on human cell lines with nanopore sequencing&lt;/title&gt;&lt;secondary-title&gt;Nature Methods&lt;/secondary-title&gt;&lt;/titles&gt;&lt;periodical&gt;&lt;full-title&gt;Nature Methods&lt;/full-title&gt;&lt;/periodical&gt;&lt;pages&gt;1191-1199&lt;/pages&gt;&lt;volume&gt;17&lt;/volume&gt;&lt;number&gt;12&lt;/number&gt;&lt;dates&gt;&lt;year&gt;2020&lt;/year&gt;&lt;pub-dates&gt;&lt;date&gt;2020/12/01&lt;/date&gt;&lt;/pub-dates&gt;&lt;/dates&gt;&lt;isbn&gt;1548-7105&lt;/isbn&gt;&lt;urls&gt;&lt;related-urls&gt;&lt;url&gt;https://doi.org/10.1038/s41592-020-01000-7&lt;/url&gt;&lt;/related-urls&gt;&lt;/urls&gt;&lt;electronic-resource-num&gt;10.1038/s41592-020-01000-7&lt;/electronic-resource-num&gt;&lt;/record&gt;&lt;/Cite&gt;&lt;/EndNote&gt;</w:instrText>
      </w:r>
      <w:r w:rsidR="005E4902" w:rsidRPr="00A572C6">
        <w:rPr>
          <w:rFonts w:ascii="Arial" w:hAnsi="Arial" w:cs="Arial"/>
        </w:rPr>
        <w:fldChar w:fldCharType="separate"/>
      </w:r>
      <w:r w:rsidR="0055366C" w:rsidRPr="0055366C">
        <w:rPr>
          <w:rFonts w:ascii="Arial" w:hAnsi="Arial" w:cs="Arial"/>
          <w:noProof/>
          <w:vertAlign w:val="superscript"/>
        </w:rPr>
        <w:t>1</w:t>
      </w:r>
      <w:r w:rsidR="005E4902" w:rsidRPr="00A572C6">
        <w:rPr>
          <w:rFonts w:ascii="Arial" w:hAnsi="Arial" w:cs="Arial"/>
        </w:rPr>
        <w:fldChar w:fldCharType="end"/>
      </w:r>
      <w:r w:rsidR="002321DD" w:rsidRPr="00A572C6">
        <w:rPr>
          <w:rFonts w:ascii="Arial" w:hAnsi="Arial" w:cs="Arial"/>
        </w:rPr>
        <w:t xml:space="preserve">. There are 23435 and 18210 peaks unique in each sample. (b) For each peak, we performed the </w:t>
      </w:r>
      <w:r w:rsidR="000252F3" w:rsidRPr="00A572C6">
        <w:rPr>
          <w:rFonts w:ascii="Arial" w:hAnsi="Arial" w:cs="Arial"/>
        </w:rPr>
        <w:t xml:space="preserve">differential accessibility </w:t>
      </w:r>
      <w:r w:rsidR="00A730D8" w:rsidRPr="00A572C6">
        <w:rPr>
          <w:rFonts w:ascii="Arial" w:hAnsi="Arial" w:cs="Arial"/>
        </w:rPr>
        <w:t xml:space="preserve">analysis </w:t>
      </w:r>
      <w:r w:rsidR="000252F3" w:rsidRPr="00A572C6">
        <w:rPr>
          <w:rFonts w:ascii="Arial" w:hAnsi="Arial" w:cs="Arial"/>
        </w:rPr>
        <w:t xml:space="preserve">with </w:t>
      </w:r>
      <w:r w:rsidR="00A730D8" w:rsidRPr="00A572C6">
        <w:rPr>
          <w:rFonts w:ascii="Arial" w:hAnsi="Arial" w:cs="Arial"/>
        </w:rPr>
        <w:t>Fisher’s exact</w:t>
      </w:r>
      <w:r w:rsidR="002321DD" w:rsidRPr="00A572C6">
        <w:rPr>
          <w:rFonts w:ascii="Arial" w:hAnsi="Arial" w:cs="Arial"/>
        </w:rPr>
        <w:t xml:space="preserve"> test</w:t>
      </w:r>
      <w:r w:rsidR="00A730D8" w:rsidRPr="00A572C6">
        <w:rPr>
          <w:rFonts w:ascii="Arial" w:hAnsi="Arial" w:cs="Arial"/>
        </w:rPr>
        <w:t xml:space="preserve"> on raw counts of methylated GpCs and unmethylated GpCs</w:t>
      </w:r>
      <w:r w:rsidR="000252F3" w:rsidRPr="00A572C6">
        <w:rPr>
          <w:rFonts w:ascii="Arial" w:hAnsi="Arial" w:cs="Arial"/>
        </w:rPr>
        <w:t xml:space="preserve">. </w:t>
      </w:r>
      <w:r w:rsidR="00FA3D63" w:rsidRPr="00A572C6">
        <w:rPr>
          <w:rFonts w:ascii="Arial" w:hAnsi="Arial" w:cs="Arial"/>
        </w:rPr>
        <w:t>There are</w:t>
      </w:r>
      <w:r w:rsidR="00FA3D63">
        <w:rPr>
          <w:rFonts w:ascii="Arial" w:hAnsi="Arial" w:cs="Arial"/>
        </w:rPr>
        <w:t xml:space="preserve"> 3457 significantly </w:t>
      </w:r>
      <w:r w:rsidR="000C7C0C">
        <w:rPr>
          <w:rFonts w:ascii="Arial" w:hAnsi="Arial" w:cs="Arial"/>
        </w:rPr>
        <w:t>upregulated</w:t>
      </w:r>
      <w:r w:rsidR="00FA3D63">
        <w:rPr>
          <w:rFonts w:ascii="Arial" w:hAnsi="Arial" w:cs="Arial"/>
        </w:rPr>
        <w:t xml:space="preserve"> regions.</w:t>
      </w:r>
      <w:r w:rsidR="00A730D8">
        <w:rPr>
          <w:rFonts w:ascii="Arial" w:hAnsi="Arial" w:cs="Arial"/>
        </w:rPr>
        <w:t xml:space="preserve"> The P values were corrected using </w:t>
      </w:r>
      <w:r w:rsidR="00A730D8" w:rsidRPr="00A730D8">
        <w:rPr>
          <w:rFonts w:ascii="Arial" w:hAnsi="Arial" w:cs="Arial"/>
          <w:i/>
          <w:iCs/>
        </w:rPr>
        <w:t>Benjamini-Hochberg</w:t>
      </w:r>
      <w:r w:rsidR="00A730D8">
        <w:rPr>
          <w:rFonts w:ascii="Arial" w:hAnsi="Arial" w:cs="Arial"/>
        </w:rPr>
        <w:t xml:space="preserve"> correction.</w:t>
      </w:r>
      <w:r w:rsidR="00FA3D63">
        <w:rPr>
          <w:rFonts w:ascii="Arial" w:hAnsi="Arial" w:cs="Arial"/>
        </w:rPr>
        <w:t xml:space="preserve"> (c-d) </w:t>
      </w:r>
      <w:r w:rsidR="00914E75">
        <w:rPr>
          <w:rFonts w:ascii="Arial" w:hAnsi="Arial" w:cs="Arial"/>
        </w:rPr>
        <w:t xml:space="preserve">The </w:t>
      </w:r>
      <w:r w:rsidR="00914E75" w:rsidRPr="00F621A8">
        <w:rPr>
          <w:rFonts w:ascii="Arial" w:hAnsi="Arial" w:cs="Arial"/>
          <w:i/>
          <w:iCs/>
        </w:rPr>
        <w:t>CTCF</w:t>
      </w:r>
      <w:r w:rsidR="001E24D9" w:rsidRPr="00F621A8">
        <w:rPr>
          <w:rFonts w:ascii="Arial" w:hAnsi="Arial" w:cs="Arial"/>
          <w:vertAlign w:val="superscript"/>
        </w:rPr>
        <w:t>+</w:t>
      </w:r>
      <w:r w:rsidR="00914E75" w:rsidRPr="00F621A8">
        <w:rPr>
          <w:rFonts w:ascii="Arial" w:hAnsi="Arial" w:cs="Arial"/>
          <w:vertAlign w:val="superscript"/>
        </w:rPr>
        <w:t>/-</w:t>
      </w:r>
      <w:r w:rsidR="00914E75">
        <w:rPr>
          <w:rFonts w:ascii="Arial" w:hAnsi="Arial" w:cs="Arial"/>
        </w:rPr>
        <w:t xml:space="preserve"> showed </w:t>
      </w:r>
      <w:r w:rsidR="00FA3D63">
        <w:rPr>
          <w:rFonts w:ascii="Arial" w:hAnsi="Arial" w:cs="Arial"/>
        </w:rPr>
        <w:t>higher chromatin accessibility</w:t>
      </w:r>
      <w:r w:rsidR="00914E75">
        <w:rPr>
          <w:rFonts w:ascii="Arial" w:hAnsi="Arial" w:cs="Arial"/>
        </w:rPr>
        <w:t xml:space="preserve"> around the CTCF (c) motif and TSS(d).</w:t>
      </w:r>
      <w:r w:rsidR="004E5F5F">
        <w:rPr>
          <w:rFonts w:ascii="Arial" w:hAnsi="Arial" w:cs="Arial"/>
        </w:rPr>
        <w:t xml:space="preserve"> </w:t>
      </w:r>
      <w:r w:rsidR="000C7C0C">
        <w:rPr>
          <w:rFonts w:ascii="Arial" w:hAnsi="Arial" w:cs="Arial"/>
        </w:rPr>
        <w:t>(e)</w:t>
      </w:r>
      <w:r w:rsidR="008D5814">
        <w:rPr>
          <w:rFonts w:ascii="Arial" w:hAnsi="Arial" w:cs="Arial"/>
        </w:rPr>
        <w:t xml:space="preserve"> We compared the accessibility (GpC methylation ratios of contacts in each region) in each region of the pair-wise contact map. The fold change was equal to the </w:t>
      </w:r>
      <w:r w:rsidR="00555168" w:rsidRPr="00B666C5">
        <w:rPr>
          <w:rFonts w:ascii="Arial" w:hAnsi="Arial" w:cs="Arial"/>
          <w:i/>
          <w:iCs/>
        </w:rPr>
        <w:t>CTC</w:t>
      </w:r>
      <w:r w:rsidR="00555168">
        <w:rPr>
          <w:rFonts w:ascii="Arial" w:hAnsi="Arial" w:cs="Arial"/>
          <w:i/>
          <w:iCs/>
        </w:rPr>
        <w:t xml:space="preserve">F </w:t>
      </w:r>
      <w:r w:rsidR="00555168" w:rsidRPr="00E55206">
        <w:rPr>
          <w:rFonts w:ascii="Arial" w:hAnsi="Arial" w:cs="Arial"/>
          <w:vertAlign w:val="superscript"/>
        </w:rPr>
        <w:t>+/-</w:t>
      </w:r>
      <w:r w:rsidR="009113C8">
        <w:rPr>
          <w:rFonts w:ascii="Arial" w:hAnsi="Arial" w:cs="Arial"/>
          <w:vertAlign w:val="superscript"/>
        </w:rPr>
        <w:t xml:space="preserve"> </w:t>
      </w:r>
      <w:r w:rsidR="008D5814">
        <w:rPr>
          <w:rFonts w:ascii="Arial" w:hAnsi="Arial" w:cs="Arial"/>
        </w:rPr>
        <w:t xml:space="preserve">accessibility/WT accessibility. </w:t>
      </w:r>
    </w:p>
    <w:p w14:paraId="37CF29AC" w14:textId="77777777" w:rsidR="00956A0D" w:rsidRDefault="00956A0D" w:rsidP="00AA5D67">
      <w:pPr>
        <w:tabs>
          <w:tab w:val="left" w:pos="1025"/>
        </w:tabs>
        <w:spacing w:line="480" w:lineRule="auto"/>
        <w:rPr>
          <w:rFonts w:ascii="Arial" w:hAnsi="Arial" w:cs="Arial"/>
        </w:rPr>
      </w:pPr>
    </w:p>
    <w:p w14:paraId="4397077F" w14:textId="6EBC0CE4" w:rsidR="00193FD7" w:rsidRDefault="00BE7D6E" w:rsidP="00AA5D67">
      <w:pPr>
        <w:tabs>
          <w:tab w:val="left" w:pos="1025"/>
        </w:tabs>
        <w:spacing w:line="480" w:lineRule="auto"/>
        <w:rPr>
          <w:rFonts w:ascii="Arial" w:hAnsi="Arial" w:cs="Arial"/>
        </w:rPr>
      </w:pPr>
      <w:r>
        <w:rPr>
          <w:rFonts w:ascii="Arial" w:hAnsi="Arial" w:cs="Arial"/>
          <w:noProof/>
        </w:rPr>
        <w:drawing>
          <wp:inline distT="0" distB="0" distL="0" distR="0" wp14:anchorId="5EB40214" wp14:editId="5F698910">
            <wp:extent cx="5877560" cy="4138295"/>
            <wp:effectExtent l="0" t="0" r="889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77560" cy="4138295"/>
                    </a:xfrm>
                    <a:prstGeom prst="rect">
                      <a:avLst/>
                    </a:prstGeom>
                    <a:noFill/>
                    <a:ln>
                      <a:noFill/>
                    </a:ln>
                  </pic:spPr>
                </pic:pic>
              </a:graphicData>
            </a:graphic>
          </wp:inline>
        </w:drawing>
      </w:r>
    </w:p>
    <w:p w14:paraId="5CFE0817" w14:textId="5DC48B19" w:rsidR="004E0020" w:rsidRDefault="004E0020" w:rsidP="00AA5D67">
      <w:pPr>
        <w:tabs>
          <w:tab w:val="left" w:pos="1025"/>
        </w:tabs>
        <w:spacing w:line="480" w:lineRule="auto"/>
        <w:rPr>
          <w:rFonts w:ascii="Arial" w:hAnsi="Arial" w:cs="Arial"/>
        </w:rPr>
      </w:pPr>
      <w:r>
        <w:rPr>
          <w:rFonts w:ascii="Arial" w:hAnsi="Arial" w:cs="Arial"/>
        </w:rPr>
        <w:t>Sfig11.</w:t>
      </w:r>
      <w:r w:rsidR="007709D4">
        <w:rPr>
          <w:rFonts w:ascii="Arial" w:hAnsi="Arial" w:cs="Arial"/>
        </w:rPr>
        <w:t xml:space="preserve"> The distribution of the </w:t>
      </w:r>
      <w:r w:rsidR="001741F5">
        <w:rPr>
          <w:rFonts w:ascii="Arial" w:hAnsi="Arial" w:cs="Arial"/>
        </w:rPr>
        <w:t>accessible</w:t>
      </w:r>
      <w:r w:rsidR="007709D4">
        <w:rPr>
          <w:rFonts w:ascii="Arial" w:hAnsi="Arial" w:cs="Arial"/>
        </w:rPr>
        <w:t>/half-</w:t>
      </w:r>
      <w:r w:rsidR="001741F5">
        <w:rPr>
          <w:rFonts w:ascii="Arial" w:hAnsi="Arial" w:cs="Arial"/>
        </w:rPr>
        <w:t>accessible</w:t>
      </w:r>
      <w:r w:rsidR="007709D4">
        <w:rPr>
          <w:rFonts w:ascii="Arial" w:hAnsi="Arial" w:cs="Arial"/>
        </w:rPr>
        <w:t xml:space="preserve"> </w:t>
      </w:r>
      <w:r w:rsidR="001741F5">
        <w:rPr>
          <w:rFonts w:ascii="Arial" w:hAnsi="Arial" w:cs="Arial"/>
        </w:rPr>
        <w:t xml:space="preserve">pairwise </w:t>
      </w:r>
      <w:r w:rsidR="007709D4">
        <w:rPr>
          <w:rFonts w:ascii="Arial" w:hAnsi="Arial" w:cs="Arial"/>
        </w:rPr>
        <w:t xml:space="preserve">contacts. The SCA-seq data were converted to the 2-way contacts. The </w:t>
      </w:r>
      <w:r w:rsidR="00DB26B8">
        <w:rPr>
          <w:rFonts w:ascii="Arial" w:hAnsi="Arial" w:cs="Arial"/>
        </w:rPr>
        <w:t>inaccessible</w:t>
      </w:r>
      <w:r w:rsidR="007709D4">
        <w:rPr>
          <w:rFonts w:ascii="Arial" w:hAnsi="Arial" w:cs="Arial"/>
        </w:rPr>
        <w:t>-</w:t>
      </w:r>
      <w:r w:rsidR="00DB26B8">
        <w:rPr>
          <w:rFonts w:ascii="Arial" w:hAnsi="Arial" w:cs="Arial"/>
        </w:rPr>
        <w:t>inaccessible</w:t>
      </w:r>
      <w:r w:rsidR="007709D4">
        <w:rPr>
          <w:rFonts w:ascii="Arial" w:hAnsi="Arial" w:cs="Arial"/>
        </w:rPr>
        <w:t xml:space="preserve"> chromatin contacts were defined as 0; the </w:t>
      </w:r>
      <w:r w:rsidR="00DB26B8">
        <w:rPr>
          <w:rFonts w:ascii="Arial" w:hAnsi="Arial" w:cs="Arial"/>
        </w:rPr>
        <w:t>inaccessible</w:t>
      </w:r>
      <w:r w:rsidR="007709D4">
        <w:rPr>
          <w:rFonts w:ascii="Arial" w:hAnsi="Arial" w:cs="Arial"/>
        </w:rPr>
        <w:t>-</w:t>
      </w:r>
      <w:r w:rsidR="00DB26B8">
        <w:rPr>
          <w:rFonts w:ascii="Arial" w:hAnsi="Arial" w:cs="Arial"/>
        </w:rPr>
        <w:t>accessible</w:t>
      </w:r>
      <w:r w:rsidR="007709D4">
        <w:rPr>
          <w:rFonts w:ascii="Arial" w:hAnsi="Arial" w:cs="Arial"/>
        </w:rPr>
        <w:t xml:space="preserve"> chromatin contacts were defined as 1; the </w:t>
      </w:r>
      <w:r w:rsidR="00DB26B8">
        <w:rPr>
          <w:rFonts w:ascii="Arial" w:hAnsi="Arial" w:cs="Arial"/>
        </w:rPr>
        <w:t>accessible</w:t>
      </w:r>
      <w:r w:rsidR="007709D4">
        <w:rPr>
          <w:rFonts w:ascii="Arial" w:hAnsi="Arial" w:cs="Arial"/>
        </w:rPr>
        <w:t>-</w:t>
      </w:r>
      <w:r w:rsidR="00DB26B8">
        <w:rPr>
          <w:rFonts w:ascii="Arial" w:hAnsi="Arial" w:cs="Arial"/>
        </w:rPr>
        <w:t>accessible</w:t>
      </w:r>
      <w:r w:rsidR="007709D4">
        <w:rPr>
          <w:rFonts w:ascii="Arial" w:hAnsi="Arial" w:cs="Arial"/>
        </w:rPr>
        <w:t xml:space="preserve"> chromatin contacts were defined as 2. We filtered contacts with accessibility &gt;0. </w:t>
      </w:r>
      <w:r w:rsidR="009F784F">
        <w:rPr>
          <w:rFonts w:ascii="Arial" w:hAnsi="Arial" w:cs="Arial"/>
        </w:rPr>
        <w:t xml:space="preserve">In WT, the </w:t>
      </w:r>
      <w:r w:rsidR="00DB26B8">
        <w:rPr>
          <w:rFonts w:ascii="Arial" w:hAnsi="Arial" w:cs="Arial"/>
        </w:rPr>
        <w:lastRenderedPageBreak/>
        <w:t>accessible</w:t>
      </w:r>
      <w:r w:rsidR="009F784F">
        <w:rPr>
          <w:rFonts w:ascii="Arial" w:hAnsi="Arial" w:cs="Arial"/>
        </w:rPr>
        <w:t xml:space="preserve"> contacts were distributed as lines, which overlapped with the CTCF ChIP signal and </w:t>
      </w:r>
      <w:r w:rsidR="009F784F" w:rsidRPr="00B71955">
        <w:rPr>
          <w:rFonts w:ascii="Arial" w:hAnsi="Arial" w:cs="Arial"/>
        </w:rPr>
        <w:t xml:space="preserve">ATAC peaks. In </w:t>
      </w:r>
      <w:r w:rsidR="009F784F" w:rsidRPr="001F5181">
        <w:rPr>
          <w:rFonts w:ascii="Arial" w:hAnsi="Arial" w:cs="Arial"/>
          <w:i/>
          <w:iCs/>
        </w:rPr>
        <w:t>CTCF</w:t>
      </w:r>
      <w:r w:rsidR="00594117" w:rsidRPr="006B245E">
        <w:rPr>
          <w:rFonts w:ascii="Arial" w:hAnsi="Arial" w:cs="Arial"/>
          <w:vertAlign w:val="superscript"/>
        </w:rPr>
        <w:t>+</w:t>
      </w:r>
      <w:r w:rsidR="009F784F" w:rsidRPr="006B245E">
        <w:rPr>
          <w:rFonts w:ascii="Arial" w:hAnsi="Arial" w:cs="Arial"/>
          <w:vertAlign w:val="superscript"/>
        </w:rPr>
        <w:t>/</w:t>
      </w:r>
      <w:r w:rsidR="00594117" w:rsidRPr="006B245E">
        <w:rPr>
          <w:rFonts w:ascii="Arial" w:hAnsi="Arial" w:cs="Arial"/>
          <w:vertAlign w:val="superscript"/>
        </w:rPr>
        <w:t>-</w:t>
      </w:r>
      <w:r w:rsidR="009F784F" w:rsidRPr="00B71955">
        <w:rPr>
          <w:rFonts w:ascii="Arial" w:hAnsi="Arial" w:cs="Arial"/>
        </w:rPr>
        <w:t>,</w:t>
      </w:r>
      <w:r w:rsidR="00B7562C" w:rsidRPr="00B71955">
        <w:rPr>
          <w:rFonts w:ascii="Arial" w:hAnsi="Arial" w:cs="Arial"/>
        </w:rPr>
        <w:t xml:space="preserve"> the</w:t>
      </w:r>
      <w:r w:rsidR="00B7562C">
        <w:rPr>
          <w:rFonts w:ascii="Arial" w:hAnsi="Arial" w:cs="Arial"/>
        </w:rPr>
        <w:t xml:space="preserve"> </w:t>
      </w:r>
      <w:r w:rsidR="00C37D70">
        <w:rPr>
          <w:rFonts w:ascii="Arial" w:hAnsi="Arial" w:cs="Arial"/>
        </w:rPr>
        <w:t>accessible</w:t>
      </w:r>
      <w:r w:rsidR="00B7562C">
        <w:rPr>
          <w:rFonts w:ascii="Arial" w:hAnsi="Arial" w:cs="Arial"/>
        </w:rPr>
        <w:t xml:space="preserve"> contact lines were </w:t>
      </w:r>
      <w:r w:rsidR="00B93D2D">
        <w:rPr>
          <w:rFonts w:ascii="Arial" w:hAnsi="Arial" w:cs="Arial"/>
        </w:rPr>
        <w:t>blurred</w:t>
      </w:r>
      <w:r w:rsidR="00B7562C">
        <w:rPr>
          <w:rFonts w:ascii="Arial" w:hAnsi="Arial" w:cs="Arial"/>
        </w:rPr>
        <w:t xml:space="preserve"> and most </w:t>
      </w:r>
      <w:r w:rsidR="00C37D70">
        <w:rPr>
          <w:rFonts w:ascii="Arial" w:hAnsi="Arial" w:cs="Arial"/>
        </w:rPr>
        <w:t>accessible</w:t>
      </w:r>
      <w:r w:rsidR="00B7562C">
        <w:rPr>
          <w:rFonts w:ascii="Arial" w:hAnsi="Arial" w:cs="Arial"/>
        </w:rPr>
        <w:t xml:space="preserve"> contacts were distributed in the core</w:t>
      </w:r>
      <w:r w:rsidR="00624E65">
        <w:rPr>
          <w:rFonts w:ascii="Arial" w:hAnsi="Arial" w:cs="Arial"/>
        </w:rPr>
        <w:t>s.</w:t>
      </w:r>
    </w:p>
    <w:p w14:paraId="78BA2EFE" w14:textId="19A9C0C9" w:rsidR="004E0020" w:rsidRDefault="004E0020" w:rsidP="00AA5D67">
      <w:pPr>
        <w:tabs>
          <w:tab w:val="left" w:pos="1025"/>
        </w:tabs>
        <w:spacing w:line="480" w:lineRule="auto"/>
        <w:rPr>
          <w:rFonts w:ascii="Arial" w:hAnsi="Arial" w:cs="Arial"/>
        </w:rPr>
      </w:pPr>
    </w:p>
    <w:p w14:paraId="205591E6" w14:textId="0CDF757D" w:rsidR="004E0020" w:rsidRDefault="00997EC4" w:rsidP="00AA5D67">
      <w:pPr>
        <w:tabs>
          <w:tab w:val="left" w:pos="1025"/>
        </w:tabs>
        <w:spacing w:line="480" w:lineRule="auto"/>
        <w:rPr>
          <w:rFonts w:ascii="Arial" w:hAnsi="Arial" w:cs="Arial"/>
        </w:rPr>
      </w:pPr>
      <w:r>
        <w:rPr>
          <w:rFonts w:ascii="Arial" w:hAnsi="Arial" w:cs="Arial"/>
        </w:rPr>
        <w:softHyphen/>
      </w:r>
      <w:r>
        <w:rPr>
          <w:rFonts w:ascii="Arial" w:hAnsi="Arial" w:cs="Arial"/>
        </w:rPr>
        <w:softHyphen/>
      </w:r>
    </w:p>
    <w:p w14:paraId="51B2FDAE" w14:textId="77777777" w:rsidR="009D40D9" w:rsidRDefault="009D40D9" w:rsidP="00AA5D67">
      <w:pPr>
        <w:tabs>
          <w:tab w:val="left" w:pos="1025"/>
        </w:tabs>
        <w:spacing w:line="480" w:lineRule="auto"/>
        <w:rPr>
          <w:rFonts w:ascii="Arial" w:hAnsi="Arial" w:cs="Arial"/>
        </w:rPr>
      </w:pPr>
    </w:p>
    <w:p w14:paraId="3BBA0677" w14:textId="65C47BF3" w:rsidR="004E0020" w:rsidRDefault="00997EC4"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629AD6C9" wp14:editId="40DFD393">
            <wp:extent cx="6855460" cy="8816340"/>
            <wp:effectExtent l="0" t="0" r="2540" b="381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855460" cy="8816340"/>
                    </a:xfrm>
                    <a:prstGeom prst="rect">
                      <a:avLst/>
                    </a:prstGeom>
                    <a:noFill/>
                    <a:ln>
                      <a:noFill/>
                    </a:ln>
                  </pic:spPr>
                </pic:pic>
              </a:graphicData>
            </a:graphic>
          </wp:inline>
        </w:drawing>
      </w:r>
    </w:p>
    <w:p w14:paraId="262CA191" w14:textId="18B08E8B" w:rsidR="00805AC8" w:rsidRDefault="004E0020" w:rsidP="00AA5D67">
      <w:pPr>
        <w:tabs>
          <w:tab w:val="left" w:pos="1025"/>
        </w:tabs>
        <w:spacing w:line="480" w:lineRule="auto"/>
        <w:rPr>
          <w:rFonts w:ascii="Arial" w:hAnsi="Arial" w:cs="Arial"/>
        </w:rPr>
      </w:pPr>
      <w:r>
        <w:rPr>
          <w:rFonts w:ascii="Arial" w:hAnsi="Arial" w:cs="Arial"/>
        </w:rPr>
        <w:lastRenderedPageBreak/>
        <w:t>Sfig12.</w:t>
      </w:r>
      <w:r w:rsidR="00D011ED">
        <w:rPr>
          <w:rFonts w:ascii="Arial" w:hAnsi="Arial" w:cs="Arial"/>
        </w:rPr>
        <w:t xml:space="preserve"> The expected chromatin accessibility. </w:t>
      </w:r>
      <w:r w:rsidR="0096487B">
        <w:rPr>
          <w:rFonts w:ascii="Arial" w:hAnsi="Arial" w:cs="Arial"/>
        </w:rPr>
        <w:t xml:space="preserve">The chromatin accessibility could be activated by the contacts with spatially </w:t>
      </w:r>
      <w:r w:rsidR="002024F7">
        <w:rPr>
          <w:rFonts w:ascii="Arial" w:hAnsi="Arial" w:cs="Arial"/>
        </w:rPr>
        <w:t>inaccessible</w:t>
      </w:r>
      <w:r w:rsidR="0096487B">
        <w:rPr>
          <w:rFonts w:ascii="Arial" w:hAnsi="Arial" w:cs="Arial"/>
        </w:rPr>
        <w:t xml:space="preserve"> </w:t>
      </w:r>
      <w:r w:rsidR="00077CA9">
        <w:rPr>
          <w:rFonts w:ascii="Arial" w:hAnsi="Arial" w:cs="Arial"/>
        </w:rPr>
        <w:t xml:space="preserve">genome locus. We designed the equation to </w:t>
      </w:r>
      <w:r w:rsidR="00654822">
        <w:rPr>
          <w:rFonts w:ascii="Arial" w:hAnsi="Arial" w:cs="Arial" w:hint="eastAsia"/>
        </w:rPr>
        <w:t>eliminate</w:t>
      </w:r>
      <w:r w:rsidR="00654822">
        <w:rPr>
          <w:rFonts w:ascii="Arial" w:hAnsi="Arial" w:cs="Arial"/>
        </w:rPr>
        <w:t xml:space="preserve"> the effects </w:t>
      </w:r>
      <w:r w:rsidR="00D826DA">
        <w:rPr>
          <w:rFonts w:ascii="Arial" w:hAnsi="Arial" w:cs="Arial"/>
        </w:rPr>
        <w:t>of</w:t>
      </w:r>
      <w:r w:rsidR="00654822">
        <w:rPr>
          <w:rFonts w:ascii="Arial" w:hAnsi="Arial" w:cs="Arial"/>
        </w:rPr>
        <w:t xml:space="preserve"> the genome interaction. </w:t>
      </w:r>
      <w:r w:rsidR="00D011ED">
        <w:rPr>
          <w:rFonts w:ascii="Arial" w:hAnsi="Arial" w:cs="Arial"/>
        </w:rPr>
        <w:t xml:space="preserve">(a) We used the SCA-seq to establish </w:t>
      </w:r>
      <w:r w:rsidR="00D33CD0">
        <w:rPr>
          <w:rFonts w:ascii="Arial" w:hAnsi="Arial" w:cs="Arial"/>
        </w:rPr>
        <w:t xml:space="preserve">the genome interaction table between genome bins. In </w:t>
      </w:r>
      <w:r w:rsidR="002403FA">
        <w:rPr>
          <w:rFonts w:ascii="Arial" w:hAnsi="Arial" w:cs="Arial"/>
        </w:rPr>
        <w:t xml:space="preserve">the </w:t>
      </w:r>
      <w:r w:rsidR="00D33CD0">
        <w:rPr>
          <w:rFonts w:ascii="Arial" w:hAnsi="Arial" w:cs="Arial"/>
        </w:rPr>
        <w:t xml:space="preserve">genome interaction table, the </w:t>
      </w:r>
      <w:r w:rsidR="00D826DA">
        <w:rPr>
          <w:rFonts w:ascii="Arial" w:hAnsi="Arial" w:cs="Arial"/>
        </w:rPr>
        <w:t>accessible</w:t>
      </w:r>
      <w:r w:rsidR="00D33CD0">
        <w:rPr>
          <w:rFonts w:ascii="Arial" w:hAnsi="Arial" w:cs="Arial"/>
        </w:rPr>
        <w:t>-</w:t>
      </w:r>
      <w:r w:rsidR="00D826DA">
        <w:rPr>
          <w:rFonts w:ascii="Arial" w:hAnsi="Arial" w:cs="Arial"/>
        </w:rPr>
        <w:t>accessible</w:t>
      </w:r>
      <w:r w:rsidR="00D33CD0">
        <w:rPr>
          <w:rFonts w:ascii="Arial" w:hAnsi="Arial" w:cs="Arial"/>
        </w:rPr>
        <w:t xml:space="preserve"> contacts were defined as </w:t>
      </w:r>
      <w:r w:rsidR="00B325B2">
        <w:rPr>
          <w:rFonts w:ascii="Arial" w:hAnsi="Arial" w:cs="Arial"/>
        </w:rPr>
        <w:t>2</w:t>
      </w:r>
      <w:r w:rsidR="00D33CD0">
        <w:rPr>
          <w:rFonts w:ascii="Arial" w:hAnsi="Arial" w:cs="Arial"/>
        </w:rPr>
        <w:t>, which means the contacts could</w:t>
      </w:r>
      <w:r w:rsidR="0082474C">
        <w:rPr>
          <w:rFonts w:ascii="Arial" w:hAnsi="Arial" w:cs="Arial"/>
        </w:rPr>
        <w:t xml:space="preserve"> initiate the activation.</w:t>
      </w:r>
      <w:r w:rsidR="00D33CD0">
        <w:rPr>
          <w:rFonts w:ascii="Arial" w:hAnsi="Arial" w:cs="Arial"/>
        </w:rPr>
        <w:t xml:space="preserve"> </w:t>
      </w:r>
      <w:r w:rsidR="0082474C">
        <w:rPr>
          <w:rFonts w:ascii="Arial" w:hAnsi="Arial" w:cs="Arial"/>
        </w:rPr>
        <w:t>T</w:t>
      </w:r>
      <w:r w:rsidR="00D33CD0">
        <w:rPr>
          <w:rFonts w:ascii="Arial" w:hAnsi="Arial" w:cs="Arial"/>
        </w:rPr>
        <w:t xml:space="preserve">he </w:t>
      </w:r>
      <w:r w:rsidR="00D826DA">
        <w:rPr>
          <w:rFonts w:ascii="Arial" w:hAnsi="Arial" w:cs="Arial"/>
        </w:rPr>
        <w:t>inaccessible</w:t>
      </w:r>
      <w:r w:rsidR="00D33CD0">
        <w:rPr>
          <w:rFonts w:ascii="Arial" w:hAnsi="Arial" w:cs="Arial"/>
        </w:rPr>
        <w:t>-</w:t>
      </w:r>
      <w:r w:rsidR="00D826DA">
        <w:rPr>
          <w:rFonts w:ascii="Arial" w:hAnsi="Arial" w:cs="Arial"/>
        </w:rPr>
        <w:t>inaccessible</w:t>
      </w:r>
      <w:r w:rsidR="00D33CD0">
        <w:rPr>
          <w:rFonts w:ascii="Arial" w:hAnsi="Arial" w:cs="Arial"/>
        </w:rPr>
        <w:t xml:space="preserve"> contacts</w:t>
      </w:r>
      <w:r w:rsidR="0082474C">
        <w:rPr>
          <w:rFonts w:ascii="Arial" w:hAnsi="Arial" w:cs="Arial"/>
        </w:rPr>
        <w:t xml:space="preserve"> were defined</w:t>
      </w:r>
      <w:r w:rsidR="00B325B2">
        <w:rPr>
          <w:rFonts w:ascii="Arial" w:hAnsi="Arial" w:cs="Arial"/>
        </w:rPr>
        <w:t xml:space="preserve"> as -2</w:t>
      </w:r>
      <w:r w:rsidR="00D826DA">
        <w:rPr>
          <w:rFonts w:ascii="Arial" w:hAnsi="Arial" w:cs="Arial"/>
        </w:rPr>
        <w:t>,</w:t>
      </w:r>
      <w:r w:rsidR="00B325B2">
        <w:rPr>
          <w:rFonts w:ascii="Arial" w:hAnsi="Arial" w:cs="Arial"/>
        </w:rPr>
        <w:t xml:space="preserve"> and the </w:t>
      </w:r>
      <w:r w:rsidR="0093145B">
        <w:rPr>
          <w:rFonts w:ascii="Arial" w:hAnsi="Arial" w:cs="Arial"/>
        </w:rPr>
        <w:t>accessible</w:t>
      </w:r>
      <w:r w:rsidR="00B325B2">
        <w:rPr>
          <w:rFonts w:ascii="Arial" w:hAnsi="Arial" w:cs="Arial"/>
        </w:rPr>
        <w:t>-</w:t>
      </w:r>
      <w:r w:rsidR="0093145B">
        <w:rPr>
          <w:rFonts w:ascii="Arial" w:hAnsi="Arial" w:cs="Arial"/>
        </w:rPr>
        <w:t>inaccessible</w:t>
      </w:r>
      <w:r w:rsidR="00B325B2">
        <w:rPr>
          <w:rFonts w:ascii="Arial" w:hAnsi="Arial" w:cs="Arial"/>
        </w:rPr>
        <w:t xml:space="preserve"> contacts were defined as 0.</w:t>
      </w:r>
      <w:r w:rsidR="00F42BB8">
        <w:rPr>
          <w:rFonts w:ascii="Arial" w:hAnsi="Arial" w:cs="Arial"/>
        </w:rPr>
        <w:t xml:space="preserve"> Then these values were summarized </w:t>
      </w:r>
      <w:r w:rsidR="0093145B">
        <w:rPr>
          <w:rFonts w:ascii="Arial" w:hAnsi="Arial" w:cs="Arial"/>
        </w:rPr>
        <w:t>in</w:t>
      </w:r>
      <w:r w:rsidR="00F42BB8">
        <w:rPr>
          <w:rFonts w:ascii="Arial" w:hAnsi="Arial" w:cs="Arial"/>
        </w:rPr>
        <w:t xml:space="preserve"> the genome interaction table as means. </w:t>
      </w:r>
      <w:r w:rsidR="006F78F9">
        <w:rPr>
          <w:rFonts w:ascii="Arial" w:hAnsi="Arial" w:cs="Arial"/>
        </w:rPr>
        <w:t>The 3D genome interaction</w:t>
      </w:r>
      <w:r w:rsidR="00123FB7">
        <w:rPr>
          <w:rFonts w:ascii="Arial" w:hAnsi="Arial" w:cs="Arial"/>
        </w:rPr>
        <w:t xml:space="preserve"> matrix times </w:t>
      </w:r>
      <w:r w:rsidR="006F78F9">
        <w:rPr>
          <w:rFonts w:ascii="Arial" w:hAnsi="Arial" w:cs="Arial"/>
        </w:rPr>
        <w:t xml:space="preserve">the </w:t>
      </w:r>
      <w:r w:rsidR="00123FB7">
        <w:rPr>
          <w:rFonts w:ascii="Arial" w:hAnsi="Arial" w:cs="Arial"/>
        </w:rPr>
        <w:t>expected</w:t>
      </w:r>
      <w:r w:rsidR="006F78F9">
        <w:rPr>
          <w:rFonts w:ascii="Arial" w:hAnsi="Arial" w:cs="Arial"/>
        </w:rPr>
        <w:t xml:space="preserve"> accessibility </w:t>
      </w:r>
      <w:r w:rsidR="00123FB7">
        <w:rPr>
          <w:rFonts w:ascii="Arial" w:hAnsi="Arial" w:cs="Arial"/>
        </w:rPr>
        <w:t xml:space="preserve">was equal </w:t>
      </w:r>
      <w:r w:rsidR="0093145B">
        <w:rPr>
          <w:rFonts w:ascii="Arial" w:hAnsi="Arial" w:cs="Arial"/>
        </w:rPr>
        <w:t xml:space="preserve">to the </w:t>
      </w:r>
      <w:r w:rsidR="006F78F9">
        <w:rPr>
          <w:rFonts w:ascii="Arial" w:hAnsi="Arial" w:cs="Arial"/>
        </w:rPr>
        <w:t xml:space="preserve">observed chromatin </w:t>
      </w:r>
      <w:r w:rsidR="00DD3C43">
        <w:rPr>
          <w:rFonts w:ascii="Arial" w:hAnsi="Arial" w:cs="Arial"/>
        </w:rPr>
        <w:t>accessibility</w:t>
      </w:r>
      <w:r w:rsidR="006F78F9">
        <w:rPr>
          <w:rFonts w:ascii="Arial" w:hAnsi="Arial" w:cs="Arial"/>
        </w:rPr>
        <w:t>.</w:t>
      </w:r>
      <w:r w:rsidR="00DD3C43">
        <w:rPr>
          <w:rFonts w:ascii="Arial" w:hAnsi="Arial" w:cs="Arial"/>
        </w:rPr>
        <w:t xml:space="preserve"> Then we </w:t>
      </w:r>
      <w:r w:rsidR="00DF427C">
        <w:rPr>
          <w:rFonts w:ascii="Arial" w:hAnsi="Arial" w:cs="Arial"/>
        </w:rPr>
        <w:t>resolved the matrix equation.</w:t>
      </w:r>
      <w:r w:rsidR="008272D6">
        <w:rPr>
          <w:rFonts w:ascii="Arial" w:hAnsi="Arial" w:cs="Arial"/>
        </w:rPr>
        <w:t xml:space="preserve"> The</w:t>
      </w:r>
      <w:r w:rsidR="00C40779">
        <w:rPr>
          <w:rFonts w:ascii="Arial" w:hAnsi="Arial" w:cs="Arial"/>
        </w:rPr>
        <w:t xml:space="preserve"> expected chromatin accessibility represented the original chromatin accessibility without </w:t>
      </w:r>
      <w:r w:rsidR="00654822">
        <w:rPr>
          <w:rFonts w:ascii="Arial" w:hAnsi="Arial" w:cs="Arial"/>
        </w:rPr>
        <w:t>the</w:t>
      </w:r>
      <w:r w:rsidR="00C40779">
        <w:rPr>
          <w:rFonts w:ascii="Arial" w:hAnsi="Arial" w:cs="Arial"/>
        </w:rPr>
        <w:t xml:space="preserve"> genome interaction effects. The high signal in expected chromatin accessibility also indicated that this site could</w:t>
      </w:r>
      <w:r w:rsidR="00654822">
        <w:rPr>
          <w:rFonts w:ascii="Arial" w:hAnsi="Arial" w:cs="Arial"/>
        </w:rPr>
        <w:t xml:space="preserve"> potentially</w:t>
      </w:r>
      <w:r w:rsidR="00C40779">
        <w:rPr>
          <w:rFonts w:ascii="Arial" w:hAnsi="Arial" w:cs="Arial"/>
        </w:rPr>
        <w:t xml:space="preserve"> </w:t>
      </w:r>
      <w:r w:rsidR="0093145B">
        <w:rPr>
          <w:rFonts w:ascii="Arial" w:hAnsi="Arial" w:cs="Arial"/>
        </w:rPr>
        <w:t>activate</w:t>
      </w:r>
      <w:r w:rsidR="00654822">
        <w:rPr>
          <w:rFonts w:ascii="Arial" w:hAnsi="Arial" w:cs="Arial"/>
        </w:rPr>
        <w:t xml:space="preserve"> the</w:t>
      </w:r>
      <w:r w:rsidR="0096487B">
        <w:rPr>
          <w:rFonts w:ascii="Arial" w:hAnsi="Arial" w:cs="Arial"/>
        </w:rPr>
        <w:t xml:space="preserve"> </w:t>
      </w:r>
      <w:r w:rsidR="00654822">
        <w:rPr>
          <w:rFonts w:ascii="Arial" w:hAnsi="Arial" w:cs="Arial"/>
        </w:rPr>
        <w:t>contacted</w:t>
      </w:r>
      <w:r w:rsidR="0096487B">
        <w:rPr>
          <w:rFonts w:ascii="Arial" w:hAnsi="Arial" w:cs="Arial"/>
        </w:rPr>
        <w:t xml:space="preserve"> sites</w:t>
      </w:r>
      <w:r w:rsidR="00654822">
        <w:rPr>
          <w:rFonts w:ascii="Arial" w:hAnsi="Arial" w:cs="Arial"/>
        </w:rPr>
        <w:t>, which we recognized as the “power center</w:t>
      </w:r>
      <w:r w:rsidR="007513E6">
        <w:rPr>
          <w:rFonts w:ascii="Arial" w:hAnsi="Arial" w:cs="Arial"/>
        </w:rPr>
        <w:t>.”</w:t>
      </w:r>
      <w:r w:rsidR="00654822">
        <w:rPr>
          <w:rFonts w:ascii="Arial" w:hAnsi="Arial" w:cs="Arial"/>
        </w:rPr>
        <w:t xml:space="preserve"> We plotted the expected chromatin accessibility from WT and </w:t>
      </w:r>
      <w:r w:rsidR="00532556" w:rsidRPr="00B666C5">
        <w:rPr>
          <w:rFonts w:ascii="Arial" w:hAnsi="Arial" w:cs="Arial"/>
          <w:i/>
          <w:iCs/>
        </w:rPr>
        <w:t>CTC</w:t>
      </w:r>
      <w:r w:rsidR="00532556">
        <w:rPr>
          <w:rFonts w:ascii="Arial" w:hAnsi="Arial" w:cs="Arial"/>
          <w:i/>
          <w:iCs/>
        </w:rPr>
        <w:t xml:space="preserve">F </w:t>
      </w:r>
      <w:r w:rsidR="00532556" w:rsidRPr="00E55206">
        <w:rPr>
          <w:rFonts w:ascii="Arial" w:hAnsi="Arial" w:cs="Arial"/>
          <w:vertAlign w:val="superscript"/>
        </w:rPr>
        <w:t>+/-</w:t>
      </w:r>
      <w:r w:rsidR="00654822">
        <w:rPr>
          <w:rFonts w:ascii="Arial" w:hAnsi="Arial" w:cs="Arial"/>
        </w:rPr>
        <w:t>.</w:t>
      </w:r>
      <w:r w:rsidR="00181410">
        <w:rPr>
          <w:rFonts w:ascii="Arial" w:hAnsi="Arial" w:cs="Arial"/>
        </w:rPr>
        <w:t xml:space="preserve"> The expected chromatin accessibilities were significantly higher in </w:t>
      </w:r>
      <w:r w:rsidR="00D979DF" w:rsidRPr="00B666C5">
        <w:rPr>
          <w:rFonts w:ascii="Arial" w:hAnsi="Arial" w:cs="Arial"/>
          <w:i/>
          <w:iCs/>
        </w:rPr>
        <w:t>CTC</w:t>
      </w:r>
      <w:r w:rsidR="00D979DF">
        <w:rPr>
          <w:rFonts w:ascii="Arial" w:hAnsi="Arial" w:cs="Arial"/>
          <w:i/>
          <w:iCs/>
        </w:rPr>
        <w:t xml:space="preserve">F </w:t>
      </w:r>
      <w:r w:rsidR="00D979DF" w:rsidRPr="00E55206">
        <w:rPr>
          <w:rFonts w:ascii="Arial" w:hAnsi="Arial" w:cs="Arial"/>
          <w:vertAlign w:val="superscript"/>
        </w:rPr>
        <w:t>+/-</w:t>
      </w:r>
      <w:r w:rsidR="00181410">
        <w:rPr>
          <w:rFonts w:ascii="Arial" w:hAnsi="Arial" w:cs="Arial"/>
        </w:rPr>
        <w:t xml:space="preserve"> than in WT (</w:t>
      </w:r>
      <w:r w:rsidR="00181410" w:rsidRPr="00181410">
        <w:rPr>
          <w:rFonts w:ascii="Arial" w:hAnsi="Arial" w:cs="Arial"/>
          <w:i/>
          <w:iCs/>
        </w:rPr>
        <w:t>t.test p&lt;2.6e-16</w:t>
      </w:r>
      <w:r w:rsidR="00181410">
        <w:rPr>
          <w:rFonts w:ascii="Arial" w:hAnsi="Arial" w:cs="Arial"/>
        </w:rPr>
        <w:t xml:space="preserve">), implying </w:t>
      </w:r>
      <w:r w:rsidR="0093145B">
        <w:rPr>
          <w:rFonts w:ascii="Arial" w:hAnsi="Arial" w:cs="Arial"/>
        </w:rPr>
        <w:t>that</w:t>
      </w:r>
      <w:r w:rsidR="00181410">
        <w:rPr>
          <w:rFonts w:ascii="Arial" w:hAnsi="Arial" w:cs="Arial"/>
        </w:rPr>
        <w:t xml:space="preserve"> </w:t>
      </w:r>
      <w:r w:rsidR="006D5E47" w:rsidRPr="00B666C5">
        <w:rPr>
          <w:rFonts w:ascii="Arial" w:hAnsi="Arial" w:cs="Arial"/>
          <w:i/>
          <w:iCs/>
        </w:rPr>
        <w:t>CTC</w:t>
      </w:r>
      <w:r w:rsidR="006D5E47">
        <w:rPr>
          <w:rFonts w:ascii="Arial" w:hAnsi="Arial" w:cs="Arial"/>
          <w:i/>
          <w:iCs/>
        </w:rPr>
        <w:t xml:space="preserve">F </w:t>
      </w:r>
      <w:r w:rsidR="006D5E47" w:rsidRPr="00E55206">
        <w:rPr>
          <w:rFonts w:ascii="Arial" w:hAnsi="Arial" w:cs="Arial"/>
          <w:vertAlign w:val="superscript"/>
        </w:rPr>
        <w:t>+/-</w:t>
      </w:r>
      <w:r w:rsidR="00181410">
        <w:rPr>
          <w:rFonts w:ascii="Arial" w:hAnsi="Arial" w:cs="Arial"/>
        </w:rPr>
        <w:t xml:space="preserve"> </w:t>
      </w:r>
      <w:r w:rsidR="0093145B">
        <w:rPr>
          <w:rFonts w:ascii="Arial" w:hAnsi="Arial" w:cs="Arial"/>
        </w:rPr>
        <w:t>has</w:t>
      </w:r>
      <w:r w:rsidR="00181410">
        <w:rPr>
          <w:rFonts w:ascii="Arial" w:hAnsi="Arial" w:cs="Arial"/>
        </w:rPr>
        <w:t xml:space="preserve"> more power centers to affect the contac</w:t>
      </w:r>
      <w:r w:rsidR="0093145B">
        <w:rPr>
          <w:rFonts w:ascii="Arial" w:hAnsi="Arial" w:cs="Arial"/>
        </w:rPr>
        <w:t>ting</w:t>
      </w:r>
      <w:r w:rsidR="00181410">
        <w:rPr>
          <w:rFonts w:ascii="Arial" w:hAnsi="Arial" w:cs="Arial"/>
        </w:rPr>
        <w:t xml:space="preserve"> sites.</w:t>
      </w:r>
      <w:r w:rsidR="003201CB">
        <w:rPr>
          <w:rFonts w:ascii="Arial" w:hAnsi="Arial" w:cs="Arial"/>
        </w:rPr>
        <w:t xml:space="preserve"> </w:t>
      </w:r>
      <w:r w:rsidR="003201CB">
        <w:rPr>
          <w:rFonts w:ascii="Arial" w:hAnsi="Arial" w:cs="Arial" w:hint="eastAsia"/>
        </w:rPr>
        <w:t>W</w:t>
      </w:r>
      <w:r w:rsidR="003201CB">
        <w:rPr>
          <w:rFonts w:ascii="Arial" w:hAnsi="Arial" w:cs="Arial"/>
        </w:rPr>
        <w:t>e then plotted expected chromatin accessibility with the observed chromatin accessibility</w:t>
      </w:r>
      <w:r w:rsidR="00F5578A">
        <w:rPr>
          <w:rFonts w:ascii="Arial" w:hAnsi="Arial" w:cs="Arial"/>
        </w:rPr>
        <w:t xml:space="preserve">. The differences between the expected chromatin accessibilities and the observed chromatin accessibilities (slope) were </w:t>
      </w:r>
      <w:r w:rsidR="00F5578A">
        <w:rPr>
          <w:rFonts w:ascii="Arial" w:hAnsi="Arial" w:cs="Arial" w:hint="eastAsia"/>
        </w:rPr>
        <w:t>larger</w:t>
      </w:r>
      <w:r w:rsidR="00F5578A">
        <w:rPr>
          <w:rFonts w:ascii="Arial" w:hAnsi="Arial" w:cs="Arial"/>
        </w:rPr>
        <w:t xml:space="preserve"> in </w:t>
      </w:r>
      <w:r w:rsidR="00CA5B23" w:rsidRPr="00B666C5">
        <w:rPr>
          <w:rFonts w:ascii="Arial" w:hAnsi="Arial" w:cs="Arial"/>
          <w:i/>
          <w:iCs/>
        </w:rPr>
        <w:t>CTC</w:t>
      </w:r>
      <w:r w:rsidR="00CA5B23">
        <w:rPr>
          <w:rFonts w:ascii="Arial" w:hAnsi="Arial" w:cs="Arial"/>
          <w:i/>
          <w:iCs/>
        </w:rPr>
        <w:t xml:space="preserve">F </w:t>
      </w:r>
      <w:r w:rsidR="00CA5B23" w:rsidRPr="00E55206">
        <w:rPr>
          <w:rFonts w:ascii="Arial" w:hAnsi="Arial" w:cs="Arial"/>
          <w:vertAlign w:val="superscript"/>
        </w:rPr>
        <w:t>+/-</w:t>
      </w:r>
      <w:r w:rsidR="00F5578A">
        <w:rPr>
          <w:rFonts w:ascii="Arial" w:hAnsi="Arial" w:cs="Arial"/>
        </w:rPr>
        <w:t xml:space="preserve"> than in WT. This result suggested </w:t>
      </w:r>
      <w:r w:rsidR="0093145B">
        <w:rPr>
          <w:rFonts w:ascii="Arial" w:hAnsi="Arial" w:cs="Arial"/>
        </w:rPr>
        <w:t>that</w:t>
      </w:r>
      <w:r w:rsidR="00F5578A">
        <w:rPr>
          <w:rFonts w:ascii="Arial" w:hAnsi="Arial" w:cs="Arial"/>
        </w:rPr>
        <w:t xml:space="preserve"> chromatin accessibilities in </w:t>
      </w:r>
      <w:r w:rsidR="00CA5B23" w:rsidRPr="00B666C5">
        <w:rPr>
          <w:rFonts w:ascii="Arial" w:hAnsi="Arial" w:cs="Arial"/>
          <w:i/>
          <w:iCs/>
        </w:rPr>
        <w:t>CTC</w:t>
      </w:r>
      <w:r w:rsidR="00CA5B23">
        <w:rPr>
          <w:rFonts w:ascii="Arial" w:hAnsi="Arial" w:cs="Arial"/>
          <w:i/>
          <w:iCs/>
        </w:rPr>
        <w:t xml:space="preserve">F </w:t>
      </w:r>
      <w:r w:rsidR="00CA5B23" w:rsidRPr="00E55206">
        <w:rPr>
          <w:rFonts w:ascii="Arial" w:hAnsi="Arial" w:cs="Arial"/>
          <w:vertAlign w:val="superscript"/>
        </w:rPr>
        <w:t>+/-</w:t>
      </w:r>
      <w:r w:rsidR="00F5578A">
        <w:rPr>
          <w:rFonts w:ascii="Arial" w:hAnsi="Arial" w:cs="Arial"/>
        </w:rPr>
        <w:t xml:space="preserve"> </w:t>
      </w:r>
      <w:r w:rsidR="00F5578A" w:rsidRPr="00F5578A">
        <w:rPr>
          <w:rFonts w:ascii="Arial" w:hAnsi="Arial" w:cs="Arial"/>
        </w:rPr>
        <w:t xml:space="preserve">are </w:t>
      </w:r>
      <w:r w:rsidR="00D5690B">
        <w:rPr>
          <w:rFonts w:ascii="Arial" w:hAnsi="Arial" w:cs="Arial"/>
        </w:rPr>
        <w:t xml:space="preserve">more </w:t>
      </w:r>
      <w:r w:rsidR="00F5578A" w:rsidRPr="00F5578A">
        <w:rPr>
          <w:rFonts w:ascii="Arial" w:hAnsi="Arial" w:cs="Arial"/>
        </w:rPr>
        <w:t>susceptible to</w:t>
      </w:r>
      <w:r w:rsidR="00F5578A">
        <w:rPr>
          <w:rFonts w:ascii="Arial" w:hAnsi="Arial" w:cs="Arial"/>
        </w:rPr>
        <w:t xml:space="preserve"> genome interaction.</w:t>
      </w:r>
      <w:r w:rsidR="00D5690B">
        <w:rPr>
          <w:rFonts w:ascii="Arial" w:hAnsi="Arial" w:cs="Arial"/>
        </w:rPr>
        <w:t xml:space="preserve"> We selected </w:t>
      </w:r>
      <w:r w:rsidR="0093145B">
        <w:rPr>
          <w:rFonts w:ascii="Arial" w:hAnsi="Arial" w:cs="Arial"/>
        </w:rPr>
        <w:t>a</w:t>
      </w:r>
      <w:r w:rsidR="00D5690B">
        <w:rPr>
          <w:rFonts w:ascii="Arial" w:hAnsi="Arial" w:cs="Arial"/>
        </w:rPr>
        <w:t xml:space="preserve"> representative CTCF motif with high expected signals. Each line represented the </w:t>
      </w:r>
      <w:r w:rsidR="006F3DA1">
        <w:rPr>
          <w:rFonts w:ascii="Arial" w:hAnsi="Arial" w:cs="Arial"/>
        </w:rPr>
        <w:t>se</w:t>
      </w:r>
      <w:r w:rsidR="00D5690B">
        <w:rPr>
          <w:rFonts w:ascii="Arial" w:hAnsi="Arial" w:cs="Arial"/>
        </w:rPr>
        <w:t xml:space="preserve">gments in the concatemers. In </w:t>
      </w:r>
      <w:r w:rsidR="00CA5B23" w:rsidRPr="00B666C5">
        <w:rPr>
          <w:rFonts w:ascii="Arial" w:hAnsi="Arial" w:cs="Arial"/>
          <w:i/>
          <w:iCs/>
        </w:rPr>
        <w:t>CTC</w:t>
      </w:r>
      <w:r w:rsidR="00CA5B23">
        <w:rPr>
          <w:rFonts w:ascii="Arial" w:hAnsi="Arial" w:cs="Arial"/>
          <w:i/>
          <w:iCs/>
        </w:rPr>
        <w:t xml:space="preserve">F </w:t>
      </w:r>
      <w:r w:rsidR="00CA5B23" w:rsidRPr="00E55206">
        <w:rPr>
          <w:rFonts w:ascii="Arial" w:hAnsi="Arial" w:cs="Arial"/>
          <w:vertAlign w:val="superscript"/>
        </w:rPr>
        <w:t>+/-</w:t>
      </w:r>
      <w:r w:rsidR="00D5690B">
        <w:rPr>
          <w:rFonts w:ascii="Arial" w:hAnsi="Arial" w:cs="Arial"/>
        </w:rPr>
        <w:t xml:space="preserve">, the CTCF motif activated </w:t>
      </w:r>
      <w:r w:rsidR="00696B9C">
        <w:rPr>
          <w:rFonts w:ascii="Arial" w:hAnsi="Arial" w:cs="Arial"/>
        </w:rPr>
        <w:t>5</w:t>
      </w:r>
      <w:r w:rsidR="00D5690B">
        <w:rPr>
          <w:rFonts w:ascii="Arial" w:hAnsi="Arial" w:cs="Arial"/>
        </w:rPr>
        <w:t>0% contact</w:t>
      </w:r>
      <w:r w:rsidR="0093145B">
        <w:rPr>
          <w:rFonts w:ascii="Arial" w:hAnsi="Arial" w:cs="Arial"/>
        </w:rPr>
        <w:t>ing</w:t>
      </w:r>
      <w:r w:rsidR="00D5690B">
        <w:rPr>
          <w:rFonts w:ascii="Arial" w:hAnsi="Arial" w:cs="Arial"/>
        </w:rPr>
        <w:t xml:space="preserve"> sites.</w:t>
      </w:r>
    </w:p>
    <w:p w14:paraId="1884444B" w14:textId="2923CEDA" w:rsidR="00770B36" w:rsidRDefault="00462546" w:rsidP="00AA5D67">
      <w:pPr>
        <w:tabs>
          <w:tab w:val="left" w:pos="1025"/>
        </w:tabs>
        <w:spacing w:line="480" w:lineRule="auto"/>
        <w:rPr>
          <w:rFonts w:ascii="Arial" w:hAnsi="Arial" w:cs="Arial"/>
        </w:rPr>
      </w:pPr>
      <w:r>
        <w:rPr>
          <w:rFonts w:ascii="Arial" w:hAnsi="Arial" w:cs="Arial" w:hint="eastAsia"/>
          <w:noProof/>
        </w:rPr>
        <w:lastRenderedPageBreak/>
        <w:drawing>
          <wp:inline distT="0" distB="0" distL="0" distR="0" wp14:anchorId="540EF5E5" wp14:editId="489C2427">
            <wp:extent cx="6855460" cy="3980180"/>
            <wp:effectExtent l="0" t="0" r="2540" b="127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855460" cy="3980180"/>
                    </a:xfrm>
                    <a:prstGeom prst="rect">
                      <a:avLst/>
                    </a:prstGeom>
                    <a:noFill/>
                    <a:ln>
                      <a:noFill/>
                    </a:ln>
                  </pic:spPr>
                </pic:pic>
              </a:graphicData>
            </a:graphic>
          </wp:inline>
        </w:drawing>
      </w:r>
    </w:p>
    <w:p w14:paraId="22F839D6" w14:textId="45C2B4C0" w:rsidR="00770B36" w:rsidRDefault="00770B36" w:rsidP="00AA5D67">
      <w:pPr>
        <w:tabs>
          <w:tab w:val="left" w:pos="1025"/>
        </w:tabs>
        <w:spacing w:line="480" w:lineRule="auto"/>
        <w:rPr>
          <w:rFonts w:ascii="Arial" w:hAnsi="Arial" w:cs="Arial"/>
        </w:rPr>
      </w:pPr>
      <w:r>
        <w:rPr>
          <w:rFonts w:ascii="Arial" w:hAnsi="Arial" w:cs="Arial"/>
        </w:rPr>
        <w:t>Sfig13. The spatial chromatin accessibility in HEK293T with CTCF knockdown.</w:t>
      </w:r>
      <w:r w:rsidR="00D72FD9">
        <w:rPr>
          <w:rFonts w:ascii="Arial" w:hAnsi="Arial" w:cs="Arial"/>
        </w:rPr>
        <w:t xml:space="preserve"> (a) Hyper</w:t>
      </w:r>
      <w:r w:rsidR="00E069DF">
        <w:rPr>
          <w:rFonts w:ascii="Arial" w:hAnsi="Arial" w:cs="Arial"/>
        </w:rPr>
        <w:t xml:space="preserve"> </w:t>
      </w:r>
      <w:r w:rsidR="00D72FD9">
        <w:rPr>
          <w:rFonts w:ascii="Arial" w:hAnsi="Arial" w:cs="Arial"/>
        </w:rPr>
        <w:t xml:space="preserve">ratio= the number of </w:t>
      </w:r>
      <w:r w:rsidR="00E069DF">
        <w:rPr>
          <w:rFonts w:ascii="Arial" w:hAnsi="Arial" w:cs="Arial"/>
        </w:rPr>
        <w:t>accessible</w:t>
      </w:r>
      <w:r w:rsidR="00D72FD9">
        <w:rPr>
          <w:rFonts w:ascii="Arial" w:hAnsi="Arial" w:cs="Arial"/>
        </w:rPr>
        <w:t xml:space="preserve"> segments in one concatemer/the total number of segments in one concatemer (Refer to Fig4b). (b) We further converted the contact maps to accessibility contact maps (The </w:t>
      </w:r>
      <w:r w:rsidR="007513E6">
        <w:rPr>
          <w:rFonts w:ascii="Arial" w:hAnsi="Arial" w:cs="Arial"/>
        </w:rPr>
        <w:t>inaccessible</w:t>
      </w:r>
      <w:r w:rsidR="00D72FD9">
        <w:rPr>
          <w:rFonts w:ascii="Arial" w:hAnsi="Arial" w:cs="Arial"/>
        </w:rPr>
        <w:t xml:space="preserve"> chromatin contacts (</w:t>
      </w:r>
      <w:r w:rsidR="007513E6">
        <w:rPr>
          <w:rFonts w:ascii="Arial" w:hAnsi="Arial" w:cs="Arial"/>
        </w:rPr>
        <w:t>inaccessible</w:t>
      </w:r>
      <w:r w:rsidR="00E5589A">
        <w:rPr>
          <w:rFonts w:ascii="Arial" w:hAnsi="Arial" w:cs="Arial"/>
        </w:rPr>
        <w:t>-</w:t>
      </w:r>
      <w:r w:rsidR="007513E6">
        <w:rPr>
          <w:rFonts w:ascii="Arial" w:hAnsi="Arial" w:cs="Arial"/>
        </w:rPr>
        <w:t>inaccessible</w:t>
      </w:r>
      <w:r w:rsidR="00D72FD9">
        <w:rPr>
          <w:rFonts w:ascii="Arial" w:hAnsi="Arial" w:cs="Arial"/>
        </w:rPr>
        <w:t xml:space="preserve">~0 blue; the </w:t>
      </w:r>
      <w:r w:rsidR="007513E6">
        <w:rPr>
          <w:rFonts w:ascii="Arial" w:hAnsi="Arial" w:cs="Arial"/>
        </w:rPr>
        <w:t>inaccessible-accessible</w:t>
      </w:r>
      <w:r w:rsidR="00D72FD9">
        <w:rPr>
          <w:rFonts w:ascii="Arial" w:hAnsi="Arial" w:cs="Arial"/>
        </w:rPr>
        <w:t xml:space="preserve"> contacts were 1 yellow; the </w:t>
      </w:r>
      <w:r w:rsidR="007513E6">
        <w:rPr>
          <w:rFonts w:ascii="Arial" w:hAnsi="Arial" w:cs="Arial"/>
        </w:rPr>
        <w:t>accessible-accessible</w:t>
      </w:r>
      <w:r w:rsidR="00D72FD9">
        <w:rPr>
          <w:rFonts w:ascii="Arial" w:hAnsi="Arial" w:cs="Arial"/>
        </w:rPr>
        <w:t xml:space="preserve"> contacts were </w:t>
      </w:r>
      <w:r w:rsidR="007513E6">
        <w:rPr>
          <w:rFonts w:ascii="Arial" w:hAnsi="Arial" w:cs="Arial"/>
        </w:rPr>
        <w:t>2</w:t>
      </w:r>
      <w:r w:rsidR="00D72FD9">
        <w:rPr>
          <w:rFonts w:ascii="Arial" w:hAnsi="Arial" w:cs="Arial"/>
        </w:rPr>
        <w:t xml:space="preserve"> red; refer to Fig5b). The CTCF knockdown cells significantly enhanced the overall proximal accessibility in the contact maps (</w:t>
      </w:r>
      <w:r w:rsidR="00D72FD9">
        <w:rPr>
          <w:rFonts w:ascii="Arial" w:hAnsi="Arial" w:cs="Arial"/>
          <w:i/>
          <w:iCs/>
        </w:rPr>
        <w:t xml:space="preserve">Wilcoxon rank test, </w:t>
      </w:r>
      <w:r w:rsidR="00D72FD9" w:rsidRPr="00B64695">
        <w:rPr>
          <w:rFonts w:ascii="Arial" w:hAnsi="Arial" w:cs="Arial"/>
          <w:i/>
          <w:iCs/>
        </w:rPr>
        <w:t>p&lt;2.6e-16</w:t>
      </w:r>
      <w:r w:rsidR="00D72FD9">
        <w:rPr>
          <w:rFonts w:ascii="Arial" w:hAnsi="Arial" w:cs="Arial"/>
        </w:rPr>
        <w:t>)</w:t>
      </w:r>
    </w:p>
    <w:p w14:paraId="5155764C" w14:textId="4036582E" w:rsidR="006A083F" w:rsidRDefault="00A25FF3" w:rsidP="00AA5D67">
      <w:pPr>
        <w:tabs>
          <w:tab w:val="left" w:pos="1025"/>
        </w:tabs>
        <w:spacing w:line="480" w:lineRule="auto"/>
        <w:rPr>
          <w:rFonts w:ascii="Arial" w:hAnsi="Arial" w:cs="Arial"/>
        </w:rPr>
      </w:pPr>
      <w:r>
        <w:rPr>
          <w:rFonts w:ascii="Arial" w:hAnsi="Arial" w:cs="Arial"/>
          <w:noProof/>
        </w:rPr>
        <w:lastRenderedPageBreak/>
        <w:drawing>
          <wp:inline distT="0" distB="0" distL="0" distR="0" wp14:anchorId="4AE114FF" wp14:editId="7D730290">
            <wp:extent cx="6858000" cy="5465445"/>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858000" cy="5465445"/>
                    </a:xfrm>
                    <a:prstGeom prst="rect">
                      <a:avLst/>
                    </a:prstGeom>
                    <a:noFill/>
                    <a:ln>
                      <a:noFill/>
                    </a:ln>
                  </pic:spPr>
                </pic:pic>
              </a:graphicData>
            </a:graphic>
          </wp:inline>
        </w:drawing>
      </w:r>
    </w:p>
    <w:p w14:paraId="0D9035A8" w14:textId="297821A7" w:rsidR="006A083F" w:rsidRDefault="006A083F" w:rsidP="00AA5D67">
      <w:pPr>
        <w:tabs>
          <w:tab w:val="left" w:pos="1025"/>
        </w:tabs>
        <w:spacing w:line="480" w:lineRule="auto"/>
        <w:rPr>
          <w:rFonts w:ascii="Arial" w:hAnsi="Arial" w:cs="Arial"/>
        </w:rPr>
      </w:pPr>
      <w:r>
        <w:rPr>
          <w:rFonts w:ascii="Arial" w:hAnsi="Arial" w:cs="Arial"/>
        </w:rPr>
        <w:t>Sfig14. Cell phenotype characterization.</w:t>
      </w:r>
      <w:r w:rsidR="005224CE">
        <w:rPr>
          <w:rFonts w:ascii="Arial" w:hAnsi="Arial" w:cs="Arial"/>
        </w:rPr>
        <w:t xml:space="preserve"> (a) The counts of </w:t>
      </w:r>
      <w:r w:rsidR="005224CE" w:rsidRPr="005224CE">
        <w:rPr>
          <w:rFonts w:ascii="Arial" w:hAnsi="Arial" w:cs="Arial"/>
          <w:i/>
          <w:iCs/>
        </w:rPr>
        <w:t>CTCF</w:t>
      </w:r>
      <w:r w:rsidR="005224CE">
        <w:rPr>
          <w:rFonts w:ascii="Arial" w:hAnsi="Arial" w:cs="Arial"/>
        </w:rPr>
        <w:t xml:space="preserve"> gene in RNA-seq. (b) The qPCR normalized by </w:t>
      </w:r>
      <w:r w:rsidR="005224CE" w:rsidRPr="005224CE">
        <w:rPr>
          <w:rFonts w:ascii="Arial" w:hAnsi="Arial" w:cs="Arial"/>
          <w:i/>
          <w:iCs/>
        </w:rPr>
        <w:t>beta-ACTIN</w:t>
      </w:r>
      <w:r w:rsidR="005224CE">
        <w:rPr>
          <w:rFonts w:ascii="Arial" w:hAnsi="Arial" w:cs="Arial"/>
        </w:rPr>
        <w:t xml:space="preserve">. (c) The western plot of CTCF normalized by </w:t>
      </w:r>
      <w:r w:rsidR="005224CE" w:rsidRPr="005224CE">
        <w:rPr>
          <w:rFonts w:ascii="Arial" w:hAnsi="Arial" w:cs="Arial"/>
          <w:i/>
          <w:iCs/>
        </w:rPr>
        <w:t>beta-ACTIN</w:t>
      </w:r>
      <w:r w:rsidR="005224CE">
        <w:rPr>
          <w:rFonts w:ascii="Arial" w:hAnsi="Arial" w:cs="Arial"/>
        </w:rPr>
        <w:t>.</w:t>
      </w:r>
      <w:r w:rsidR="00EE746B">
        <w:rPr>
          <w:rFonts w:ascii="Arial" w:hAnsi="Arial" w:cs="Arial"/>
        </w:rPr>
        <w:t xml:space="preserve"> (d) The genotyping of the cell lines. (e) The primers of genotyping.</w:t>
      </w:r>
    </w:p>
    <w:p w14:paraId="6228331F" w14:textId="77777777" w:rsidR="00770B36" w:rsidRDefault="00770B36" w:rsidP="00AA5D67">
      <w:pPr>
        <w:tabs>
          <w:tab w:val="left" w:pos="1025"/>
        </w:tabs>
        <w:spacing w:line="480" w:lineRule="auto"/>
        <w:rPr>
          <w:rFonts w:ascii="Arial" w:hAnsi="Arial" w:cs="Arial"/>
        </w:rPr>
      </w:pPr>
    </w:p>
    <w:p w14:paraId="22A4113B" w14:textId="77777777" w:rsidR="00805AC8" w:rsidRDefault="00805AC8" w:rsidP="00AA5D67">
      <w:pPr>
        <w:tabs>
          <w:tab w:val="left" w:pos="1025"/>
        </w:tabs>
        <w:spacing w:line="480" w:lineRule="auto"/>
        <w:rPr>
          <w:rFonts w:ascii="Arial" w:hAnsi="Arial" w:cs="Arial"/>
        </w:rPr>
      </w:pPr>
    </w:p>
    <w:p w14:paraId="1009DF12" w14:textId="77777777" w:rsidR="0055366C" w:rsidRPr="0055366C" w:rsidRDefault="00805AC8" w:rsidP="0055366C">
      <w:pPr>
        <w:pStyle w:val="EndNoteBibliography"/>
        <w:ind w:left="720" w:hanging="720"/>
        <w:rPr>
          <w:noProof/>
        </w:rPr>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0055366C" w:rsidRPr="0055366C">
        <w:rPr>
          <w:noProof/>
        </w:rPr>
        <w:t>1.</w:t>
      </w:r>
      <w:r w:rsidR="0055366C" w:rsidRPr="0055366C">
        <w:rPr>
          <w:noProof/>
        </w:rPr>
        <w:tab/>
        <w:t xml:space="preserve">Lee, I. et al. Simultaneous profiling of chromatin accessibility and methylation on human cell lines with nanopore sequencing. </w:t>
      </w:r>
      <w:r w:rsidR="0055366C" w:rsidRPr="0055366C">
        <w:rPr>
          <w:i/>
          <w:noProof/>
        </w:rPr>
        <w:t>Nature Methods</w:t>
      </w:r>
      <w:r w:rsidR="0055366C" w:rsidRPr="0055366C">
        <w:rPr>
          <w:noProof/>
        </w:rPr>
        <w:t xml:space="preserve"> </w:t>
      </w:r>
      <w:r w:rsidR="0055366C" w:rsidRPr="0055366C">
        <w:rPr>
          <w:b/>
          <w:noProof/>
        </w:rPr>
        <w:t>17</w:t>
      </w:r>
      <w:r w:rsidR="0055366C" w:rsidRPr="0055366C">
        <w:rPr>
          <w:noProof/>
        </w:rPr>
        <w:t>, 1191-1199 (2020).</w:t>
      </w:r>
    </w:p>
    <w:p w14:paraId="269D96BA" w14:textId="77777777" w:rsidR="0055366C" w:rsidRPr="0055366C" w:rsidRDefault="0055366C" w:rsidP="0055366C">
      <w:pPr>
        <w:pStyle w:val="EndNoteBibliography"/>
        <w:ind w:left="720" w:hanging="720"/>
        <w:rPr>
          <w:noProof/>
        </w:rPr>
      </w:pPr>
      <w:r w:rsidRPr="0055366C">
        <w:rPr>
          <w:noProof/>
        </w:rPr>
        <w:t>2.</w:t>
      </w:r>
      <w:r w:rsidRPr="0055366C">
        <w:rPr>
          <w:noProof/>
        </w:rPr>
        <w:tab/>
        <w:t xml:space="preserve">Ulahannan, N. et al. Nanopore sequencing of DNA concatemers reveals higher-order features of chromatin structure. </w:t>
      </w:r>
      <w:r w:rsidRPr="0055366C">
        <w:rPr>
          <w:i/>
          <w:noProof/>
        </w:rPr>
        <w:t>bioRxiv</w:t>
      </w:r>
      <w:r w:rsidRPr="0055366C">
        <w:rPr>
          <w:noProof/>
        </w:rPr>
        <w:t>, 833590 (2019).</w:t>
      </w:r>
    </w:p>
    <w:p w14:paraId="12FCC0B0" w14:textId="77777777" w:rsidR="0055366C" w:rsidRPr="0055366C" w:rsidRDefault="0055366C" w:rsidP="0055366C">
      <w:pPr>
        <w:pStyle w:val="EndNoteBibliography"/>
        <w:ind w:left="720" w:hanging="720"/>
        <w:rPr>
          <w:noProof/>
        </w:rPr>
      </w:pPr>
      <w:r w:rsidRPr="0055366C">
        <w:rPr>
          <w:noProof/>
        </w:rPr>
        <w:t>3.</w:t>
      </w:r>
      <w:r w:rsidRPr="0055366C">
        <w:rPr>
          <w:noProof/>
        </w:rPr>
        <w:tab/>
        <w:t xml:space="preserve">Bell, A.C. &amp; Felsenfeld, G. Methylation of a CTCF-dependent boundary controls imprinted expression of the Igf2 gene. </w:t>
      </w:r>
      <w:r w:rsidRPr="0055366C">
        <w:rPr>
          <w:i/>
          <w:noProof/>
        </w:rPr>
        <w:t>Nature</w:t>
      </w:r>
      <w:r w:rsidRPr="0055366C">
        <w:rPr>
          <w:noProof/>
        </w:rPr>
        <w:t xml:space="preserve"> </w:t>
      </w:r>
      <w:r w:rsidRPr="0055366C">
        <w:rPr>
          <w:b/>
          <w:noProof/>
        </w:rPr>
        <w:t>405</w:t>
      </w:r>
      <w:r w:rsidRPr="0055366C">
        <w:rPr>
          <w:noProof/>
        </w:rPr>
        <w:t>, 482-5 (2000).</w:t>
      </w:r>
    </w:p>
    <w:p w14:paraId="276D5B04" w14:textId="77777777" w:rsidR="0055366C" w:rsidRPr="0055366C" w:rsidRDefault="0055366C" w:rsidP="0055366C">
      <w:pPr>
        <w:pStyle w:val="EndNoteBibliography"/>
        <w:ind w:left="720" w:hanging="720"/>
        <w:rPr>
          <w:noProof/>
        </w:rPr>
      </w:pPr>
      <w:r w:rsidRPr="0055366C">
        <w:rPr>
          <w:noProof/>
        </w:rPr>
        <w:t>4.</w:t>
      </w:r>
      <w:r w:rsidRPr="0055366C">
        <w:rPr>
          <w:noProof/>
        </w:rPr>
        <w:tab/>
        <w:t xml:space="preserve">Hark, A.T. et al. CTCF mediates methylation-sensitive enhancer-blocking activity at the H19/Igf2 locus. </w:t>
      </w:r>
      <w:r w:rsidRPr="0055366C">
        <w:rPr>
          <w:i/>
          <w:noProof/>
        </w:rPr>
        <w:t>Nature</w:t>
      </w:r>
      <w:r w:rsidRPr="0055366C">
        <w:rPr>
          <w:noProof/>
        </w:rPr>
        <w:t xml:space="preserve"> </w:t>
      </w:r>
      <w:r w:rsidRPr="0055366C">
        <w:rPr>
          <w:b/>
          <w:noProof/>
        </w:rPr>
        <w:t>405</w:t>
      </w:r>
      <w:r w:rsidRPr="0055366C">
        <w:rPr>
          <w:noProof/>
        </w:rPr>
        <w:t>, 486-9 (2000).</w:t>
      </w:r>
    </w:p>
    <w:p w14:paraId="6636513D" w14:textId="77777777" w:rsidR="0055366C" w:rsidRPr="0055366C" w:rsidRDefault="0055366C" w:rsidP="0055366C">
      <w:pPr>
        <w:pStyle w:val="EndNoteBibliography"/>
        <w:ind w:left="720" w:hanging="720"/>
        <w:rPr>
          <w:noProof/>
        </w:rPr>
      </w:pPr>
      <w:r w:rsidRPr="0055366C">
        <w:rPr>
          <w:noProof/>
        </w:rPr>
        <w:lastRenderedPageBreak/>
        <w:t>5.</w:t>
      </w:r>
      <w:r w:rsidRPr="0055366C">
        <w:rPr>
          <w:noProof/>
        </w:rPr>
        <w:tab/>
        <w:t xml:space="preserve">Kanduri, C. et al. Functional association of CTCF with the insulator upstream of the H19 gene is parent of origin-specific and methylation-sensitive. </w:t>
      </w:r>
      <w:r w:rsidRPr="0055366C">
        <w:rPr>
          <w:i/>
          <w:noProof/>
        </w:rPr>
        <w:t>Curr Biol</w:t>
      </w:r>
      <w:r w:rsidRPr="0055366C">
        <w:rPr>
          <w:noProof/>
        </w:rPr>
        <w:t xml:space="preserve"> </w:t>
      </w:r>
      <w:r w:rsidRPr="0055366C">
        <w:rPr>
          <w:b/>
          <w:noProof/>
        </w:rPr>
        <w:t>10</w:t>
      </w:r>
      <w:r w:rsidRPr="0055366C">
        <w:rPr>
          <w:noProof/>
        </w:rPr>
        <w:t>, 853-6 (2000).</w:t>
      </w:r>
    </w:p>
    <w:p w14:paraId="367B466E" w14:textId="02327EC7" w:rsidR="004E0020" w:rsidRPr="00D06165" w:rsidRDefault="00805AC8" w:rsidP="00AA5D67">
      <w:pPr>
        <w:tabs>
          <w:tab w:val="left" w:pos="1025"/>
        </w:tabs>
        <w:spacing w:line="480" w:lineRule="auto"/>
        <w:rPr>
          <w:rFonts w:ascii="Arial" w:hAnsi="Arial" w:cs="Arial"/>
        </w:rPr>
      </w:pPr>
      <w:r>
        <w:rPr>
          <w:rFonts w:ascii="Arial" w:hAnsi="Arial" w:cs="Arial"/>
        </w:rPr>
        <w:fldChar w:fldCharType="end"/>
      </w:r>
    </w:p>
    <w:sectPr w:rsidR="004E0020" w:rsidRPr="00D06165" w:rsidSect="00E51C72">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D24190" w14:textId="77777777" w:rsidR="006E497E" w:rsidRDefault="006E497E" w:rsidP="004A5DB0">
      <w:r>
        <w:separator/>
      </w:r>
    </w:p>
  </w:endnote>
  <w:endnote w:type="continuationSeparator" w:id="0">
    <w:p w14:paraId="2E1430A8" w14:textId="77777777" w:rsidR="006E497E" w:rsidRDefault="006E497E" w:rsidP="004A5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46D24B" w14:textId="77777777" w:rsidR="006E497E" w:rsidRDefault="006E497E" w:rsidP="004A5DB0">
      <w:r>
        <w:separator/>
      </w:r>
    </w:p>
  </w:footnote>
  <w:footnote w:type="continuationSeparator" w:id="0">
    <w:p w14:paraId="3E5BA325" w14:textId="77777777" w:rsidR="006E497E" w:rsidRDefault="006E497E" w:rsidP="004A5D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864C5D"/>
    <w:multiLevelType w:val="multilevel"/>
    <w:tmpl w:val="AFDC1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Struct Mol Biol&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p0w29sssdpftoeaarwpwpp6zf5p0parvppa&quot;&gt;My EndNote Library copy&lt;record-ids&gt;&lt;item&gt;312&lt;/item&gt;&lt;item&gt;711&lt;/item&gt;&lt;item&gt;712&lt;/item&gt;&lt;item&gt;713&lt;/item&gt;&lt;/record-ids&gt;&lt;/item&gt;&lt;/Libraries&gt;"/>
  </w:docVars>
  <w:rsids>
    <w:rsidRoot w:val="006111F1"/>
    <w:rsid w:val="000029CA"/>
    <w:rsid w:val="00004190"/>
    <w:rsid w:val="0001085A"/>
    <w:rsid w:val="0001229F"/>
    <w:rsid w:val="0001384D"/>
    <w:rsid w:val="00014F2F"/>
    <w:rsid w:val="00020B29"/>
    <w:rsid w:val="000216B4"/>
    <w:rsid w:val="0002302F"/>
    <w:rsid w:val="00024C82"/>
    <w:rsid w:val="000252F3"/>
    <w:rsid w:val="000274D7"/>
    <w:rsid w:val="00031E5E"/>
    <w:rsid w:val="000361DE"/>
    <w:rsid w:val="000430E7"/>
    <w:rsid w:val="00046F96"/>
    <w:rsid w:val="0005020D"/>
    <w:rsid w:val="00051E26"/>
    <w:rsid w:val="00051F15"/>
    <w:rsid w:val="00055457"/>
    <w:rsid w:val="00055B3F"/>
    <w:rsid w:val="0005647A"/>
    <w:rsid w:val="00067979"/>
    <w:rsid w:val="00072698"/>
    <w:rsid w:val="00077CA9"/>
    <w:rsid w:val="0008008C"/>
    <w:rsid w:val="00084D53"/>
    <w:rsid w:val="000850E5"/>
    <w:rsid w:val="00092448"/>
    <w:rsid w:val="00093A90"/>
    <w:rsid w:val="00096581"/>
    <w:rsid w:val="000A63FB"/>
    <w:rsid w:val="000A72D4"/>
    <w:rsid w:val="000B1CA8"/>
    <w:rsid w:val="000B301E"/>
    <w:rsid w:val="000B356B"/>
    <w:rsid w:val="000B4BC1"/>
    <w:rsid w:val="000B55F1"/>
    <w:rsid w:val="000B5E65"/>
    <w:rsid w:val="000B6A73"/>
    <w:rsid w:val="000B6D16"/>
    <w:rsid w:val="000B6D92"/>
    <w:rsid w:val="000C3A2E"/>
    <w:rsid w:val="000C799F"/>
    <w:rsid w:val="000C7C0C"/>
    <w:rsid w:val="000D4DB6"/>
    <w:rsid w:val="000D50C4"/>
    <w:rsid w:val="000D5409"/>
    <w:rsid w:val="000E5583"/>
    <w:rsid w:val="0010330D"/>
    <w:rsid w:val="001072F1"/>
    <w:rsid w:val="001117A2"/>
    <w:rsid w:val="00117F25"/>
    <w:rsid w:val="001212EA"/>
    <w:rsid w:val="00121ADA"/>
    <w:rsid w:val="0012270A"/>
    <w:rsid w:val="00123FB7"/>
    <w:rsid w:val="00132136"/>
    <w:rsid w:val="0013270B"/>
    <w:rsid w:val="00133130"/>
    <w:rsid w:val="001430D3"/>
    <w:rsid w:val="00144D98"/>
    <w:rsid w:val="001454FC"/>
    <w:rsid w:val="00145DB4"/>
    <w:rsid w:val="00147F7E"/>
    <w:rsid w:val="00153EB2"/>
    <w:rsid w:val="00157BA1"/>
    <w:rsid w:val="00157EEF"/>
    <w:rsid w:val="00165374"/>
    <w:rsid w:val="00165A81"/>
    <w:rsid w:val="001672EA"/>
    <w:rsid w:val="0017178D"/>
    <w:rsid w:val="001741F5"/>
    <w:rsid w:val="00180D0F"/>
    <w:rsid w:val="00180ED7"/>
    <w:rsid w:val="00181410"/>
    <w:rsid w:val="00190391"/>
    <w:rsid w:val="00190A06"/>
    <w:rsid w:val="001919DD"/>
    <w:rsid w:val="0019232E"/>
    <w:rsid w:val="00193FD7"/>
    <w:rsid w:val="00196891"/>
    <w:rsid w:val="001A2BFD"/>
    <w:rsid w:val="001A7579"/>
    <w:rsid w:val="001B4400"/>
    <w:rsid w:val="001C1868"/>
    <w:rsid w:val="001C629C"/>
    <w:rsid w:val="001C6710"/>
    <w:rsid w:val="001D2676"/>
    <w:rsid w:val="001D2B4F"/>
    <w:rsid w:val="001D34C1"/>
    <w:rsid w:val="001D6874"/>
    <w:rsid w:val="001E24D9"/>
    <w:rsid w:val="001E34D8"/>
    <w:rsid w:val="001E39C1"/>
    <w:rsid w:val="001E60C3"/>
    <w:rsid w:val="001E6D66"/>
    <w:rsid w:val="001F5181"/>
    <w:rsid w:val="001F51AF"/>
    <w:rsid w:val="00200B81"/>
    <w:rsid w:val="002024F7"/>
    <w:rsid w:val="00204A9C"/>
    <w:rsid w:val="00206B58"/>
    <w:rsid w:val="00215291"/>
    <w:rsid w:val="00222B91"/>
    <w:rsid w:val="00223A05"/>
    <w:rsid w:val="002245CA"/>
    <w:rsid w:val="0022491C"/>
    <w:rsid w:val="0022620B"/>
    <w:rsid w:val="002321DD"/>
    <w:rsid w:val="002337B3"/>
    <w:rsid w:val="00235A42"/>
    <w:rsid w:val="0023617A"/>
    <w:rsid w:val="00237D4F"/>
    <w:rsid w:val="002403FA"/>
    <w:rsid w:val="002434A3"/>
    <w:rsid w:val="0024605D"/>
    <w:rsid w:val="00250FEE"/>
    <w:rsid w:val="002576D3"/>
    <w:rsid w:val="0026046F"/>
    <w:rsid w:val="002620C1"/>
    <w:rsid w:val="00267025"/>
    <w:rsid w:val="00270C43"/>
    <w:rsid w:val="00273659"/>
    <w:rsid w:val="0027531D"/>
    <w:rsid w:val="00275958"/>
    <w:rsid w:val="00277A8C"/>
    <w:rsid w:val="00281733"/>
    <w:rsid w:val="002835AC"/>
    <w:rsid w:val="00290F12"/>
    <w:rsid w:val="0029113B"/>
    <w:rsid w:val="00291C0C"/>
    <w:rsid w:val="00293DF7"/>
    <w:rsid w:val="00294900"/>
    <w:rsid w:val="00295042"/>
    <w:rsid w:val="00295995"/>
    <w:rsid w:val="00297BE9"/>
    <w:rsid w:val="002A203B"/>
    <w:rsid w:val="002A214E"/>
    <w:rsid w:val="002B0097"/>
    <w:rsid w:val="002B1257"/>
    <w:rsid w:val="002B25A9"/>
    <w:rsid w:val="002B74BF"/>
    <w:rsid w:val="002C2BDC"/>
    <w:rsid w:val="002C3736"/>
    <w:rsid w:val="002C4C97"/>
    <w:rsid w:val="002D0A7C"/>
    <w:rsid w:val="002D137B"/>
    <w:rsid w:val="002D55CF"/>
    <w:rsid w:val="002D6A6E"/>
    <w:rsid w:val="002E0997"/>
    <w:rsid w:val="002E1E4E"/>
    <w:rsid w:val="002E2AA4"/>
    <w:rsid w:val="002E5F89"/>
    <w:rsid w:val="002E7F4E"/>
    <w:rsid w:val="002F1F57"/>
    <w:rsid w:val="002F5393"/>
    <w:rsid w:val="00302244"/>
    <w:rsid w:val="0030592A"/>
    <w:rsid w:val="0031655E"/>
    <w:rsid w:val="00317F71"/>
    <w:rsid w:val="003201CB"/>
    <w:rsid w:val="003221B6"/>
    <w:rsid w:val="00326C27"/>
    <w:rsid w:val="0033538E"/>
    <w:rsid w:val="00335A68"/>
    <w:rsid w:val="003453C5"/>
    <w:rsid w:val="00351599"/>
    <w:rsid w:val="003547B2"/>
    <w:rsid w:val="00355BF7"/>
    <w:rsid w:val="00355FEC"/>
    <w:rsid w:val="003656B2"/>
    <w:rsid w:val="00366BAB"/>
    <w:rsid w:val="00371491"/>
    <w:rsid w:val="00380078"/>
    <w:rsid w:val="00385308"/>
    <w:rsid w:val="00385E09"/>
    <w:rsid w:val="00386115"/>
    <w:rsid w:val="00391C06"/>
    <w:rsid w:val="00392E97"/>
    <w:rsid w:val="00393950"/>
    <w:rsid w:val="00394332"/>
    <w:rsid w:val="00395813"/>
    <w:rsid w:val="003958EB"/>
    <w:rsid w:val="003A2BAD"/>
    <w:rsid w:val="003A329F"/>
    <w:rsid w:val="003B0CA8"/>
    <w:rsid w:val="003B1196"/>
    <w:rsid w:val="003B2780"/>
    <w:rsid w:val="003B6686"/>
    <w:rsid w:val="003B782C"/>
    <w:rsid w:val="003C15DE"/>
    <w:rsid w:val="003C25B6"/>
    <w:rsid w:val="003D064D"/>
    <w:rsid w:val="003D5ED7"/>
    <w:rsid w:val="003E2AF6"/>
    <w:rsid w:val="003E33AD"/>
    <w:rsid w:val="003E3447"/>
    <w:rsid w:val="003E38B2"/>
    <w:rsid w:val="003E3BF6"/>
    <w:rsid w:val="003E5406"/>
    <w:rsid w:val="003E5CB8"/>
    <w:rsid w:val="003E7BF2"/>
    <w:rsid w:val="003F1BFB"/>
    <w:rsid w:val="003F1C99"/>
    <w:rsid w:val="003F7141"/>
    <w:rsid w:val="00401DCD"/>
    <w:rsid w:val="00402902"/>
    <w:rsid w:val="00405199"/>
    <w:rsid w:val="00405D5D"/>
    <w:rsid w:val="0040757A"/>
    <w:rsid w:val="00407B5E"/>
    <w:rsid w:val="00407D2C"/>
    <w:rsid w:val="00412BBF"/>
    <w:rsid w:val="00415039"/>
    <w:rsid w:val="00423FA6"/>
    <w:rsid w:val="00424D6F"/>
    <w:rsid w:val="004334EC"/>
    <w:rsid w:val="0043496F"/>
    <w:rsid w:val="004401AF"/>
    <w:rsid w:val="00442100"/>
    <w:rsid w:val="00446910"/>
    <w:rsid w:val="00453623"/>
    <w:rsid w:val="00454C3E"/>
    <w:rsid w:val="0045580D"/>
    <w:rsid w:val="00460FD6"/>
    <w:rsid w:val="00462345"/>
    <w:rsid w:val="00462511"/>
    <w:rsid w:val="00462546"/>
    <w:rsid w:val="00463102"/>
    <w:rsid w:val="0047337B"/>
    <w:rsid w:val="004769A9"/>
    <w:rsid w:val="004832C1"/>
    <w:rsid w:val="00483A52"/>
    <w:rsid w:val="00483D38"/>
    <w:rsid w:val="00490A48"/>
    <w:rsid w:val="00492B66"/>
    <w:rsid w:val="00492D67"/>
    <w:rsid w:val="00497086"/>
    <w:rsid w:val="004A1769"/>
    <w:rsid w:val="004A45B8"/>
    <w:rsid w:val="004A5DB0"/>
    <w:rsid w:val="004A63FF"/>
    <w:rsid w:val="004B0710"/>
    <w:rsid w:val="004B1F7D"/>
    <w:rsid w:val="004B23E6"/>
    <w:rsid w:val="004B2E6C"/>
    <w:rsid w:val="004B3058"/>
    <w:rsid w:val="004B5806"/>
    <w:rsid w:val="004C2765"/>
    <w:rsid w:val="004C52DB"/>
    <w:rsid w:val="004C6EE5"/>
    <w:rsid w:val="004D2631"/>
    <w:rsid w:val="004D429A"/>
    <w:rsid w:val="004D4B3F"/>
    <w:rsid w:val="004D5668"/>
    <w:rsid w:val="004D6285"/>
    <w:rsid w:val="004D6656"/>
    <w:rsid w:val="004D7DED"/>
    <w:rsid w:val="004E0020"/>
    <w:rsid w:val="004E2556"/>
    <w:rsid w:val="004E3EC0"/>
    <w:rsid w:val="004E4CDF"/>
    <w:rsid w:val="004E5A2C"/>
    <w:rsid w:val="004E5E50"/>
    <w:rsid w:val="004E5F5F"/>
    <w:rsid w:val="004E67DB"/>
    <w:rsid w:val="004F38DE"/>
    <w:rsid w:val="004F488F"/>
    <w:rsid w:val="004F596E"/>
    <w:rsid w:val="00500BF2"/>
    <w:rsid w:val="00500F2E"/>
    <w:rsid w:val="0050136B"/>
    <w:rsid w:val="00505FB2"/>
    <w:rsid w:val="005062B3"/>
    <w:rsid w:val="00520C98"/>
    <w:rsid w:val="005224CE"/>
    <w:rsid w:val="00525E85"/>
    <w:rsid w:val="0052629C"/>
    <w:rsid w:val="00530F80"/>
    <w:rsid w:val="00532556"/>
    <w:rsid w:val="00536E00"/>
    <w:rsid w:val="00541608"/>
    <w:rsid w:val="00542A97"/>
    <w:rsid w:val="00546412"/>
    <w:rsid w:val="00550B17"/>
    <w:rsid w:val="00553449"/>
    <w:rsid w:val="0055366C"/>
    <w:rsid w:val="00555168"/>
    <w:rsid w:val="005605EB"/>
    <w:rsid w:val="00561885"/>
    <w:rsid w:val="00564AC5"/>
    <w:rsid w:val="00573466"/>
    <w:rsid w:val="00573EF7"/>
    <w:rsid w:val="00576820"/>
    <w:rsid w:val="00581084"/>
    <w:rsid w:val="00582114"/>
    <w:rsid w:val="00593808"/>
    <w:rsid w:val="00594117"/>
    <w:rsid w:val="0059758D"/>
    <w:rsid w:val="00597BFF"/>
    <w:rsid w:val="005A09C2"/>
    <w:rsid w:val="005A317B"/>
    <w:rsid w:val="005B15D7"/>
    <w:rsid w:val="005C14B4"/>
    <w:rsid w:val="005C296C"/>
    <w:rsid w:val="005C45AE"/>
    <w:rsid w:val="005C46A8"/>
    <w:rsid w:val="005D18ED"/>
    <w:rsid w:val="005D1B8C"/>
    <w:rsid w:val="005D5882"/>
    <w:rsid w:val="005E06FA"/>
    <w:rsid w:val="005E1749"/>
    <w:rsid w:val="005E4902"/>
    <w:rsid w:val="005E5407"/>
    <w:rsid w:val="005E5636"/>
    <w:rsid w:val="006009AB"/>
    <w:rsid w:val="006111F1"/>
    <w:rsid w:val="0061309B"/>
    <w:rsid w:val="00614426"/>
    <w:rsid w:val="00617007"/>
    <w:rsid w:val="0062046D"/>
    <w:rsid w:val="00623E93"/>
    <w:rsid w:val="00624E65"/>
    <w:rsid w:val="00634E85"/>
    <w:rsid w:val="00635738"/>
    <w:rsid w:val="00641075"/>
    <w:rsid w:val="006414A1"/>
    <w:rsid w:val="00642EF3"/>
    <w:rsid w:val="00652626"/>
    <w:rsid w:val="00654253"/>
    <w:rsid w:val="00654822"/>
    <w:rsid w:val="006604C2"/>
    <w:rsid w:val="006605FD"/>
    <w:rsid w:val="0066590E"/>
    <w:rsid w:val="006664D7"/>
    <w:rsid w:val="00671C77"/>
    <w:rsid w:val="006766C9"/>
    <w:rsid w:val="0068532E"/>
    <w:rsid w:val="006927A3"/>
    <w:rsid w:val="00692B99"/>
    <w:rsid w:val="00692E88"/>
    <w:rsid w:val="00696B9C"/>
    <w:rsid w:val="00697C80"/>
    <w:rsid w:val="006A083F"/>
    <w:rsid w:val="006A1F1F"/>
    <w:rsid w:val="006A27E9"/>
    <w:rsid w:val="006A2AD5"/>
    <w:rsid w:val="006A2D7B"/>
    <w:rsid w:val="006A6C63"/>
    <w:rsid w:val="006A70B9"/>
    <w:rsid w:val="006B1D97"/>
    <w:rsid w:val="006B245E"/>
    <w:rsid w:val="006B3165"/>
    <w:rsid w:val="006B3424"/>
    <w:rsid w:val="006B55F9"/>
    <w:rsid w:val="006B7E2E"/>
    <w:rsid w:val="006C010A"/>
    <w:rsid w:val="006C5BBA"/>
    <w:rsid w:val="006D39C1"/>
    <w:rsid w:val="006D5E47"/>
    <w:rsid w:val="006E16D4"/>
    <w:rsid w:val="006E497E"/>
    <w:rsid w:val="006E5395"/>
    <w:rsid w:val="006E5DE8"/>
    <w:rsid w:val="006E7587"/>
    <w:rsid w:val="006F1A80"/>
    <w:rsid w:val="006F211F"/>
    <w:rsid w:val="006F3DA1"/>
    <w:rsid w:val="006F78F9"/>
    <w:rsid w:val="00701F81"/>
    <w:rsid w:val="00703419"/>
    <w:rsid w:val="00704E9E"/>
    <w:rsid w:val="00710AFC"/>
    <w:rsid w:val="00713AC6"/>
    <w:rsid w:val="007207EC"/>
    <w:rsid w:val="00720935"/>
    <w:rsid w:val="00723722"/>
    <w:rsid w:val="00725BA0"/>
    <w:rsid w:val="00726637"/>
    <w:rsid w:val="00726E19"/>
    <w:rsid w:val="00736D0C"/>
    <w:rsid w:val="00745C62"/>
    <w:rsid w:val="00747DC2"/>
    <w:rsid w:val="007513E6"/>
    <w:rsid w:val="00754E79"/>
    <w:rsid w:val="0076043C"/>
    <w:rsid w:val="0076045D"/>
    <w:rsid w:val="00762635"/>
    <w:rsid w:val="00762BED"/>
    <w:rsid w:val="00764002"/>
    <w:rsid w:val="007709D4"/>
    <w:rsid w:val="00770B36"/>
    <w:rsid w:val="00772D92"/>
    <w:rsid w:val="00773D53"/>
    <w:rsid w:val="0077401D"/>
    <w:rsid w:val="00781F56"/>
    <w:rsid w:val="00786FEA"/>
    <w:rsid w:val="00791EB0"/>
    <w:rsid w:val="00792624"/>
    <w:rsid w:val="00793C7A"/>
    <w:rsid w:val="00797169"/>
    <w:rsid w:val="007A13ED"/>
    <w:rsid w:val="007A45A4"/>
    <w:rsid w:val="007A4D7E"/>
    <w:rsid w:val="007A5E7F"/>
    <w:rsid w:val="007A68A7"/>
    <w:rsid w:val="007B12DF"/>
    <w:rsid w:val="007B4942"/>
    <w:rsid w:val="007C705A"/>
    <w:rsid w:val="007C7380"/>
    <w:rsid w:val="007D4BFE"/>
    <w:rsid w:val="007D560F"/>
    <w:rsid w:val="007D70E4"/>
    <w:rsid w:val="007D762D"/>
    <w:rsid w:val="007E0E2E"/>
    <w:rsid w:val="007E52BD"/>
    <w:rsid w:val="007E7DD5"/>
    <w:rsid w:val="007F3DF3"/>
    <w:rsid w:val="007F4548"/>
    <w:rsid w:val="0080454D"/>
    <w:rsid w:val="00805AC8"/>
    <w:rsid w:val="00805EE8"/>
    <w:rsid w:val="00810274"/>
    <w:rsid w:val="00820330"/>
    <w:rsid w:val="008232D3"/>
    <w:rsid w:val="0082474C"/>
    <w:rsid w:val="008272D6"/>
    <w:rsid w:val="00832E04"/>
    <w:rsid w:val="00837FB2"/>
    <w:rsid w:val="00840958"/>
    <w:rsid w:val="00841BDF"/>
    <w:rsid w:val="008441C6"/>
    <w:rsid w:val="0084559C"/>
    <w:rsid w:val="00864093"/>
    <w:rsid w:val="0086617A"/>
    <w:rsid w:val="008661AE"/>
    <w:rsid w:val="00872919"/>
    <w:rsid w:val="00872AFD"/>
    <w:rsid w:val="008752C3"/>
    <w:rsid w:val="008763BE"/>
    <w:rsid w:val="00884D8B"/>
    <w:rsid w:val="008850AC"/>
    <w:rsid w:val="00886A3C"/>
    <w:rsid w:val="00887E39"/>
    <w:rsid w:val="0089227F"/>
    <w:rsid w:val="008923B0"/>
    <w:rsid w:val="00897DCE"/>
    <w:rsid w:val="008A1CB2"/>
    <w:rsid w:val="008A388A"/>
    <w:rsid w:val="008B3E11"/>
    <w:rsid w:val="008B4CCB"/>
    <w:rsid w:val="008B6EF0"/>
    <w:rsid w:val="008C4845"/>
    <w:rsid w:val="008C7B06"/>
    <w:rsid w:val="008D4EDE"/>
    <w:rsid w:val="008D5814"/>
    <w:rsid w:val="008E1399"/>
    <w:rsid w:val="008E1C3A"/>
    <w:rsid w:val="008E2193"/>
    <w:rsid w:val="008E388F"/>
    <w:rsid w:val="008E4C51"/>
    <w:rsid w:val="008E5B0F"/>
    <w:rsid w:val="008F0137"/>
    <w:rsid w:val="008F01F2"/>
    <w:rsid w:val="008F1287"/>
    <w:rsid w:val="008F498D"/>
    <w:rsid w:val="009037F8"/>
    <w:rsid w:val="00904779"/>
    <w:rsid w:val="009064AF"/>
    <w:rsid w:val="009113C8"/>
    <w:rsid w:val="00912340"/>
    <w:rsid w:val="009124C8"/>
    <w:rsid w:val="00913C06"/>
    <w:rsid w:val="00914C18"/>
    <w:rsid w:val="00914E75"/>
    <w:rsid w:val="00915F65"/>
    <w:rsid w:val="00917293"/>
    <w:rsid w:val="00926582"/>
    <w:rsid w:val="00930289"/>
    <w:rsid w:val="0093145B"/>
    <w:rsid w:val="00935292"/>
    <w:rsid w:val="0093769E"/>
    <w:rsid w:val="0094567B"/>
    <w:rsid w:val="009532F5"/>
    <w:rsid w:val="00956A0D"/>
    <w:rsid w:val="00957324"/>
    <w:rsid w:val="00957E05"/>
    <w:rsid w:val="009606A3"/>
    <w:rsid w:val="00961763"/>
    <w:rsid w:val="0096487B"/>
    <w:rsid w:val="00970549"/>
    <w:rsid w:val="00970EC8"/>
    <w:rsid w:val="00971252"/>
    <w:rsid w:val="0097160A"/>
    <w:rsid w:val="00973663"/>
    <w:rsid w:val="00975453"/>
    <w:rsid w:val="009764AB"/>
    <w:rsid w:val="00981ECB"/>
    <w:rsid w:val="009824B9"/>
    <w:rsid w:val="0098426A"/>
    <w:rsid w:val="009846D6"/>
    <w:rsid w:val="009847E6"/>
    <w:rsid w:val="00985DC7"/>
    <w:rsid w:val="00987012"/>
    <w:rsid w:val="00990822"/>
    <w:rsid w:val="00996F77"/>
    <w:rsid w:val="00997EC4"/>
    <w:rsid w:val="009A02AE"/>
    <w:rsid w:val="009A21AB"/>
    <w:rsid w:val="009A3D38"/>
    <w:rsid w:val="009A5378"/>
    <w:rsid w:val="009B1BFC"/>
    <w:rsid w:val="009B31F7"/>
    <w:rsid w:val="009B438E"/>
    <w:rsid w:val="009B465A"/>
    <w:rsid w:val="009B4B74"/>
    <w:rsid w:val="009B66AA"/>
    <w:rsid w:val="009B7AE9"/>
    <w:rsid w:val="009C07C1"/>
    <w:rsid w:val="009C3E06"/>
    <w:rsid w:val="009D059A"/>
    <w:rsid w:val="009D05A0"/>
    <w:rsid w:val="009D37C6"/>
    <w:rsid w:val="009D40D9"/>
    <w:rsid w:val="009D5052"/>
    <w:rsid w:val="009D64EF"/>
    <w:rsid w:val="009E08BB"/>
    <w:rsid w:val="009E255F"/>
    <w:rsid w:val="009E3DAE"/>
    <w:rsid w:val="009E70BD"/>
    <w:rsid w:val="009E75B7"/>
    <w:rsid w:val="009F2B4A"/>
    <w:rsid w:val="009F37A4"/>
    <w:rsid w:val="009F435B"/>
    <w:rsid w:val="009F5D0E"/>
    <w:rsid w:val="009F5EF4"/>
    <w:rsid w:val="009F6DBB"/>
    <w:rsid w:val="009F784F"/>
    <w:rsid w:val="009F7BD3"/>
    <w:rsid w:val="00A00542"/>
    <w:rsid w:val="00A01E82"/>
    <w:rsid w:val="00A06DBC"/>
    <w:rsid w:val="00A108B0"/>
    <w:rsid w:val="00A178A0"/>
    <w:rsid w:val="00A25141"/>
    <w:rsid w:val="00A25FF3"/>
    <w:rsid w:val="00A3157B"/>
    <w:rsid w:val="00A34061"/>
    <w:rsid w:val="00A353A2"/>
    <w:rsid w:val="00A36775"/>
    <w:rsid w:val="00A37929"/>
    <w:rsid w:val="00A415AE"/>
    <w:rsid w:val="00A43927"/>
    <w:rsid w:val="00A46AA7"/>
    <w:rsid w:val="00A46ABA"/>
    <w:rsid w:val="00A46AF8"/>
    <w:rsid w:val="00A54BF6"/>
    <w:rsid w:val="00A55062"/>
    <w:rsid w:val="00A572C6"/>
    <w:rsid w:val="00A57CDA"/>
    <w:rsid w:val="00A62685"/>
    <w:rsid w:val="00A62C85"/>
    <w:rsid w:val="00A6778F"/>
    <w:rsid w:val="00A7208A"/>
    <w:rsid w:val="00A730D8"/>
    <w:rsid w:val="00A73A36"/>
    <w:rsid w:val="00A73B61"/>
    <w:rsid w:val="00A76184"/>
    <w:rsid w:val="00A7679A"/>
    <w:rsid w:val="00A767AB"/>
    <w:rsid w:val="00A767BC"/>
    <w:rsid w:val="00A808CC"/>
    <w:rsid w:val="00A81847"/>
    <w:rsid w:val="00A829E8"/>
    <w:rsid w:val="00A87F42"/>
    <w:rsid w:val="00A90FB0"/>
    <w:rsid w:val="00A9326B"/>
    <w:rsid w:val="00A94C4D"/>
    <w:rsid w:val="00A95175"/>
    <w:rsid w:val="00A955FE"/>
    <w:rsid w:val="00A95614"/>
    <w:rsid w:val="00AA5C50"/>
    <w:rsid w:val="00AA5D67"/>
    <w:rsid w:val="00AA642C"/>
    <w:rsid w:val="00AB1A56"/>
    <w:rsid w:val="00AB4FF6"/>
    <w:rsid w:val="00AB7A34"/>
    <w:rsid w:val="00AC6D6B"/>
    <w:rsid w:val="00AD4E80"/>
    <w:rsid w:val="00AD7D07"/>
    <w:rsid w:val="00AE09FE"/>
    <w:rsid w:val="00AE2756"/>
    <w:rsid w:val="00AE2758"/>
    <w:rsid w:val="00AF036A"/>
    <w:rsid w:val="00AF4F8D"/>
    <w:rsid w:val="00AF7B5C"/>
    <w:rsid w:val="00B02F11"/>
    <w:rsid w:val="00B03878"/>
    <w:rsid w:val="00B057C3"/>
    <w:rsid w:val="00B124CB"/>
    <w:rsid w:val="00B15C8A"/>
    <w:rsid w:val="00B309BE"/>
    <w:rsid w:val="00B325B2"/>
    <w:rsid w:val="00B34DB5"/>
    <w:rsid w:val="00B36E57"/>
    <w:rsid w:val="00B40451"/>
    <w:rsid w:val="00B419C4"/>
    <w:rsid w:val="00B45A4B"/>
    <w:rsid w:val="00B506BE"/>
    <w:rsid w:val="00B55680"/>
    <w:rsid w:val="00B55BFB"/>
    <w:rsid w:val="00B57535"/>
    <w:rsid w:val="00B60296"/>
    <w:rsid w:val="00B6404E"/>
    <w:rsid w:val="00B64695"/>
    <w:rsid w:val="00B64F41"/>
    <w:rsid w:val="00B663F5"/>
    <w:rsid w:val="00B66624"/>
    <w:rsid w:val="00B666C5"/>
    <w:rsid w:val="00B71955"/>
    <w:rsid w:val="00B7472C"/>
    <w:rsid w:val="00B7562C"/>
    <w:rsid w:val="00B84B66"/>
    <w:rsid w:val="00B915DC"/>
    <w:rsid w:val="00B939C6"/>
    <w:rsid w:val="00B93D2D"/>
    <w:rsid w:val="00B97915"/>
    <w:rsid w:val="00BA33F7"/>
    <w:rsid w:val="00BA4A5D"/>
    <w:rsid w:val="00BA639C"/>
    <w:rsid w:val="00BB222A"/>
    <w:rsid w:val="00BB358A"/>
    <w:rsid w:val="00BB41F1"/>
    <w:rsid w:val="00BB51A5"/>
    <w:rsid w:val="00BB7F24"/>
    <w:rsid w:val="00BC08FB"/>
    <w:rsid w:val="00BC2777"/>
    <w:rsid w:val="00BC2A0F"/>
    <w:rsid w:val="00BC5621"/>
    <w:rsid w:val="00BD2E22"/>
    <w:rsid w:val="00BE4B3F"/>
    <w:rsid w:val="00BE6804"/>
    <w:rsid w:val="00BE7D6E"/>
    <w:rsid w:val="00BF4346"/>
    <w:rsid w:val="00BF62D5"/>
    <w:rsid w:val="00BF6966"/>
    <w:rsid w:val="00BF7D41"/>
    <w:rsid w:val="00C003BF"/>
    <w:rsid w:val="00C04E10"/>
    <w:rsid w:val="00C0678C"/>
    <w:rsid w:val="00C06960"/>
    <w:rsid w:val="00C1536A"/>
    <w:rsid w:val="00C30214"/>
    <w:rsid w:val="00C310D1"/>
    <w:rsid w:val="00C330AB"/>
    <w:rsid w:val="00C34550"/>
    <w:rsid w:val="00C34E08"/>
    <w:rsid w:val="00C35C5E"/>
    <w:rsid w:val="00C36536"/>
    <w:rsid w:val="00C37D70"/>
    <w:rsid w:val="00C40779"/>
    <w:rsid w:val="00C43DAB"/>
    <w:rsid w:val="00C44EF8"/>
    <w:rsid w:val="00C455A0"/>
    <w:rsid w:val="00C51584"/>
    <w:rsid w:val="00C55CFB"/>
    <w:rsid w:val="00C571A9"/>
    <w:rsid w:val="00C57339"/>
    <w:rsid w:val="00C577DF"/>
    <w:rsid w:val="00C604E3"/>
    <w:rsid w:val="00C64E49"/>
    <w:rsid w:val="00C65815"/>
    <w:rsid w:val="00C665BF"/>
    <w:rsid w:val="00C67F5E"/>
    <w:rsid w:val="00C70741"/>
    <w:rsid w:val="00C72428"/>
    <w:rsid w:val="00C77DFE"/>
    <w:rsid w:val="00C80378"/>
    <w:rsid w:val="00C84728"/>
    <w:rsid w:val="00C86ECB"/>
    <w:rsid w:val="00C9164B"/>
    <w:rsid w:val="00CA030B"/>
    <w:rsid w:val="00CA18E6"/>
    <w:rsid w:val="00CA1A73"/>
    <w:rsid w:val="00CA377E"/>
    <w:rsid w:val="00CA3F31"/>
    <w:rsid w:val="00CA58AE"/>
    <w:rsid w:val="00CA5B23"/>
    <w:rsid w:val="00CB3DBC"/>
    <w:rsid w:val="00CB4A01"/>
    <w:rsid w:val="00CB5457"/>
    <w:rsid w:val="00CB7CB0"/>
    <w:rsid w:val="00CC277E"/>
    <w:rsid w:val="00CC3935"/>
    <w:rsid w:val="00CC5C6E"/>
    <w:rsid w:val="00CD14AB"/>
    <w:rsid w:val="00CD637D"/>
    <w:rsid w:val="00CD71E3"/>
    <w:rsid w:val="00CD7663"/>
    <w:rsid w:val="00CE6FC5"/>
    <w:rsid w:val="00CE7F11"/>
    <w:rsid w:val="00CF26B0"/>
    <w:rsid w:val="00CF48B6"/>
    <w:rsid w:val="00CF6DEA"/>
    <w:rsid w:val="00D011ED"/>
    <w:rsid w:val="00D01A95"/>
    <w:rsid w:val="00D01C97"/>
    <w:rsid w:val="00D06165"/>
    <w:rsid w:val="00D11007"/>
    <w:rsid w:val="00D13933"/>
    <w:rsid w:val="00D1414E"/>
    <w:rsid w:val="00D1720C"/>
    <w:rsid w:val="00D17E12"/>
    <w:rsid w:val="00D20EFF"/>
    <w:rsid w:val="00D210A8"/>
    <w:rsid w:val="00D22A17"/>
    <w:rsid w:val="00D22F7F"/>
    <w:rsid w:val="00D234B4"/>
    <w:rsid w:val="00D24ABF"/>
    <w:rsid w:val="00D33CD0"/>
    <w:rsid w:val="00D36A16"/>
    <w:rsid w:val="00D36DFE"/>
    <w:rsid w:val="00D37ADA"/>
    <w:rsid w:val="00D46376"/>
    <w:rsid w:val="00D47426"/>
    <w:rsid w:val="00D518C3"/>
    <w:rsid w:val="00D54010"/>
    <w:rsid w:val="00D56557"/>
    <w:rsid w:val="00D5690B"/>
    <w:rsid w:val="00D57A6D"/>
    <w:rsid w:val="00D57ED5"/>
    <w:rsid w:val="00D7055F"/>
    <w:rsid w:val="00D72FD9"/>
    <w:rsid w:val="00D7748F"/>
    <w:rsid w:val="00D77DEA"/>
    <w:rsid w:val="00D826DA"/>
    <w:rsid w:val="00D8752B"/>
    <w:rsid w:val="00D95EC7"/>
    <w:rsid w:val="00D979DF"/>
    <w:rsid w:val="00DA533B"/>
    <w:rsid w:val="00DA6B11"/>
    <w:rsid w:val="00DB26B8"/>
    <w:rsid w:val="00DB2DAB"/>
    <w:rsid w:val="00DB4288"/>
    <w:rsid w:val="00DC1990"/>
    <w:rsid w:val="00DC1F7B"/>
    <w:rsid w:val="00DC4FEC"/>
    <w:rsid w:val="00DD3C43"/>
    <w:rsid w:val="00DD5820"/>
    <w:rsid w:val="00DE0EA3"/>
    <w:rsid w:val="00DE5066"/>
    <w:rsid w:val="00DF1449"/>
    <w:rsid w:val="00DF1EB8"/>
    <w:rsid w:val="00DF243A"/>
    <w:rsid w:val="00DF2BD3"/>
    <w:rsid w:val="00DF35B3"/>
    <w:rsid w:val="00DF40BC"/>
    <w:rsid w:val="00DF427C"/>
    <w:rsid w:val="00DF5BAD"/>
    <w:rsid w:val="00E014C9"/>
    <w:rsid w:val="00E069DF"/>
    <w:rsid w:val="00E07A95"/>
    <w:rsid w:val="00E10578"/>
    <w:rsid w:val="00E2123D"/>
    <w:rsid w:val="00E24FD0"/>
    <w:rsid w:val="00E253E2"/>
    <w:rsid w:val="00E26653"/>
    <w:rsid w:val="00E26B36"/>
    <w:rsid w:val="00E30004"/>
    <w:rsid w:val="00E31B58"/>
    <w:rsid w:val="00E33C88"/>
    <w:rsid w:val="00E363A4"/>
    <w:rsid w:val="00E37B60"/>
    <w:rsid w:val="00E4613D"/>
    <w:rsid w:val="00E50519"/>
    <w:rsid w:val="00E50B64"/>
    <w:rsid w:val="00E51C72"/>
    <w:rsid w:val="00E52476"/>
    <w:rsid w:val="00E55206"/>
    <w:rsid w:val="00E5589A"/>
    <w:rsid w:val="00E56582"/>
    <w:rsid w:val="00E56B39"/>
    <w:rsid w:val="00E626AF"/>
    <w:rsid w:val="00E63BA7"/>
    <w:rsid w:val="00E647C5"/>
    <w:rsid w:val="00E65B09"/>
    <w:rsid w:val="00E66BC0"/>
    <w:rsid w:val="00E679CB"/>
    <w:rsid w:val="00E67C35"/>
    <w:rsid w:val="00E779AA"/>
    <w:rsid w:val="00E800E7"/>
    <w:rsid w:val="00E80BD2"/>
    <w:rsid w:val="00E8483E"/>
    <w:rsid w:val="00E865D0"/>
    <w:rsid w:val="00E9737F"/>
    <w:rsid w:val="00E97A83"/>
    <w:rsid w:val="00EA10D0"/>
    <w:rsid w:val="00EB047D"/>
    <w:rsid w:val="00EB19E0"/>
    <w:rsid w:val="00EB508C"/>
    <w:rsid w:val="00EC537C"/>
    <w:rsid w:val="00EC55D9"/>
    <w:rsid w:val="00ED166E"/>
    <w:rsid w:val="00ED28EA"/>
    <w:rsid w:val="00ED7652"/>
    <w:rsid w:val="00EE5CEC"/>
    <w:rsid w:val="00EE6F0D"/>
    <w:rsid w:val="00EE746B"/>
    <w:rsid w:val="00EF58ED"/>
    <w:rsid w:val="00EF5FEF"/>
    <w:rsid w:val="00F01A67"/>
    <w:rsid w:val="00F07504"/>
    <w:rsid w:val="00F100CE"/>
    <w:rsid w:val="00F112AD"/>
    <w:rsid w:val="00F11B54"/>
    <w:rsid w:val="00F13319"/>
    <w:rsid w:val="00F1404C"/>
    <w:rsid w:val="00F15A93"/>
    <w:rsid w:val="00F16EB1"/>
    <w:rsid w:val="00F17867"/>
    <w:rsid w:val="00F17A76"/>
    <w:rsid w:val="00F20726"/>
    <w:rsid w:val="00F33334"/>
    <w:rsid w:val="00F36E04"/>
    <w:rsid w:val="00F4278D"/>
    <w:rsid w:val="00F42BB8"/>
    <w:rsid w:val="00F43369"/>
    <w:rsid w:val="00F46F1B"/>
    <w:rsid w:val="00F5149F"/>
    <w:rsid w:val="00F5372F"/>
    <w:rsid w:val="00F54823"/>
    <w:rsid w:val="00F5578A"/>
    <w:rsid w:val="00F55E8B"/>
    <w:rsid w:val="00F606FE"/>
    <w:rsid w:val="00F621A8"/>
    <w:rsid w:val="00F740EC"/>
    <w:rsid w:val="00F75937"/>
    <w:rsid w:val="00F77FE9"/>
    <w:rsid w:val="00F80A72"/>
    <w:rsid w:val="00F87040"/>
    <w:rsid w:val="00F87551"/>
    <w:rsid w:val="00F91544"/>
    <w:rsid w:val="00F938D1"/>
    <w:rsid w:val="00F93E0A"/>
    <w:rsid w:val="00F95330"/>
    <w:rsid w:val="00F954AB"/>
    <w:rsid w:val="00F956B8"/>
    <w:rsid w:val="00FA3D63"/>
    <w:rsid w:val="00FA511C"/>
    <w:rsid w:val="00FA6F4E"/>
    <w:rsid w:val="00FA78F7"/>
    <w:rsid w:val="00FB13CF"/>
    <w:rsid w:val="00FB25BA"/>
    <w:rsid w:val="00FB2995"/>
    <w:rsid w:val="00FB2F80"/>
    <w:rsid w:val="00FB592C"/>
    <w:rsid w:val="00FD1711"/>
    <w:rsid w:val="00FD2198"/>
    <w:rsid w:val="00FD24C3"/>
    <w:rsid w:val="00FD2B3A"/>
    <w:rsid w:val="00FE2732"/>
    <w:rsid w:val="00FF003E"/>
    <w:rsid w:val="00FF207E"/>
    <w:rsid w:val="00FF6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4ADFC7"/>
  <w15:chartTrackingRefBased/>
  <w15:docId w15:val="{6D01F685-9BDB-CE43-B60F-F755785E4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C296C"/>
    <w:rPr>
      <w:sz w:val="21"/>
      <w:szCs w:val="21"/>
    </w:rPr>
  </w:style>
  <w:style w:type="paragraph" w:styleId="CommentText">
    <w:name w:val="annotation text"/>
    <w:basedOn w:val="Normal"/>
    <w:link w:val="CommentTextChar"/>
    <w:uiPriority w:val="99"/>
    <w:semiHidden/>
    <w:unhideWhenUsed/>
    <w:rsid w:val="005C296C"/>
  </w:style>
  <w:style w:type="character" w:customStyle="1" w:styleId="CommentTextChar">
    <w:name w:val="Comment Text Char"/>
    <w:basedOn w:val="DefaultParagraphFont"/>
    <w:link w:val="CommentText"/>
    <w:uiPriority w:val="99"/>
    <w:semiHidden/>
    <w:rsid w:val="005C296C"/>
  </w:style>
  <w:style w:type="paragraph" w:styleId="CommentSubject">
    <w:name w:val="annotation subject"/>
    <w:basedOn w:val="CommentText"/>
    <w:next w:val="CommentText"/>
    <w:link w:val="CommentSubjectChar"/>
    <w:uiPriority w:val="99"/>
    <w:semiHidden/>
    <w:unhideWhenUsed/>
    <w:rsid w:val="005C296C"/>
    <w:rPr>
      <w:b/>
      <w:bCs/>
    </w:rPr>
  </w:style>
  <w:style w:type="character" w:customStyle="1" w:styleId="CommentSubjectChar">
    <w:name w:val="Comment Subject Char"/>
    <w:basedOn w:val="CommentTextChar"/>
    <w:link w:val="CommentSubject"/>
    <w:uiPriority w:val="99"/>
    <w:semiHidden/>
    <w:rsid w:val="005C296C"/>
    <w:rPr>
      <w:b/>
      <w:bCs/>
    </w:rPr>
  </w:style>
  <w:style w:type="paragraph" w:customStyle="1" w:styleId="EndNoteBibliographyTitle">
    <w:name w:val="EndNote Bibliography Title"/>
    <w:basedOn w:val="Normal"/>
    <w:link w:val="EndNoteBibliographyTitleChar"/>
    <w:rsid w:val="00805AC8"/>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805AC8"/>
    <w:rPr>
      <w:rFonts w:ascii="Calibri" w:hAnsi="Calibri" w:cs="Calibri"/>
    </w:rPr>
  </w:style>
  <w:style w:type="paragraph" w:customStyle="1" w:styleId="EndNoteBibliography">
    <w:name w:val="EndNote Bibliography"/>
    <w:basedOn w:val="Normal"/>
    <w:link w:val="EndNoteBibliographyChar"/>
    <w:rsid w:val="00805AC8"/>
    <w:rPr>
      <w:rFonts w:ascii="Calibri" w:hAnsi="Calibri" w:cs="Calibri"/>
    </w:rPr>
  </w:style>
  <w:style w:type="character" w:customStyle="1" w:styleId="EndNoteBibliographyChar">
    <w:name w:val="EndNote Bibliography Char"/>
    <w:basedOn w:val="DefaultParagraphFont"/>
    <w:link w:val="EndNoteBibliography"/>
    <w:rsid w:val="00805AC8"/>
    <w:rPr>
      <w:rFonts w:ascii="Calibri" w:hAnsi="Calibri" w:cs="Calibri"/>
    </w:rPr>
  </w:style>
  <w:style w:type="paragraph" w:styleId="Header">
    <w:name w:val="header"/>
    <w:basedOn w:val="Normal"/>
    <w:link w:val="HeaderChar"/>
    <w:uiPriority w:val="99"/>
    <w:unhideWhenUsed/>
    <w:rsid w:val="004A5DB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4A5DB0"/>
    <w:rPr>
      <w:sz w:val="18"/>
      <w:szCs w:val="18"/>
    </w:rPr>
  </w:style>
  <w:style w:type="paragraph" w:styleId="Footer">
    <w:name w:val="footer"/>
    <w:basedOn w:val="Normal"/>
    <w:link w:val="FooterChar"/>
    <w:uiPriority w:val="99"/>
    <w:unhideWhenUsed/>
    <w:rsid w:val="004A5DB0"/>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4A5DB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100173">
      <w:bodyDiv w:val="1"/>
      <w:marLeft w:val="0"/>
      <w:marRight w:val="0"/>
      <w:marTop w:val="0"/>
      <w:marBottom w:val="0"/>
      <w:divBdr>
        <w:top w:val="none" w:sz="0" w:space="0" w:color="auto"/>
        <w:left w:val="none" w:sz="0" w:space="0" w:color="auto"/>
        <w:bottom w:val="none" w:sz="0" w:space="0" w:color="auto"/>
        <w:right w:val="none" w:sz="0" w:space="0" w:color="auto"/>
      </w:divBdr>
    </w:div>
    <w:div w:id="759981488">
      <w:bodyDiv w:val="1"/>
      <w:marLeft w:val="0"/>
      <w:marRight w:val="0"/>
      <w:marTop w:val="0"/>
      <w:marBottom w:val="0"/>
      <w:divBdr>
        <w:top w:val="none" w:sz="0" w:space="0" w:color="auto"/>
        <w:left w:val="none" w:sz="0" w:space="0" w:color="auto"/>
        <w:bottom w:val="none" w:sz="0" w:space="0" w:color="auto"/>
        <w:right w:val="none" w:sz="0" w:space="0" w:color="auto"/>
      </w:divBdr>
    </w:div>
    <w:div w:id="968316049">
      <w:bodyDiv w:val="1"/>
      <w:marLeft w:val="0"/>
      <w:marRight w:val="0"/>
      <w:marTop w:val="0"/>
      <w:marBottom w:val="0"/>
      <w:divBdr>
        <w:top w:val="none" w:sz="0" w:space="0" w:color="auto"/>
        <w:left w:val="none" w:sz="0" w:space="0" w:color="auto"/>
        <w:bottom w:val="none" w:sz="0" w:space="0" w:color="auto"/>
        <w:right w:val="none" w:sz="0" w:space="0" w:color="auto"/>
      </w:divBdr>
    </w:div>
    <w:div w:id="1654288919">
      <w:bodyDiv w:val="1"/>
      <w:marLeft w:val="0"/>
      <w:marRight w:val="0"/>
      <w:marTop w:val="0"/>
      <w:marBottom w:val="0"/>
      <w:divBdr>
        <w:top w:val="none" w:sz="0" w:space="0" w:color="auto"/>
        <w:left w:val="none" w:sz="0" w:space="0" w:color="auto"/>
        <w:bottom w:val="none" w:sz="0" w:space="0" w:color="auto"/>
        <w:right w:val="none" w:sz="0" w:space="0" w:color="auto"/>
      </w:divBdr>
    </w:div>
    <w:div w:id="1679698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82111-3151-2643-A416-A5F60E820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3121</Words>
  <Characters>17791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Chong Tang</dc:creator>
  <cp:keywords/>
  <dc:description/>
  <cp:lastModifiedBy>Nilesh Nawale</cp:lastModifiedBy>
  <cp:revision>2</cp:revision>
  <cp:lastPrinted>2022-04-21T01:19:00Z</cp:lastPrinted>
  <dcterms:created xsi:type="dcterms:W3CDTF">2022-12-13T06:43:00Z</dcterms:created>
  <dcterms:modified xsi:type="dcterms:W3CDTF">2022-12-13T06:43:00Z</dcterms:modified>
</cp:coreProperties>
</file>