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6062A" w14:textId="77777777" w:rsidR="009342A0" w:rsidRDefault="009342A0" w:rsidP="009342A0">
      <w:pPr>
        <w:spacing w:beforeLines="100" w:before="240" w:line="360" w:lineRule="exac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Supplementary</w:t>
      </w:r>
    </w:p>
    <w:p w14:paraId="53B75A24" w14:textId="77777777" w:rsidR="009342A0" w:rsidRPr="000C2413" w:rsidRDefault="009342A0" w:rsidP="009342A0">
      <w:pPr>
        <w:spacing w:line="36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8719A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T</w:t>
      </w:r>
      <w:r w:rsidRPr="008719A8">
        <w:rPr>
          <w:rFonts w:ascii="Times New Roman" w:hAnsi="Times New Roman"/>
          <w:b/>
          <w:bCs/>
          <w:color w:val="000000" w:themeColor="text1"/>
          <w:sz w:val="24"/>
          <w:szCs w:val="24"/>
        </w:rPr>
        <w:t>able S1</w:t>
      </w:r>
      <w:r w:rsidRPr="000C2413">
        <w:rPr>
          <w:rFonts w:ascii="Times New Roman" w:hAnsi="Times New Roman"/>
          <w:color w:val="000000" w:themeColor="text1"/>
          <w:sz w:val="24"/>
          <w:szCs w:val="24"/>
        </w:rPr>
        <w:t xml:space="preserve"> Differential metabolites identified in cell metabolomic analysis</w:t>
      </w:r>
    </w:p>
    <w:p w14:paraId="3C09EB99" w14:textId="77777777" w:rsidR="009342A0" w:rsidRPr="000C2413" w:rsidRDefault="009342A0" w:rsidP="009342A0">
      <w:pPr>
        <w:spacing w:line="36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8719A8">
        <w:rPr>
          <w:rFonts w:ascii="Times New Roman" w:hAnsi="Times New Roman"/>
          <w:b/>
          <w:bCs/>
          <w:color w:val="000000" w:themeColor="text1"/>
          <w:sz w:val="24"/>
          <w:szCs w:val="24"/>
        </w:rPr>
        <w:t>Table S2</w:t>
      </w:r>
      <w:r w:rsidRPr="000C24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C2413">
        <w:rPr>
          <w:rFonts w:ascii="Times New Roman" w:eastAsia="DengXian" w:hAnsi="Times New Roman"/>
          <w:szCs w:val="21"/>
        </w:rPr>
        <w:t>Differential metabolites identified in CCM metabolomic analysis</w:t>
      </w:r>
    </w:p>
    <w:p w14:paraId="63A02239" w14:textId="77777777" w:rsidR="009342A0" w:rsidRPr="000C2413" w:rsidRDefault="009342A0" w:rsidP="009342A0">
      <w:pPr>
        <w:spacing w:line="36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8719A8">
        <w:rPr>
          <w:rFonts w:ascii="Times New Roman" w:hAnsi="Times New Roman"/>
          <w:b/>
          <w:bCs/>
          <w:color w:val="000000" w:themeColor="text1"/>
          <w:sz w:val="24"/>
          <w:szCs w:val="24"/>
        </w:rPr>
        <w:t>Table S3</w:t>
      </w:r>
      <w:r w:rsidRPr="000C2413">
        <w:rPr>
          <w:rFonts w:ascii="Times New Roman" w:hAnsi="Times New Roman"/>
          <w:color w:val="000000" w:themeColor="text1"/>
          <w:sz w:val="24"/>
          <w:szCs w:val="24"/>
        </w:rPr>
        <w:t xml:space="preserve"> Differential lipids identified in cell lipidomic analysis</w:t>
      </w:r>
    </w:p>
    <w:p w14:paraId="38CE59AD" w14:textId="77777777" w:rsidR="00E1715D" w:rsidRDefault="009342A0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2A0"/>
    <w:rsid w:val="001942F0"/>
    <w:rsid w:val="002C0857"/>
    <w:rsid w:val="003F01F8"/>
    <w:rsid w:val="00884728"/>
    <w:rsid w:val="008E2845"/>
    <w:rsid w:val="009342A0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AEB6"/>
  <w15:chartTrackingRefBased/>
  <w15:docId w15:val="{4262AC44-78A3-441C-BF89-3205322C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2A0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Springer Nature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2022-11-28T08:05:00Z</dcterms:created>
  <dcterms:modified xsi:type="dcterms:W3CDTF">2022-11-28T08:05:00Z</dcterms:modified>
</cp:coreProperties>
</file>