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page" w:horzAnchor="margin" w:tblpXSpec="center" w:tblpY="1057"/>
        <w:tblW w:w="15723" w:type="dxa"/>
        <w:tblLook w:val="04A0" w:firstRow="1" w:lastRow="0" w:firstColumn="1" w:lastColumn="0" w:noHBand="0" w:noVBand="1"/>
      </w:tblPr>
      <w:tblGrid>
        <w:gridCol w:w="1418"/>
        <w:gridCol w:w="1842"/>
        <w:gridCol w:w="2410"/>
        <w:gridCol w:w="1831"/>
        <w:gridCol w:w="2095"/>
        <w:gridCol w:w="2453"/>
        <w:gridCol w:w="2835"/>
        <w:gridCol w:w="990"/>
      </w:tblGrid>
      <w:tr w:rsidR="009A48DA" w:rsidRPr="009A48DA" w:rsidTr="009A48DA">
        <w:trPr>
          <w:trHeight w:val="420"/>
        </w:trPr>
        <w:tc>
          <w:tcPr>
            <w:tcW w:w="15723" w:type="dxa"/>
            <w:gridSpan w:val="8"/>
            <w:tcBorders>
              <w:bottom w:val="single" w:sz="24" w:space="0" w:color="auto"/>
            </w:tcBorders>
            <w:shd w:val="clear" w:color="auto" w:fill="auto"/>
            <w:noWrap/>
            <w:hideMark/>
          </w:tcPr>
          <w:p w:rsidR="009A48DA" w:rsidRPr="009A48DA" w:rsidRDefault="009A48DA" w:rsidP="009A48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32"/>
                <w:szCs w:val="32"/>
              </w:rPr>
            </w:pPr>
            <w:r w:rsidRPr="009A48DA">
              <w:rPr>
                <w:rFonts w:ascii="Times New Roman" w:eastAsia="等线" w:hAnsi="Times New Roman" w:cs="Times New Roman"/>
                <w:color w:val="000000"/>
                <w:kern w:val="0"/>
                <w:sz w:val="32"/>
                <w:szCs w:val="32"/>
              </w:rPr>
              <w:t>Table S1 Baseline characteristics of all studies included</w:t>
            </w:r>
          </w:p>
        </w:tc>
      </w:tr>
      <w:tr w:rsidR="009A48DA" w:rsidRPr="009A48DA" w:rsidTr="009A48DA">
        <w:trPr>
          <w:trHeight w:val="312"/>
        </w:trPr>
        <w:tc>
          <w:tcPr>
            <w:tcW w:w="1418" w:type="dxa"/>
            <w:vMerge w:val="restart"/>
            <w:tcBorders>
              <w:top w:val="single" w:sz="24" w:space="0" w:color="auto"/>
            </w:tcBorders>
            <w:shd w:val="clear" w:color="auto" w:fill="auto"/>
            <w:noWrap/>
            <w:vAlign w:val="center"/>
            <w:hideMark/>
          </w:tcPr>
          <w:p w:rsidR="009A48DA" w:rsidRPr="009A48DA" w:rsidRDefault="009A48DA" w:rsidP="009A48D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9A48D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Author </w:t>
            </w:r>
          </w:p>
        </w:tc>
        <w:tc>
          <w:tcPr>
            <w:tcW w:w="1842" w:type="dxa"/>
            <w:vMerge w:val="restart"/>
            <w:tcBorders>
              <w:top w:val="single" w:sz="24" w:space="0" w:color="auto"/>
            </w:tcBorders>
            <w:shd w:val="clear" w:color="auto" w:fill="auto"/>
            <w:noWrap/>
            <w:vAlign w:val="center"/>
            <w:hideMark/>
          </w:tcPr>
          <w:p w:rsidR="009A48DA" w:rsidRPr="009A48DA" w:rsidRDefault="009A48DA" w:rsidP="009A48D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9A48D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Study period</w:t>
            </w:r>
          </w:p>
        </w:tc>
        <w:tc>
          <w:tcPr>
            <w:tcW w:w="2410" w:type="dxa"/>
            <w:vMerge w:val="restart"/>
            <w:tcBorders>
              <w:top w:val="single" w:sz="24" w:space="0" w:color="auto"/>
            </w:tcBorders>
            <w:shd w:val="clear" w:color="auto" w:fill="auto"/>
            <w:noWrap/>
            <w:vAlign w:val="center"/>
            <w:hideMark/>
          </w:tcPr>
          <w:p w:rsidR="009A48DA" w:rsidRPr="009A48DA" w:rsidRDefault="009A48DA" w:rsidP="009A48D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9A48D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patient source</w:t>
            </w:r>
          </w:p>
        </w:tc>
        <w:tc>
          <w:tcPr>
            <w:tcW w:w="1831" w:type="dxa"/>
            <w:vMerge w:val="restart"/>
            <w:tcBorders>
              <w:top w:val="single" w:sz="24" w:space="0" w:color="auto"/>
            </w:tcBorders>
            <w:shd w:val="clear" w:color="auto" w:fill="auto"/>
            <w:vAlign w:val="center"/>
            <w:hideMark/>
          </w:tcPr>
          <w:p w:rsidR="009A48DA" w:rsidRPr="009A48DA" w:rsidRDefault="009A48DA" w:rsidP="009A48D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9A48D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Cut-off value of hyper or hypo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-</w:t>
            </w:r>
            <w:r w:rsidRPr="009A48D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fibrinogen</w:t>
            </w:r>
          </w:p>
        </w:tc>
        <w:tc>
          <w:tcPr>
            <w:tcW w:w="4548" w:type="dxa"/>
            <w:gridSpan w:val="2"/>
            <w:tcBorders>
              <w:top w:val="single" w:sz="24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9A48DA" w:rsidRPr="009A48DA" w:rsidRDefault="009A48DA" w:rsidP="009A48D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9A48D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No. patients with GBC</w:t>
            </w:r>
          </w:p>
        </w:tc>
        <w:tc>
          <w:tcPr>
            <w:tcW w:w="2835" w:type="dxa"/>
            <w:tcBorders>
              <w:top w:val="single" w:sz="24" w:space="0" w:color="auto"/>
            </w:tcBorders>
            <w:shd w:val="clear" w:color="auto" w:fill="auto"/>
            <w:noWrap/>
            <w:vAlign w:val="center"/>
            <w:hideMark/>
          </w:tcPr>
          <w:p w:rsidR="009A48DA" w:rsidRPr="009A48DA" w:rsidRDefault="009A48DA" w:rsidP="009A48D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9" w:type="dxa"/>
            <w:tcBorders>
              <w:top w:val="single" w:sz="24" w:space="0" w:color="auto"/>
            </w:tcBorders>
            <w:shd w:val="clear" w:color="auto" w:fill="auto"/>
            <w:noWrap/>
            <w:vAlign w:val="center"/>
            <w:hideMark/>
          </w:tcPr>
          <w:p w:rsidR="009A48DA" w:rsidRPr="009A48DA" w:rsidRDefault="009A48DA" w:rsidP="009A48D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A48DA" w:rsidRPr="009A48DA" w:rsidTr="009A48DA">
        <w:trPr>
          <w:trHeight w:val="312"/>
        </w:trPr>
        <w:tc>
          <w:tcPr>
            <w:tcW w:w="1418" w:type="dxa"/>
            <w:vMerge/>
            <w:tcBorders>
              <w:bottom w:val="single" w:sz="24" w:space="0" w:color="auto"/>
            </w:tcBorders>
            <w:vAlign w:val="center"/>
            <w:hideMark/>
          </w:tcPr>
          <w:p w:rsidR="009A48DA" w:rsidRPr="009A48DA" w:rsidRDefault="009A48DA" w:rsidP="009A48D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bottom w:val="single" w:sz="24" w:space="0" w:color="auto"/>
            </w:tcBorders>
            <w:vAlign w:val="center"/>
            <w:hideMark/>
          </w:tcPr>
          <w:p w:rsidR="009A48DA" w:rsidRPr="009A48DA" w:rsidRDefault="009A48DA" w:rsidP="009A48D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24" w:space="0" w:color="auto"/>
            </w:tcBorders>
            <w:vAlign w:val="center"/>
            <w:hideMark/>
          </w:tcPr>
          <w:p w:rsidR="009A48DA" w:rsidRPr="009A48DA" w:rsidRDefault="009A48DA" w:rsidP="009A48D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31" w:type="dxa"/>
            <w:vMerge/>
            <w:tcBorders>
              <w:bottom w:val="single" w:sz="24" w:space="0" w:color="auto"/>
            </w:tcBorders>
            <w:vAlign w:val="center"/>
            <w:hideMark/>
          </w:tcPr>
          <w:p w:rsidR="009A48DA" w:rsidRPr="009A48DA" w:rsidRDefault="009A48DA" w:rsidP="009A48D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5" w:type="dxa"/>
            <w:tcBorders>
              <w:top w:val="single" w:sz="12" w:space="0" w:color="auto"/>
              <w:bottom w:val="single" w:sz="24" w:space="0" w:color="auto"/>
            </w:tcBorders>
            <w:shd w:val="clear" w:color="auto" w:fill="auto"/>
            <w:noWrap/>
            <w:vAlign w:val="center"/>
            <w:hideMark/>
          </w:tcPr>
          <w:p w:rsidR="009A48DA" w:rsidRPr="009A48DA" w:rsidRDefault="009A48DA" w:rsidP="009A48D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9A48D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Hyper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-</w:t>
            </w:r>
            <w:r w:rsidRPr="009A48D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fibrinogen</w:t>
            </w:r>
          </w:p>
        </w:tc>
        <w:tc>
          <w:tcPr>
            <w:tcW w:w="2453" w:type="dxa"/>
            <w:tcBorders>
              <w:top w:val="single" w:sz="12" w:space="0" w:color="auto"/>
              <w:bottom w:val="single" w:sz="24" w:space="0" w:color="auto"/>
            </w:tcBorders>
            <w:shd w:val="clear" w:color="auto" w:fill="auto"/>
            <w:noWrap/>
            <w:vAlign w:val="center"/>
            <w:hideMark/>
          </w:tcPr>
          <w:p w:rsidR="009A48DA" w:rsidRPr="009A48DA" w:rsidRDefault="009A48DA" w:rsidP="009A48D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9A48D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Hypo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-</w:t>
            </w:r>
            <w:bookmarkStart w:id="0" w:name="_GoBack"/>
            <w:bookmarkEnd w:id="0"/>
            <w:r w:rsidRPr="009A48D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fibrinogen</w:t>
            </w:r>
          </w:p>
        </w:tc>
        <w:tc>
          <w:tcPr>
            <w:tcW w:w="2835" w:type="dxa"/>
            <w:tcBorders>
              <w:bottom w:val="single" w:sz="24" w:space="0" w:color="auto"/>
            </w:tcBorders>
            <w:shd w:val="clear" w:color="auto" w:fill="auto"/>
            <w:noWrap/>
            <w:vAlign w:val="center"/>
            <w:hideMark/>
          </w:tcPr>
          <w:p w:rsidR="009A48DA" w:rsidRPr="009A48DA" w:rsidRDefault="009A48DA" w:rsidP="009A48D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9A48D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Follow up (months)</w:t>
            </w:r>
          </w:p>
        </w:tc>
        <w:tc>
          <w:tcPr>
            <w:tcW w:w="839" w:type="dxa"/>
            <w:tcBorders>
              <w:bottom w:val="single" w:sz="24" w:space="0" w:color="auto"/>
            </w:tcBorders>
            <w:shd w:val="clear" w:color="auto" w:fill="auto"/>
            <w:noWrap/>
            <w:vAlign w:val="center"/>
            <w:hideMark/>
          </w:tcPr>
          <w:p w:rsidR="009A48DA" w:rsidRPr="009A48DA" w:rsidRDefault="009A48DA" w:rsidP="009A48D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9A48D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Quality Score (NOS)</w:t>
            </w:r>
          </w:p>
        </w:tc>
      </w:tr>
      <w:tr w:rsidR="009A48DA" w:rsidRPr="009A48DA" w:rsidTr="009A48DA">
        <w:trPr>
          <w:trHeight w:val="624"/>
        </w:trPr>
        <w:tc>
          <w:tcPr>
            <w:tcW w:w="1418" w:type="dxa"/>
            <w:tcBorders>
              <w:top w:val="single" w:sz="24" w:space="0" w:color="auto"/>
            </w:tcBorders>
            <w:shd w:val="clear" w:color="auto" w:fill="auto"/>
            <w:noWrap/>
            <w:vAlign w:val="center"/>
            <w:hideMark/>
          </w:tcPr>
          <w:p w:rsidR="009A48DA" w:rsidRPr="009A48DA" w:rsidRDefault="009A48DA" w:rsidP="009A48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48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Shu JY et al 2014</w:t>
            </w:r>
          </w:p>
        </w:tc>
        <w:tc>
          <w:tcPr>
            <w:tcW w:w="1842" w:type="dxa"/>
            <w:tcBorders>
              <w:top w:val="single" w:sz="24" w:space="0" w:color="auto"/>
            </w:tcBorders>
            <w:shd w:val="clear" w:color="auto" w:fill="auto"/>
            <w:noWrap/>
            <w:vAlign w:val="center"/>
            <w:hideMark/>
          </w:tcPr>
          <w:p w:rsidR="009A48DA" w:rsidRPr="009A48DA" w:rsidRDefault="009A48DA" w:rsidP="009A48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48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2010-2013</w:t>
            </w:r>
          </w:p>
        </w:tc>
        <w:tc>
          <w:tcPr>
            <w:tcW w:w="2410" w:type="dxa"/>
            <w:tcBorders>
              <w:top w:val="single" w:sz="24" w:space="0" w:color="auto"/>
            </w:tcBorders>
            <w:shd w:val="clear" w:color="auto" w:fill="auto"/>
            <w:vAlign w:val="center"/>
            <w:hideMark/>
          </w:tcPr>
          <w:p w:rsidR="009A48DA" w:rsidRPr="009A48DA" w:rsidRDefault="009A48DA" w:rsidP="009A48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48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Xinhua Hospital, China</w:t>
            </w:r>
          </w:p>
        </w:tc>
        <w:tc>
          <w:tcPr>
            <w:tcW w:w="1831" w:type="dxa"/>
            <w:tcBorders>
              <w:top w:val="single" w:sz="24" w:space="0" w:color="auto"/>
            </w:tcBorders>
            <w:shd w:val="clear" w:color="auto" w:fill="auto"/>
            <w:vAlign w:val="center"/>
            <w:hideMark/>
          </w:tcPr>
          <w:p w:rsidR="009A48DA" w:rsidRPr="009A48DA" w:rsidRDefault="009A48DA" w:rsidP="009A48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48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4.02g/L</w:t>
            </w:r>
          </w:p>
        </w:tc>
        <w:tc>
          <w:tcPr>
            <w:tcW w:w="2095" w:type="dxa"/>
            <w:tcBorders>
              <w:top w:val="single" w:sz="24" w:space="0" w:color="auto"/>
            </w:tcBorders>
            <w:shd w:val="clear" w:color="auto" w:fill="auto"/>
            <w:noWrap/>
            <w:vAlign w:val="center"/>
            <w:hideMark/>
          </w:tcPr>
          <w:p w:rsidR="009A48DA" w:rsidRPr="009A48DA" w:rsidRDefault="009A48DA" w:rsidP="009A48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48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2453" w:type="dxa"/>
            <w:tcBorders>
              <w:top w:val="single" w:sz="24" w:space="0" w:color="auto"/>
            </w:tcBorders>
            <w:shd w:val="clear" w:color="auto" w:fill="auto"/>
            <w:noWrap/>
            <w:vAlign w:val="center"/>
            <w:hideMark/>
          </w:tcPr>
          <w:p w:rsidR="009A48DA" w:rsidRPr="009A48DA" w:rsidRDefault="009A48DA" w:rsidP="009A48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48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2835" w:type="dxa"/>
            <w:tcBorders>
              <w:top w:val="single" w:sz="24" w:space="0" w:color="auto"/>
            </w:tcBorders>
            <w:shd w:val="clear" w:color="auto" w:fill="auto"/>
            <w:noWrap/>
            <w:vAlign w:val="center"/>
            <w:hideMark/>
          </w:tcPr>
          <w:p w:rsidR="009A48DA" w:rsidRPr="009A48DA" w:rsidRDefault="009A48DA" w:rsidP="009A48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48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16,range(1-36)</w:t>
            </w:r>
          </w:p>
        </w:tc>
        <w:tc>
          <w:tcPr>
            <w:tcW w:w="839" w:type="dxa"/>
            <w:tcBorders>
              <w:top w:val="single" w:sz="24" w:space="0" w:color="auto"/>
            </w:tcBorders>
            <w:shd w:val="clear" w:color="auto" w:fill="auto"/>
            <w:noWrap/>
            <w:vAlign w:val="center"/>
            <w:hideMark/>
          </w:tcPr>
          <w:p w:rsidR="009A48DA" w:rsidRPr="009A48DA" w:rsidRDefault="009A48DA" w:rsidP="009A48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48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 w:rsidR="009A48DA" w:rsidRPr="009A48DA" w:rsidTr="009A48DA">
        <w:trPr>
          <w:trHeight w:val="1248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9A48DA" w:rsidRPr="009A48DA" w:rsidRDefault="009A48DA" w:rsidP="009A48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48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Xu WY et al 2018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:rsidR="009A48DA" w:rsidRPr="009A48DA" w:rsidRDefault="009A48DA" w:rsidP="009A48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48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2005-2017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9A48DA" w:rsidRPr="009A48DA" w:rsidRDefault="009A48DA" w:rsidP="009A48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48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Peking </w:t>
            </w:r>
            <w:r w:rsidRPr="009A48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br/>
              <w:t>Union Medical College Hospital, China</w:t>
            </w:r>
          </w:p>
        </w:tc>
        <w:tc>
          <w:tcPr>
            <w:tcW w:w="1831" w:type="dxa"/>
            <w:shd w:val="clear" w:color="auto" w:fill="auto"/>
            <w:vAlign w:val="center"/>
            <w:hideMark/>
          </w:tcPr>
          <w:p w:rsidR="009A48DA" w:rsidRPr="009A48DA" w:rsidRDefault="009A48DA" w:rsidP="009A48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48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3.47g/L</w:t>
            </w:r>
          </w:p>
        </w:tc>
        <w:tc>
          <w:tcPr>
            <w:tcW w:w="2095" w:type="dxa"/>
            <w:shd w:val="clear" w:color="auto" w:fill="auto"/>
            <w:noWrap/>
            <w:vAlign w:val="center"/>
            <w:hideMark/>
          </w:tcPr>
          <w:p w:rsidR="009A48DA" w:rsidRPr="009A48DA" w:rsidRDefault="009A48DA" w:rsidP="009A48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48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2453" w:type="dxa"/>
            <w:shd w:val="clear" w:color="auto" w:fill="auto"/>
            <w:noWrap/>
            <w:vAlign w:val="center"/>
            <w:hideMark/>
          </w:tcPr>
          <w:p w:rsidR="009A48DA" w:rsidRPr="009A48DA" w:rsidRDefault="009A48DA" w:rsidP="009A48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48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:rsidR="009A48DA" w:rsidRPr="009A48DA" w:rsidRDefault="009A48DA" w:rsidP="009A48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48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3-mo for the first 2 </w:t>
            </w:r>
            <w:r w:rsidRPr="009A48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br/>
              <w:t xml:space="preserve">years after surgery,  6-mo in the third </w:t>
            </w:r>
            <w:r w:rsidRPr="009A48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br/>
              <w:t>year, and  1-year thereafter</w:t>
            </w:r>
          </w:p>
        </w:tc>
        <w:tc>
          <w:tcPr>
            <w:tcW w:w="839" w:type="dxa"/>
            <w:shd w:val="clear" w:color="auto" w:fill="auto"/>
            <w:noWrap/>
            <w:vAlign w:val="center"/>
            <w:hideMark/>
          </w:tcPr>
          <w:p w:rsidR="009A48DA" w:rsidRPr="009A48DA" w:rsidRDefault="009A48DA" w:rsidP="009A48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48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 w:rsidR="009A48DA" w:rsidRPr="009A48DA" w:rsidTr="009A48DA">
        <w:trPr>
          <w:trHeight w:val="1104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9A48DA" w:rsidRPr="009A48DA" w:rsidRDefault="009A48DA" w:rsidP="009A48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48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Cao P et al 2021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:rsidR="009A48DA" w:rsidRPr="009A48DA" w:rsidRDefault="009A48DA" w:rsidP="009A48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48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2008-2017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9A48DA" w:rsidRPr="009A48DA" w:rsidRDefault="009A48DA" w:rsidP="009A48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A48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Afliated Union Hospital of Fujian Medical University, China</w:t>
            </w:r>
          </w:p>
        </w:tc>
        <w:tc>
          <w:tcPr>
            <w:tcW w:w="1831" w:type="dxa"/>
            <w:shd w:val="clear" w:color="auto" w:fill="auto"/>
            <w:vAlign w:val="center"/>
            <w:hideMark/>
          </w:tcPr>
          <w:p w:rsidR="009A48DA" w:rsidRPr="009A48DA" w:rsidRDefault="009A48DA" w:rsidP="009A48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48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4g/L</w:t>
            </w:r>
          </w:p>
        </w:tc>
        <w:tc>
          <w:tcPr>
            <w:tcW w:w="2095" w:type="dxa"/>
            <w:shd w:val="clear" w:color="auto" w:fill="auto"/>
            <w:noWrap/>
            <w:vAlign w:val="center"/>
            <w:hideMark/>
          </w:tcPr>
          <w:p w:rsidR="009A48DA" w:rsidRPr="009A48DA" w:rsidRDefault="009A48DA" w:rsidP="009A48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48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2453" w:type="dxa"/>
            <w:shd w:val="clear" w:color="auto" w:fill="auto"/>
            <w:noWrap/>
            <w:vAlign w:val="center"/>
            <w:hideMark/>
          </w:tcPr>
          <w:p w:rsidR="009A48DA" w:rsidRPr="009A48DA" w:rsidRDefault="009A48DA" w:rsidP="009A48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48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:rsidR="009A48DA" w:rsidRPr="009A48DA" w:rsidRDefault="009A48DA" w:rsidP="009A48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48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13.6, range(1.5-36)</w:t>
            </w:r>
          </w:p>
        </w:tc>
        <w:tc>
          <w:tcPr>
            <w:tcW w:w="839" w:type="dxa"/>
            <w:shd w:val="clear" w:color="auto" w:fill="auto"/>
            <w:noWrap/>
            <w:vAlign w:val="center"/>
            <w:hideMark/>
          </w:tcPr>
          <w:p w:rsidR="009A48DA" w:rsidRPr="009A48DA" w:rsidRDefault="009A48DA" w:rsidP="009A48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48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9A48DA" w:rsidRPr="009A48DA" w:rsidTr="009A48DA">
        <w:trPr>
          <w:trHeight w:val="624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9A48DA" w:rsidRPr="009A48DA" w:rsidRDefault="009A48DA" w:rsidP="009A48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48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Yang ZY et al 2021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:rsidR="009A48DA" w:rsidRPr="009A48DA" w:rsidRDefault="009A48DA" w:rsidP="009A48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48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2006-2014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9A48DA" w:rsidRPr="009A48DA" w:rsidRDefault="009A48DA" w:rsidP="009A48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48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Xinhua Hospital, China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9A48DA" w:rsidRPr="009A48DA" w:rsidRDefault="009A48DA" w:rsidP="009A48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48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4.43g/L</w:t>
            </w:r>
          </w:p>
        </w:tc>
        <w:tc>
          <w:tcPr>
            <w:tcW w:w="2095" w:type="dxa"/>
            <w:shd w:val="clear" w:color="auto" w:fill="auto"/>
            <w:noWrap/>
            <w:vAlign w:val="center"/>
            <w:hideMark/>
          </w:tcPr>
          <w:p w:rsidR="009A48DA" w:rsidRPr="009A48DA" w:rsidRDefault="009A48DA" w:rsidP="009A48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48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2453" w:type="dxa"/>
            <w:shd w:val="clear" w:color="auto" w:fill="auto"/>
            <w:noWrap/>
            <w:vAlign w:val="center"/>
            <w:hideMark/>
          </w:tcPr>
          <w:p w:rsidR="009A48DA" w:rsidRPr="009A48DA" w:rsidRDefault="009A48DA" w:rsidP="009A48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48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120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:rsidR="009A48DA" w:rsidRPr="009A48DA" w:rsidRDefault="009A48DA" w:rsidP="009A48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48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13, range(2-83)</w:t>
            </w:r>
          </w:p>
        </w:tc>
        <w:tc>
          <w:tcPr>
            <w:tcW w:w="839" w:type="dxa"/>
            <w:shd w:val="clear" w:color="auto" w:fill="auto"/>
            <w:noWrap/>
            <w:vAlign w:val="center"/>
            <w:hideMark/>
          </w:tcPr>
          <w:p w:rsidR="009A48DA" w:rsidRPr="009A48DA" w:rsidRDefault="009A48DA" w:rsidP="009A48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48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 w:rsidR="009A48DA" w:rsidRPr="009A48DA" w:rsidTr="009A48DA">
        <w:trPr>
          <w:trHeight w:val="936"/>
        </w:trPr>
        <w:tc>
          <w:tcPr>
            <w:tcW w:w="1418" w:type="dxa"/>
            <w:tcBorders>
              <w:bottom w:val="single" w:sz="24" w:space="0" w:color="auto"/>
            </w:tcBorders>
            <w:shd w:val="clear" w:color="auto" w:fill="auto"/>
            <w:noWrap/>
            <w:vAlign w:val="center"/>
            <w:hideMark/>
          </w:tcPr>
          <w:p w:rsidR="009A48DA" w:rsidRPr="009A48DA" w:rsidRDefault="009A48DA" w:rsidP="009A48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48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Lv TR et al 2022*</w:t>
            </w:r>
          </w:p>
        </w:tc>
        <w:tc>
          <w:tcPr>
            <w:tcW w:w="1842" w:type="dxa"/>
            <w:tcBorders>
              <w:bottom w:val="single" w:sz="24" w:space="0" w:color="auto"/>
            </w:tcBorders>
            <w:shd w:val="clear" w:color="auto" w:fill="auto"/>
            <w:noWrap/>
            <w:vAlign w:val="center"/>
            <w:hideMark/>
          </w:tcPr>
          <w:p w:rsidR="009A48DA" w:rsidRPr="009A48DA" w:rsidRDefault="009A48DA" w:rsidP="009A48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48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2010-2020</w:t>
            </w:r>
          </w:p>
        </w:tc>
        <w:tc>
          <w:tcPr>
            <w:tcW w:w="2410" w:type="dxa"/>
            <w:tcBorders>
              <w:bottom w:val="single" w:sz="24" w:space="0" w:color="auto"/>
            </w:tcBorders>
            <w:shd w:val="clear" w:color="auto" w:fill="auto"/>
            <w:vAlign w:val="center"/>
            <w:hideMark/>
          </w:tcPr>
          <w:p w:rsidR="009A48DA" w:rsidRPr="009A48DA" w:rsidRDefault="009A48DA" w:rsidP="009A48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48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West China Hospital, China</w:t>
            </w:r>
          </w:p>
        </w:tc>
        <w:tc>
          <w:tcPr>
            <w:tcW w:w="1831" w:type="dxa"/>
            <w:tcBorders>
              <w:bottom w:val="single" w:sz="24" w:space="0" w:color="auto"/>
            </w:tcBorders>
            <w:shd w:val="clear" w:color="auto" w:fill="auto"/>
            <w:noWrap/>
            <w:vAlign w:val="center"/>
            <w:hideMark/>
          </w:tcPr>
          <w:p w:rsidR="009A48DA" w:rsidRPr="009A48DA" w:rsidRDefault="009A48DA" w:rsidP="009A48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48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4g/L</w:t>
            </w:r>
          </w:p>
        </w:tc>
        <w:tc>
          <w:tcPr>
            <w:tcW w:w="2095" w:type="dxa"/>
            <w:tcBorders>
              <w:bottom w:val="single" w:sz="24" w:space="0" w:color="auto"/>
            </w:tcBorders>
            <w:shd w:val="clear" w:color="auto" w:fill="auto"/>
            <w:noWrap/>
            <w:vAlign w:val="center"/>
            <w:hideMark/>
          </w:tcPr>
          <w:p w:rsidR="009A48DA" w:rsidRPr="009A48DA" w:rsidRDefault="009A48DA" w:rsidP="009A48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48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2453" w:type="dxa"/>
            <w:tcBorders>
              <w:bottom w:val="single" w:sz="24" w:space="0" w:color="auto"/>
            </w:tcBorders>
            <w:shd w:val="clear" w:color="auto" w:fill="auto"/>
            <w:noWrap/>
            <w:vAlign w:val="center"/>
            <w:hideMark/>
          </w:tcPr>
          <w:p w:rsidR="009A48DA" w:rsidRPr="009A48DA" w:rsidRDefault="009A48DA" w:rsidP="009A48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48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246</w:t>
            </w:r>
          </w:p>
        </w:tc>
        <w:tc>
          <w:tcPr>
            <w:tcW w:w="2835" w:type="dxa"/>
            <w:tcBorders>
              <w:bottom w:val="single" w:sz="24" w:space="0" w:color="auto"/>
            </w:tcBorders>
            <w:shd w:val="clear" w:color="auto" w:fill="auto"/>
            <w:vAlign w:val="center"/>
            <w:hideMark/>
          </w:tcPr>
          <w:p w:rsidR="009A48DA" w:rsidRPr="009A48DA" w:rsidRDefault="009A48DA" w:rsidP="009A48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48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every 3 months in the first two years and every 6 months thereafter</w:t>
            </w:r>
          </w:p>
        </w:tc>
        <w:tc>
          <w:tcPr>
            <w:tcW w:w="839" w:type="dxa"/>
            <w:tcBorders>
              <w:bottom w:val="single" w:sz="24" w:space="0" w:color="auto"/>
            </w:tcBorders>
            <w:shd w:val="clear" w:color="auto" w:fill="auto"/>
            <w:noWrap/>
            <w:vAlign w:val="center"/>
            <w:hideMark/>
          </w:tcPr>
          <w:p w:rsidR="009A48DA" w:rsidRPr="009A48DA" w:rsidRDefault="009A48DA" w:rsidP="009A48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48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 w:rsidR="009A48DA" w:rsidRPr="009A48DA" w:rsidTr="009A48DA">
        <w:trPr>
          <w:trHeight w:val="312"/>
        </w:trPr>
        <w:tc>
          <w:tcPr>
            <w:tcW w:w="15723" w:type="dxa"/>
            <w:gridSpan w:val="8"/>
            <w:tcBorders>
              <w:top w:val="single" w:sz="24" w:space="0" w:color="auto"/>
            </w:tcBorders>
            <w:shd w:val="clear" w:color="auto" w:fill="auto"/>
            <w:hideMark/>
          </w:tcPr>
          <w:p w:rsidR="009A48DA" w:rsidRPr="009A48DA" w:rsidRDefault="009A48DA" w:rsidP="009A48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48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No. : the number of; GBASC: gallbladder adenosquamous carcinoma; NOS: Newcastle Ottawa Scale; NA: not available; *:our cohort</w:t>
            </w:r>
          </w:p>
        </w:tc>
      </w:tr>
    </w:tbl>
    <w:p w:rsidR="007213F7" w:rsidRPr="009A48DA" w:rsidRDefault="007213F7"/>
    <w:sectPr w:rsidR="007213F7" w:rsidRPr="009A48DA" w:rsidSect="009A48D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C4A60" w:rsidRDefault="00BC4A60" w:rsidP="009A48DA">
      <w:r>
        <w:separator/>
      </w:r>
    </w:p>
  </w:endnote>
  <w:endnote w:type="continuationSeparator" w:id="0">
    <w:p w:rsidR="00BC4A60" w:rsidRDefault="00BC4A60" w:rsidP="009A48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C4A60" w:rsidRDefault="00BC4A60" w:rsidP="009A48DA">
      <w:r>
        <w:separator/>
      </w:r>
    </w:p>
  </w:footnote>
  <w:footnote w:type="continuationSeparator" w:id="0">
    <w:p w:rsidR="00BC4A60" w:rsidRDefault="00BC4A60" w:rsidP="009A48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12D8"/>
    <w:rsid w:val="001212D8"/>
    <w:rsid w:val="007213F7"/>
    <w:rsid w:val="009A48DA"/>
    <w:rsid w:val="00BC4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AF0D91"/>
  <w15:chartTrackingRefBased/>
  <w15:docId w15:val="{ED5617F7-C5B2-4DF3-9A07-A862FD5A2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48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48D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48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48D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3980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145</Words>
  <Characters>832</Characters>
  <Application>Microsoft Office Word</Application>
  <DocSecurity>0</DocSecurity>
  <Lines>6</Lines>
  <Paragraphs>1</Paragraphs>
  <ScaleCrop>false</ScaleCrop>
  <Company/>
  <LinksUpToDate>false</LinksUpToDate>
  <CharactersWithSpaces>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8615242072823</dc:creator>
  <cp:keywords/>
  <dc:description/>
  <cp:lastModifiedBy>8615242072823</cp:lastModifiedBy>
  <cp:revision>2</cp:revision>
  <dcterms:created xsi:type="dcterms:W3CDTF">2022-11-11T04:36:00Z</dcterms:created>
  <dcterms:modified xsi:type="dcterms:W3CDTF">2022-11-11T04:40:00Z</dcterms:modified>
</cp:coreProperties>
</file>