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168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625"/>
        <w:gridCol w:w="1912"/>
        <w:gridCol w:w="2126"/>
        <w:gridCol w:w="2552"/>
        <w:gridCol w:w="2126"/>
        <w:gridCol w:w="1701"/>
        <w:gridCol w:w="2126"/>
      </w:tblGrid>
      <w:tr w:rsidR="00A001F9" w:rsidRPr="00A001F9" w:rsidTr="00A001F9">
        <w:trPr>
          <w:trHeight w:val="348"/>
        </w:trPr>
        <w:tc>
          <w:tcPr>
            <w:tcW w:w="15168" w:type="dxa"/>
            <w:gridSpan w:val="7"/>
            <w:shd w:val="clear" w:color="auto" w:fill="auto"/>
            <w:noWrap/>
            <w:hideMark/>
          </w:tcPr>
          <w:p w:rsidR="00A001F9" w:rsidRPr="00A001F9" w:rsidRDefault="00A001F9" w:rsidP="00A001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A001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Table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S2 Meta-analysis on the clinic</w:t>
            </w:r>
            <w:r w:rsidRPr="00A001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-patholog</w:t>
            </w:r>
            <w:bookmarkStart w:id="0" w:name="_GoBack"/>
            <w:bookmarkEnd w:id="0"/>
            <w:r w:rsidRPr="00A001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ical features and long-term survival between patients with hyper or hypo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-</w:t>
            </w:r>
            <w:r w:rsidRPr="00A001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fibrinogen</w:t>
            </w:r>
          </w:p>
        </w:tc>
      </w:tr>
      <w:tr w:rsidR="00A001F9" w:rsidRPr="00A001F9" w:rsidTr="00A001F9">
        <w:trPr>
          <w:trHeight w:val="348"/>
        </w:trPr>
        <w:tc>
          <w:tcPr>
            <w:tcW w:w="2625" w:type="dxa"/>
            <w:vMerge w:val="restart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A001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Outcomes</w:t>
            </w:r>
          </w:p>
        </w:tc>
        <w:tc>
          <w:tcPr>
            <w:tcW w:w="1912" w:type="dxa"/>
            <w:vMerge w:val="restart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A001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No. studies</w:t>
            </w:r>
          </w:p>
        </w:tc>
        <w:tc>
          <w:tcPr>
            <w:tcW w:w="4678" w:type="dxa"/>
            <w:gridSpan w:val="2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A001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No. patients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A001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OR/HR/WMD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A001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95% CI</w:t>
            </w:r>
          </w:p>
        </w:tc>
        <w:tc>
          <w:tcPr>
            <w:tcW w:w="2126" w:type="dxa"/>
            <w:vMerge w:val="restart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A001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P value</w:t>
            </w:r>
          </w:p>
        </w:tc>
      </w:tr>
      <w:tr w:rsidR="00A001F9" w:rsidRPr="00A001F9" w:rsidTr="00A001F9">
        <w:trPr>
          <w:trHeight w:val="348"/>
        </w:trPr>
        <w:tc>
          <w:tcPr>
            <w:tcW w:w="2625" w:type="dxa"/>
            <w:vMerge/>
            <w:vAlign w:val="center"/>
            <w:hideMark/>
          </w:tcPr>
          <w:p w:rsidR="00A001F9" w:rsidRPr="00A001F9" w:rsidRDefault="00A001F9" w:rsidP="00A001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12" w:type="dxa"/>
            <w:vMerge/>
            <w:vAlign w:val="center"/>
            <w:hideMark/>
          </w:tcPr>
          <w:p w:rsidR="00A001F9" w:rsidRPr="00A001F9" w:rsidRDefault="00A001F9" w:rsidP="00A001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Hyper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 w:rsidRPr="00A001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fibrinogen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Hypo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 w:rsidRPr="00A001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fibrinogen</w:t>
            </w:r>
          </w:p>
        </w:tc>
        <w:tc>
          <w:tcPr>
            <w:tcW w:w="2126" w:type="dxa"/>
            <w:vMerge/>
            <w:vAlign w:val="center"/>
            <w:hideMark/>
          </w:tcPr>
          <w:p w:rsidR="00A001F9" w:rsidRPr="00A001F9" w:rsidRDefault="00A001F9" w:rsidP="00A001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A001F9" w:rsidRPr="00A001F9" w:rsidRDefault="00A001F9" w:rsidP="00A001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:rsidR="00A001F9" w:rsidRPr="00A001F9" w:rsidRDefault="00A001F9" w:rsidP="00A001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001F9" w:rsidRPr="00A001F9" w:rsidTr="00A001F9">
        <w:trPr>
          <w:trHeight w:val="312"/>
        </w:trPr>
        <w:tc>
          <w:tcPr>
            <w:tcW w:w="2625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OS</w:t>
            </w:r>
          </w:p>
        </w:tc>
        <w:tc>
          <w:tcPr>
            <w:tcW w:w="1912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HR=0.51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0.36-0.74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P=0.0004</w:t>
            </w:r>
          </w:p>
        </w:tc>
      </w:tr>
      <w:tr w:rsidR="00A001F9" w:rsidRPr="00A001F9" w:rsidTr="00A001F9">
        <w:trPr>
          <w:trHeight w:val="312"/>
        </w:trPr>
        <w:tc>
          <w:tcPr>
            <w:tcW w:w="2625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CA199</w:t>
            </w:r>
          </w:p>
        </w:tc>
        <w:tc>
          <w:tcPr>
            <w:tcW w:w="1912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426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WMD=0.47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0.03-0.96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P=0.06</w:t>
            </w:r>
          </w:p>
        </w:tc>
      </w:tr>
      <w:tr w:rsidR="00A001F9" w:rsidRPr="00A001F9" w:rsidTr="00A001F9">
        <w:trPr>
          <w:trHeight w:val="312"/>
        </w:trPr>
        <w:tc>
          <w:tcPr>
            <w:tcW w:w="2625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Node metastasis</w:t>
            </w:r>
          </w:p>
        </w:tc>
        <w:tc>
          <w:tcPr>
            <w:tcW w:w="1912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279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OR=1.87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1.07-3.25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P=0.03</w:t>
            </w:r>
          </w:p>
        </w:tc>
      </w:tr>
      <w:tr w:rsidR="00A001F9" w:rsidRPr="00A001F9" w:rsidTr="00A001F9">
        <w:trPr>
          <w:trHeight w:val="312"/>
        </w:trPr>
        <w:tc>
          <w:tcPr>
            <w:tcW w:w="2625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T3-4 disease</w:t>
            </w:r>
          </w:p>
        </w:tc>
        <w:tc>
          <w:tcPr>
            <w:tcW w:w="1912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279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OR=3.91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2.56-5.96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P&lt;0.00001</w:t>
            </w:r>
          </w:p>
        </w:tc>
      </w:tr>
      <w:tr w:rsidR="00A001F9" w:rsidRPr="00A001F9" w:rsidTr="00A001F9">
        <w:trPr>
          <w:trHeight w:val="312"/>
        </w:trPr>
        <w:tc>
          <w:tcPr>
            <w:tcW w:w="2625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III-IV disease</w:t>
            </w:r>
          </w:p>
        </w:tc>
        <w:tc>
          <w:tcPr>
            <w:tcW w:w="1912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OR=4.73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2.96-7.56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A001F9" w:rsidRPr="00A001F9" w:rsidRDefault="00A001F9" w:rsidP="00A001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P&lt;0.00001</w:t>
            </w:r>
          </w:p>
        </w:tc>
      </w:tr>
      <w:tr w:rsidR="00A001F9" w:rsidRPr="00A001F9" w:rsidTr="00A001F9">
        <w:trPr>
          <w:trHeight w:val="336"/>
        </w:trPr>
        <w:tc>
          <w:tcPr>
            <w:tcW w:w="15168" w:type="dxa"/>
            <w:gridSpan w:val="7"/>
            <w:shd w:val="clear" w:color="auto" w:fill="auto"/>
            <w:hideMark/>
          </w:tcPr>
          <w:p w:rsidR="00A001F9" w:rsidRPr="00A001F9" w:rsidRDefault="00A001F9" w:rsidP="00C969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001F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OS: overall survival;  No. : the number of; OR: odds ratio; HR: hazard ratio; WMD: weighted mean difference; CI: confidence interval.</w:t>
            </w:r>
          </w:p>
        </w:tc>
      </w:tr>
    </w:tbl>
    <w:p w:rsidR="007213F7" w:rsidRPr="00A001F9" w:rsidRDefault="007213F7"/>
    <w:sectPr w:rsidR="007213F7" w:rsidRPr="00A001F9" w:rsidSect="00A001F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4627" w:rsidRDefault="00874627" w:rsidP="00A001F9">
      <w:r>
        <w:separator/>
      </w:r>
    </w:p>
  </w:endnote>
  <w:endnote w:type="continuationSeparator" w:id="0">
    <w:p w:rsidR="00874627" w:rsidRDefault="00874627" w:rsidP="00A001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4627" w:rsidRDefault="00874627" w:rsidP="00A001F9">
      <w:r>
        <w:separator/>
      </w:r>
    </w:p>
  </w:footnote>
  <w:footnote w:type="continuationSeparator" w:id="0">
    <w:p w:rsidR="00874627" w:rsidRDefault="00874627" w:rsidP="00A001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926"/>
    <w:rsid w:val="007213F7"/>
    <w:rsid w:val="00874627"/>
    <w:rsid w:val="009F5926"/>
    <w:rsid w:val="00A001F9"/>
    <w:rsid w:val="00C96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00FE1D"/>
  <w15:chartTrackingRefBased/>
  <w15:docId w15:val="{52220135-5320-4518-B0D6-5B68D1429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01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01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01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01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54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8615242072823</dc:creator>
  <cp:keywords/>
  <dc:description/>
  <cp:lastModifiedBy>8615242072823</cp:lastModifiedBy>
  <cp:revision>3</cp:revision>
  <dcterms:created xsi:type="dcterms:W3CDTF">2022-11-11T04:40:00Z</dcterms:created>
  <dcterms:modified xsi:type="dcterms:W3CDTF">2022-11-11T04:43:00Z</dcterms:modified>
</cp:coreProperties>
</file>