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 Regular" w:hAnsi="Times New Roman Regular" w:cs="Times New Roman Regular"/>
          <w:sz w:val="15"/>
          <w:szCs w:val="15"/>
        </w:rPr>
      </w:pPr>
      <w:r>
        <w:rPr>
          <w:rFonts w:hint="default" w:ascii="Times New Roman Regular" w:hAnsi="Times New Roman Regular" w:cs="Times New Roman Regular"/>
          <w:sz w:val="15"/>
          <w:szCs w:val="15"/>
          <w:lang w:val="en-US" w:eastAsia="zh-Hans"/>
        </w:rPr>
        <w:t>S</w:t>
      </w:r>
      <w:r>
        <w:rPr>
          <w:rFonts w:hint="default" w:ascii="Times New Roman Regular" w:hAnsi="Times New Roman Regular" w:cs="Times New Roman Regular"/>
          <w:sz w:val="15"/>
          <w:szCs w:val="15"/>
          <w:lang w:eastAsia="zh-Hans"/>
        </w:rPr>
        <w:t xml:space="preserve">upplementary </w:t>
      </w:r>
      <w:r>
        <w:rPr>
          <w:rFonts w:hint="default" w:ascii="Times New Roman Regular" w:hAnsi="Times New Roman Regular" w:cs="Times New Roman Regular"/>
          <w:sz w:val="15"/>
          <w:szCs w:val="15"/>
        </w:rPr>
        <w:t>Table.1 The R</w:t>
      </w:r>
      <w:r>
        <w:rPr>
          <w:rFonts w:hint="default" w:ascii="Times New Roman Regular" w:hAnsi="Times New Roman Regular" w:cs="Times New Roman Regular"/>
          <w:sz w:val="15"/>
          <w:szCs w:val="15"/>
          <w:vertAlign w:val="superscript"/>
        </w:rPr>
        <w:t>2</w:t>
      </w:r>
      <w:r>
        <w:rPr>
          <w:rFonts w:hint="default" w:ascii="Times New Roman Regular" w:hAnsi="Times New Roman Regular" w:cs="Times New Roman Regular"/>
          <w:sz w:val="15"/>
          <w:szCs w:val="15"/>
          <w:vertAlign w:val="baseline"/>
        </w:rPr>
        <w:t xml:space="preserve"> and F stati</w:t>
      </w:r>
      <w:bookmarkStart w:id="0" w:name="_GoBack"/>
      <w:bookmarkEnd w:id="0"/>
      <w:r>
        <w:rPr>
          <w:rFonts w:hint="default" w:ascii="Times New Roman Regular" w:hAnsi="Times New Roman Regular" w:cs="Times New Roman Regular"/>
          <w:sz w:val="15"/>
          <w:szCs w:val="15"/>
          <w:vertAlign w:val="baseline"/>
        </w:rPr>
        <w:t>stics of IVs</w:t>
      </w:r>
    </w:p>
    <w:tbl>
      <w:tblPr>
        <w:tblStyle w:val="3"/>
        <w:tblpPr w:leftFromText="180" w:rightFromText="180" w:vertAnchor="text" w:horzAnchor="page" w:tblpX="1790" w:tblpY="297"/>
        <w:tblOverlap w:val="never"/>
        <w:tblW w:w="8858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18"/>
        <w:gridCol w:w="1418"/>
        <w:gridCol w:w="938"/>
        <w:gridCol w:w="1732"/>
        <w:gridCol w:w="1732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tcBorders>
              <w:top w:val="single" w:color="auto" w:sz="4" w:space="0"/>
              <w:insideH w:val="single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Exposure</w:t>
            </w:r>
          </w:p>
        </w:tc>
        <w:tc>
          <w:tcPr>
            <w:tcW w:w="1418" w:type="dxa"/>
            <w:tcBorders>
              <w:top w:val="single" w:color="auto" w:sz="4" w:space="0"/>
              <w:insideH w:val="single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Sample size of GWAS</w:t>
            </w:r>
          </w:p>
        </w:tc>
        <w:tc>
          <w:tcPr>
            <w:tcW w:w="1418" w:type="dxa"/>
            <w:tcBorders>
              <w:top w:val="single" w:color="auto" w:sz="4" w:space="0"/>
              <w:insideH w:val="single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outcome</w:t>
            </w:r>
          </w:p>
        </w:tc>
        <w:tc>
          <w:tcPr>
            <w:tcW w:w="938" w:type="dxa"/>
            <w:tcBorders>
              <w:top w:val="single" w:color="auto" w:sz="4" w:space="0"/>
              <w:insideH w:val="single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No. of IVs</w:t>
            </w:r>
          </w:p>
        </w:tc>
        <w:tc>
          <w:tcPr>
            <w:tcW w:w="1732" w:type="dxa"/>
            <w:tcBorders>
              <w:bottom w:val="single" w:color="auto" w:sz="4" w:space="0"/>
              <w:insideH w:val="single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R</w:t>
            </w:r>
            <w:r>
              <w:rPr>
                <w:rFonts w:hint="default" w:ascii="Times New Roman Regular" w:hAnsi="Times New Roman Regular" w:cs="Times New Roman Regular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732" w:type="dxa"/>
            <w:tcBorders>
              <w:bottom w:val="single" w:color="auto" w:sz="4" w:space="0"/>
              <w:insideH w:val="single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F statistics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1418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>377,988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</w:tc>
        <w:tc>
          <w:tcPr>
            <w:tcW w:w="1418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H BMD</w:t>
            </w:r>
          </w:p>
        </w:tc>
        <w:tc>
          <w:tcPr>
            <w:tcW w:w="938" w:type="dxa"/>
            <w:tcBorders>
              <w:top w:val="single" w:color="auto" w:sz="4" w:space="0"/>
            </w:tcBorders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5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0.000174948803959739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13.2278139538922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sz w:val="15"/>
                <w:szCs w:val="15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>377,988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FN BMD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5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0.000173296044615965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13.1028277754331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>377,988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LS BMD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5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0.000173296044615965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13.1028277754331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>377,988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UF BMD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6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0.000207075216486619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13.0477847733281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>377,988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TB BMD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6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0.000186671074096277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11.7618821461711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H BMD</w:t>
            </w: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>426,824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501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0.195499539951768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206.785204508578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FN BMD</w:t>
            </w: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  <w:lang w:val="en-US"/>
              </w:rPr>
            </w:pPr>
            <w:r>
              <w:rPr>
                <w:rFonts w:hint="default" w:ascii="Times New Roman Regular" w:hAnsi="Times New Roman Regular" w:eastAsia="Helvetica Neue" w:cs="Times New Roman Regular"/>
                <w:color w:val="212529"/>
                <w:kern w:val="2"/>
                <w:sz w:val="15"/>
                <w:szCs w:val="15"/>
                <w:lang w:val="en-US" w:eastAsia="zh-CN" w:bidi="ar"/>
              </w:rPr>
              <w:t>32,735</w:t>
            </w:r>
          </w:p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20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0.0306705752841666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51.7552224384588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LS BMD</w:t>
            </w: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Helvetica Neue" w:cs="Times New Roman Regular"/>
                <w:color w:val="212529"/>
                <w:kern w:val="2"/>
                <w:sz w:val="15"/>
                <w:szCs w:val="15"/>
                <w:lang w:val="en-US" w:eastAsia="zh-CN" w:bidi="ar"/>
              </w:rPr>
              <w:t>28,498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21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0.0386117613929731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49.7211830610295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UF BMD</w:t>
            </w: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>21,907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11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0.0333451521679802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68.6615391734563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62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TB BMD</w:t>
            </w: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>56,284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15"/>
                <w:szCs w:val="15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</w:p>
        </w:tc>
        <w:tc>
          <w:tcPr>
            <w:tcW w:w="1418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 w:eastAsiaTheme="minor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NAFLD</w:t>
            </w:r>
          </w:p>
        </w:tc>
        <w:tc>
          <w:tcPr>
            <w:tcW w:w="93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81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0.0912934559607244</w:t>
            </w:r>
          </w:p>
        </w:tc>
        <w:tc>
          <w:tcPr>
            <w:tcW w:w="173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15"/>
                <w:szCs w:val="15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</w:rPr>
              <w:t>69.7080194874951</w:t>
            </w:r>
          </w:p>
        </w:tc>
      </w:tr>
    </w:tbl>
    <w:p>
      <w:pPr>
        <w:jc w:val="left"/>
        <w:rPr>
          <w:rFonts w:hint="default" w:ascii="Times New Roman Regular" w:hAnsi="Times New Roman Regular" w:cs="Times New Roman Regular"/>
          <w:sz w:val="15"/>
          <w:szCs w:val="15"/>
        </w:rPr>
      </w:pPr>
    </w:p>
    <w:p>
      <w:pPr>
        <w:jc w:val="left"/>
        <w:rPr>
          <w:rFonts w:hint="default" w:ascii="Times New Roman Regular" w:hAnsi="Times New Roman Regular" w:cs="Times New Roman Regular"/>
          <w:sz w:val="15"/>
          <w:szCs w:val="15"/>
        </w:rPr>
      </w:pPr>
      <w:r>
        <w:rPr>
          <w:rFonts w:hint="default" w:ascii="Times New Roman Regular" w:hAnsi="Times New Roman Regular" w:cs="Times New Roman Regular"/>
          <w:sz w:val="15"/>
          <w:szCs w:val="15"/>
        </w:rPr>
        <w:t xml:space="preserve">BMD: bone mineral density; </w:t>
      </w:r>
      <w:r>
        <w:rPr>
          <w:rFonts w:hint="default" w:ascii="Times New Roman Regular" w:hAnsi="Times New Roman Regular" w:cs="Times New Roman Regular"/>
          <w:sz w:val="15"/>
          <w:szCs w:val="15"/>
        </w:rPr>
        <w:t xml:space="preserve">NAFLD: </w:t>
      </w:r>
      <w:r>
        <w:rPr>
          <w:rFonts w:hint="default" w:ascii="Times New Roman Regular" w:hAnsi="Times New Roman Regular" w:cs="Times New Roman Regular"/>
          <w:sz w:val="15"/>
          <w:szCs w:val="15"/>
        </w:rPr>
        <w:t>;</w:t>
      </w:r>
      <w:r>
        <w:rPr>
          <w:rFonts w:hint="default" w:ascii="Times New Roman Regular" w:hAnsi="Times New Roman Regular" w:cs="Times New Roman Regular"/>
          <w:sz w:val="15"/>
          <w:szCs w:val="15"/>
        </w:rPr>
        <w:t>non-alcoholic fatty liver disease</w:t>
      </w:r>
      <w:r>
        <w:rPr>
          <w:rFonts w:hint="default" w:ascii="Times New Roman Regular" w:hAnsi="Times New Roman Regular" w:cs="Times New Roman Regular"/>
          <w:sz w:val="15"/>
          <w:szCs w:val="15"/>
        </w:rPr>
        <w:t>;</w:t>
      </w:r>
      <w:r>
        <w:rPr>
          <w:rFonts w:hint="default" w:ascii="Times New Roman Regular" w:hAnsi="Times New Roman Regular" w:cs="Times New Roman Regular"/>
          <w:sz w:val="15"/>
          <w:szCs w:val="15"/>
        </w:rPr>
        <w:t xml:space="preserve"> FN- femoral neck; LS- lumbar spine; UF- ultra-distal forearm; TB- total body; GWAS: Genome-wide association study</w:t>
      </w:r>
      <w:r>
        <w:rPr>
          <w:rFonts w:hint="default" w:ascii="Times New Roman Regular" w:hAnsi="Times New Roman Regular" w:cs="Times New Roman Regular"/>
          <w:sz w:val="15"/>
          <w:szCs w:val="15"/>
        </w:rPr>
        <w:t>;IV: instrumental variables.</w:t>
      </w:r>
    </w:p>
    <w:p>
      <w:pPr>
        <w:rPr>
          <w:rFonts w:hint="default" w:ascii="Times New Roman Regular" w:hAnsi="Times New Roman Regular" w:cs="Times New Roman Regular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0"/>
  <w:bordersDoNotSurroundFooter w:val="0"/>
  <w:documentProtection w:enforcement="0"/>
  <w:defaultTabStop w:val="72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25FBE"/>
    <w:rsid w:val="00832F16"/>
    <w:rsid w:val="00A34B40"/>
    <w:rsid w:val="66FF4667"/>
    <w:rsid w:val="6FFE6862"/>
    <w:rsid w:val="7EEB667F"/>
    <w:rsid w:val="7FA6C5C2"/>
    <w:rsid w:val="93FF228A"/>
    <w:rsid w:val="9EDC47B8"/>
    <w:rsid w:val="B2F3F887"/>
    <w:rsid w:val="E7DC8C38"/>
    <w:rsid w:val="F72B13B1"/>
    <w:rsid w:val="FEE7F2BB"/>
    <w:rsid w:val="FFAB9704"/>
    <w:rsid w:val="FFDD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DengXian" w:hAnsi="DengXian" w:eastAsia="DengXian" w:cs="DengXian"/>
      <w:kern w:val="2"/>
      <w:sz w:val="21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color="auto" w:sz="8" w:space="0"/>
        <w:bottom w:val="single" w:color="auto" w:sz="8" w:space="0"/>
      </w:tblBorders>
    </w:tblPr>
    <w:tblStylePr w:type="firstRow">
      <w:tcPr>
        <w:tcBorders>
          <w:bottom w:val="single" w:color="auto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1179</Characters>
  <Lines>1</Lines>
  <Paragraphs>1</Paragraphs>
  <TotalTime>2</TotalTime>
  <ScaleCrop>false</ScaleCrop>
  <LinksUpToDate>false</LinksUpToDate>
  <CharactersWithSpaces>1383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2022-08-25T01:24:00Z</dcterms:created>
  <dc:creator>Gillian Attard</dc:creator>
  <cp:lastModifiedBy>F</cp:lastModifiedBy>
  <dcterms:modified xsi:type="dcterms:W3CDTF">2022-12-01T18:56:24Z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FB502ABA5D4C40BEF77980637C887F6B</vt:lpwstr>
  </property>
</Properties>
</file>