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C754D" w14:textId="77777777" w:rsidR="00733154" w:rsidRPr="00222262" w:rsidRDefault="00733154" w:rsidP="00733154">
      <w:pPr>
        <w:pStyle w:val="BodyText"/>
      </w:pPr>
      <w:r>
        <w:t xml:space="preserve">Appendix: Regression Methods for Spatial Confounding </w:t>
      </w:r>
      <w:r>
        <w:br/>
      </w:r>
      <w:r>
        <w:br/>
        <w:t xml:space="preserve">Consider a linear regression model including a random spatial effect </w:t>
      </w:r>
      <w:r w:rsidRPr="00765E7A">
        <w:rPr>
          <w:rFonts w:ascii="Cambria Math" w:hAnsi="Cambria Math"/>
        </w:rPr>
        <w:t>ϕ</w:t>
      </w:r>
      <m:oMath>
        <m:r>
          <w:rPr>
            <w:rFonts w:ascii="Cambria Math" w:hAnsi="Cambria Math"/>
          </w:rPr>
          <m:t>,</m:t>
        </m:r>
      </m:oMath>
      <w:r>
        <w:t xml:space="preserve"> namely </w:t>
      </w:r>
      <m:oMath>
        <m:r>
          <m:rPr>
            <m:sty m:val="p"/>
          </m:rPr>
          <w:rPr>
            <w:rFonts w:ascii="Cambria Math" w:hAnsi="Cambria Math"/>
          </w:rPr>
          <m:t>y∼N(Xβ+ϕ,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).</m:t>
        </m:r>
      </m:oMath>
      <w:r>
        <w:t xml:space="preserve"> One may obtain analytically that the expected value of </w:t>
      </w:r>
      <w:r>
        <w:rPr>
          <w:rFonts w:ascii="Cambria Math" w:hAnsi="Cambria Math"/>
        </w:rPr>
        <w:t>β</w:t>
      </w:r>
      <w:r>
        <w:t xml:space="preserve">, </w:t>
      </w:r>
      <w:r>
        <w:fldChar w:fldCharType="begin"/>
      </w:r>
      <w:r>
        <w:instrText xml:space="preserve"> eq \O(</w:instrText>
      </w:r>
      <w:r>
        <w:rPr>
          <w:rFonts w:ascii="Cambria Math" w:hAnsi="Cambria Math"/>
        </w:rPr>
        <w:instrText>β</w:instrText>
      </w:r>
      <w:r>
        <w:instrText>,</w:instrText>
      </w:r>
      <w:r w:rsidRPr="00F82A7F">
        <w:rPr>
          <w:position w:val="14"/>
        </w:rPr>
        <w:instrText>^</w:instrText>
      </w:r>
      <w:r>
        <w:instrText xml:space="preserve">) </w:instrText>
      </w:r>
      <w:r>
        <w:fldChar w:fldCharType="end"/>
      </w:r>
      <w:r>
        <w:t>=E(</w:t>
      </w:r>
      <w:r>
        <w:rPr>
          <w:rFonts w:ascii="Cambria Math" w:hAnsi="Cambria Math"/>
        </w:rPr>
        <w:t>β</w:t>
      </w:r>
      <w:r>
        <w:t xml:space="preserve">), can be written </w:t>
      </w:r>
      <w:r>
        <w:fldChar w:fldCharType="begin"/>
      </w:r>
      <w:r>
        <w:instrText xml:space="preserve"> eq \O(</w:instrText>
      </w:r>
      <w:r>
        <w:rPr>
          <w:rFonts w:ascii="Cambria Math" w:hAnsi="Cambria Math"/>
        </w:rPr>
        <w:instrText>β</w:instrText>
      </w:r>
      <w:r>
        <w:instrText>,</w:instrText>
      </w:r>
      <w:r w:rsidRPr="00222262">
        <w:rPr>
          <w:position w:val="10"/>
        </w:rPr>
        <w:instrText>^</w:instrText>
      </w:r>
      <w:r>
        <w:instrText>)</w:instrText>
      </w:r>
      <w:r>
        <w:fldChar w:fldCharType="end"/>
      </w:r>
      <w:r>
        <w:t>=(X</w:t>
      </w:r>
      <w:r w:rsidRPr="00222262">
        <w:rPr>
          <w:position w:val="12"/>
          <w:sz w:val="20"/>
          <w:szCs w:val="20"/>
        </w:rPr>
        <w:t>T</w:t>
      </w:r>
      <w:r>
        <w:t>X)</w:t>
      </w:r>
      <w:r w:rsidRPr="00222262">
        <w:rPr>
          <w:position w:val="12"/>
        </w:rPr>
        <w:t>-1</w:t>
      </w:r>
      <w:r>
        <w:t>X</w:t>
      </w:r>
      <w:r w:rsidRPr="00222262">
        <w:rPr>
          <w:position w:val="12"/>
          <w:sz w:val="20"/>
          <w:szCs w:val="20"/>
        </w:rPr>
        <w:t>T</w:t>
      </w:r>
      <w:r>
        <w:t>(y-</w:t>
      </w:r>
      <w:r>
        <w:fldChar w:fldCharType="begin"/>
      </w:r>
      <w:r>
        <w:instrText xml:space="preserve"> eq \O(</w:instrText>
      </w:r>
      <w:r>
        <w:rPr>
          <w:rFonts w:ascii="Cambria Math" w:hAnsi="Cambria Math"/>
        </w:rPr>
        <w:instrText>ϕ</w:instrText>
      </w:r>
      <w:r>
        <w:instrText>,</w:instrText>
      </w:r>
      <w:r w:rsidRPr="00222262">
        <w:rPr>
          <w:position w:val="10"/>
        </w:rPr>
        <w:instrText>^</w:instrText>
      </w:r>
      <w:r>
        <w:instrText>)</w:instrText>
      </w:r>
      <w:r>
        <w:fldChar w:fldCharType="end"/>
      </w:r>
      <w:r>
        <w:t xml:space="preserve">) where </w:t>
      </w:r>
      <w:r>
        <w:fldChar w:fldCharType="begin"/>
      </w:r>
      <w:r>
        <w:instrText xml:space="preserve"> eq \O(</w:instrText>
      </w:r>
      <w:r>
        <w:rPr>
          <w:rFonts w:ascii="Cambria Math" w:hAnsi="Cambria Math"/>
        </w:rPr>
        <w:instrText>ϕ</w:instrText>
      </w:r>
      <w:r>
        <w:instrText>,</w:instrText>
      </w:r>
      <w:r w:rsidRPr="00222262">
        <w:rPr>
          <w:position w:val="10"/>
        </w:rPr>
        <w:instrText>^</w:instrText>
      </w:r>
      <w:r>
        <w:instrText>)</w:instrText>
      </w:r>
      <w:r>
        <w:fldChar w:fldCharType="end"/>
      </w:r>
      <w:r>
        <w:t xml:space="preserve"> is the expected spatial effect. Also denote P=X(X</w:t>
      </w:r>
      <w:r w:rsidRPr="00222262">
        <w:rPr>
          <w:position w:val="12"/>
          <w:sz w:val="20"/>
          <w:szCs w:val="20"/>
        </w:rPr>
        <w:t>T</w:t>
      </w:r>
      <w:r>
        <w:t>X)</w:t>
      </w:r>
      <w:r w:rsidRPr="00222262">
        <w:rPr>
          <w:position w:val="12"/>
        </w:rPr>
        <w:t>-1</w:t>
      </w:r>
      <w:r>
        <w:t>X</w:t>
      </w:r>
      <w:r w:rsidRPr="00222262">
        <w:rPr>
          <w:position w:val="12"/>
          <w:sz w:val="20"/>
          <w:szCs w:val="20"/>
        </w:rPr>
        <w:t>T</w:t>
      </w:r>
      <w:r>
        <w:t>, and Q=</w:t>
      </w:r>
      <w:r>
        <w:rPr>
          <w:rFonts w:ascii="Cambria Math" w:hAnsi="Cambria Math"/>
        </w:rPr>
        <w:t>Ι</w:t>
      </w:r>
      <w:r>
        <w:t xml:space="preserve">-P. </w:t>
      </w:r>
    </w:p>
    <w:p w14:paraId="0C0CD5D4" w14:textId="77777777" w:rsidR="00733154" w:rsidRDefault="00733154" w:rsidP="00733154">
      <w:pPr>
        <w:pStyle w:val="BodyText"/>
      </w:pPr>
      <w:r>
        <w:t>Then  X</w:t>
      </w:r>
      <w:r>
        <w:fldChar w:fldCharType="begin"/>
      </w:r>
      <w:r>
        <w:instrText xml:space="preserve"> eq \O(</w:instrText>
      </w:r>
      <w:r>
        <w:rPr>
          <w:rFonts w:ascii="Cambria Math" w:hAnsi="Cambria Math"/>
        </w:rPr>
        <w:instrText>β</w:instrText>
      </w:r>
      <w:r>
        <w:instrText>,</w:instrText>
      </w:r>
      <w:r w:rsidRPr="00222262">
        <w:rPr>
          <w:position w:val="10"/>
        </w:rPr>
        <w:instrText>^</w:instrText>
      </w:r>
      <w:r>
        <w:instrText>)</w:instrText>
      </w:r>
      <w:r>
        <w:fldChar w:fldCharType="end"/>
      </w:r>
      <w:r>
        <w:t>=Py-P</w:t>
      </w:r>
      <w:r>
        <w:fldChar w:fldCharType="begin"/>
      </w:r>
      <w:r>
        <w:instrText xml:space="preserve"> eq \O(</w:instrText>
      </w:r>
      <w:r>
        <w:rPr>
          <w:rFonts w:ascii="Cambria Math" w:hAnsi="Cambria Math"/>
        </w:rPr>
        <w:instrText>ϕ</w:instrText>
      </w:r>
      <w:r>
        <w:instrText>,</w:instrText>
      </w:r>
      <w:r w:rsidRPr="00222262">
        <w:rPr>
          <w:position w:val="10"/>
        </w:rPr>
        <w:instrText>^</w:instrText>
      </w:r>
      <w:r>
        <w:instrText>)</w:instrText>
      </w:r>
      <w:r>
        <w:fldChar w:fldCharType="end"/>
      </w:r>
      <w:r>
        <w:t xml:space="preserve">, and the expected value of y is  </w:t>
      </w:r>
    </w:p>
    <w:p w14:paraId="6373EB19" w14:textId="77777777" w:rsidR="00733154" w:rsidRDefault="00733154" w:rsidP="00733154">
      <w:pPr>
        <w:pStyle w:val="BodyText"/>
      </w:pPr>
      <w:r>
        <w:tab/>
      </w:r>
      <w:r>
        <w:fldChar w:fldCharType="begin"/>
      </w:r>
      <w:r>
        <w:instrText xml:space="preserve"> eq \O(</w:instrText>
      </w:r>
      <w:r>
        <w:rPr>
          <w:rFonts w:ascii="Cambria Math" w:hAnsi="Cambria Math"/>
        </w:rPr>
        <w:instrText>y</w:instrText>
      </w:r>
      <w:r>
        <w:instrText>,</w:instrText>
      </w:r>
      <w:r w:rsidRPr="00222262">
        <w:rPr>
          <w:position w:val="10"/>
        </w:rPr>
        <w:instrText>^</w:instrText>
      </w:r>
      <w:r>
        <w:instrText xml:space="preserve">) </w:instrText>
      </w:r>
      <w:r>
        <w:fldChar w:fldCharType="end"/>
      </w:r>
      <w:r>
        <w:t>=X</w:t>
      </w:r>
      <w:r>
        <w:fldChar w:fldCharType="begin"/>
      </w:r>
      <w:r>
        <w:instrText xml:space="preserve"> eq \O(</w:instrText>
      </w:r>
      <w:r>
        <w:rPr>
          <w:rFonts w:ascii="Cambria Math" w:hAnsi="Cambria Math"/>
        </w:rPr>
        <w:instrText>β</w:instrText>
      </w:r>
      <w:r>
        <w:instrText>,</w:instrText>
      </w:r>
      <w:r w:rsidRPr="00222262">
        <w:rPr>
          <w:position w:val="10"/>
        </w:rPr>
        <w:instrText>^</w:instrText>
      </w:r>
      <w:r>
        <w:instrText>)</w:instrText>
      </w:r>
      <w:r>
        <w:fldChar w:fldCharType="end"/>
      </w:r>
      <w:r>
        <w:t>+</w:t>
      </w:r>
      <w:r>
        <w:fldChar w:fldCharType="begin"/>
      </w:r>
      <w:r>
        <w:instrText xml:space="preserve"> eq \O(</w:instrText>
      </w:r>
      <w:r>
        <w:rPr>
          <w:rFonts w:ascii="Cambria Math" w:hAnsi="Cambria Math"/>
        </w:rPr>
        <w:instrText>ϕ</w:instrText>
      </w:r>
      <w:r>
        <w:instrText>,</w:instrText>
      </w:r>
      <w:r w:rsidRPr="00222262">
        <w:rPr>
          <w:position w:val="10"/>
        </w:rPr>
        <w:instrText>^</w:instrText>
      </w:r>
      <w:r>
        <w:instrText>)</w:instrText>
      </w:r>
      <w:r>
        <w:fldChar w:fldCharType="end"/>
      </w:r>
      <w:r>
        <w:t>=Py-P</w:t>
      </w:r>
      <w:r>
        <w:fldChar w:fldCharType="begin"/>
      </w:r>
      <w:r>
        <w:instrText xml:space="preserve"> eq \O(</w:instrText>
      </w:r>
      <w:r>
        <w:rPr>
          <w:rFonts w:ascii="Cambria Math" w:hAnsi="Cambria Math"/>
        </w:rPr>
        <w:instrText>ϕ</w:instrText>
      </w:r>
      <w:r>
        <w:instrText>,</w:instrText>
      </w:r>
      <w:r w:rsidRPr="00222262">
        <w:rPr>
          <w:position w:val="10"/>
        </w:rPr>
        <w:instrText>^</w:instrText>
      </w:r>
      <w:r>
        <w:instrText>)</w:instrText>
      </w:r>
      <w:r>
        <w:fldChar w:fldCharType="end"/>
      </w:r>
      <w:r>
        <w:t>+</w:t>
      </w:r>
      <w:r>
        <w:fldChar w:fldCharType="begin"/>
      </w:r>
      <w:r>
        <w:instrText xml:space="preserve"> eq \O(</w:instrText>
      </w:r>
      <w:r>
        <w:rPr>
          <w:rFonts w:ascii="Cambria Math" w:hAnsi="Cambria Math"/>
        </w:rPr>
        <w:instrText>ϕ</w:instrText>
      </w:r>
      <w:r>
        <w:instrText>,</w:instrText>
      </w:r>
      <w:r w:rsidRPr="00222262">
        <w:rPr>
          <w:position w:val="10"/>
        </w:rPr>
        <w:instrText>^</w:instrText>
      </w:r>
      <w:r>
        <w:instrText>)</w:instrText>
      </w:r>
      <w:r>
        <w:fldChar w:fldCharType="end"/>
      </w:r>
      <w:r>
        <w:t>=Py+Q</w:t>
      </w:r>
      <w:r>
        <w:fldChar w:fldCharType="begin"/>
      </w:r>
      <w:r>
        <w:instrText xml:space="preserve"> eq \O(</w:instrText>
      </w:r>
      <w:r>
        <w:rPr>
          <w:rFonts w:ascii="Cambria Math" w:hAnsi="Cambria Math"/>
        </w:rPr>
        <w:instrText>ϕ</w:instrText>
      </w:r>
      <w:r>
        <w:instrText>,</w:instrText>
      </w:r>
      <w:r w:rsidRPr="00222262">
        <w:rPr>
          <w:position w:val="10"/>
        </w:rPr>
        <w:instrText>^</w:instrText>
      </w:r>
      <w:r>
        <w:instrText>)</w:instrText>
      </w:r>
      <w:r>
        <w:fldChar w:fldCharType="end"/>
      </w:r>
      <w:r>
        <w:t>,</w:t>
      </w:r>
    </w:p>
    <w:p w14:paraId="710F0A0D" w14:textId="77777777" w:rsidR="00733154" w:rsidRDefault="00733154" w:rsidP="00733154">
      <w:pPr>
        <w:pStyle w:val="BodyText"/>
      </w:pPr>
      <w:r>
        <w:t>where Q</w:t>
      </w:r>
      <w:r>
        <w:fldChar w:fldCharType="begin"/>
      </w:r>
      <w:r>
        <w:instrText xml:space="preserve"> eq \O(</w:instrText>
      </w:r>
      <w:r>
        <w:rPr>
          <w:rFonts w:ascii="Cambria Math" w:hAnsi="Cambria Math"/>
        </w:rPr>
        <w:instrText>ϕ</w:instrText>
      </w:r>
      <w:r>
        <w:instrText>,</w:instrText>
      </w:r>
      <w:r w:rsidRPr="00222262">
        <w:rPr>
          <w:position w:val="10"/>
        </w:rPr>
        <w:instrText>^</w:instrText>
      </w:r>
      <w:r>
        <w:instrText>)</w:instrText>
      </w:r>
      <w:r>
        <w:fldChar w:fldCharType="end"/>
      </w:r>
      <w:r>
        <w:t xml:space="preserve">  is a projection matrix onto the orthogonal space of the predictors. The restricted regression of Reich et al [26] is therefore reformulated as  </w:t>
      </w:r>
      <m:oMath>
        <m:r>
          <m:rPr>
            <m:sty m:val="p"/>
          </m:rPr>
          <w:rPr>
            <w:rFonts w:ascii="Cambria Math"/>
          </w:rPr>
          <m:t>y</m:t>
        </m:r>
        <m:r>
          <m:rPr>
            <m:sty m:val="p"/>
          </m:rPr>
          <w:rPr>
            <w:rFonts w:ascii="Cambria Math" w:hAnsi="Cambria Math" w:cs="Cambria Math"/>
          </w:rPr>
          <m:t>∼</m:t>
        </m:r>
        <m:r>
          <m:rPr>
            <m:sty m:val="p"/>
          </m:rPr>
          <w:rPr>
            <w:rFonts w:ascii="Cambria Math"/>
          </w:rPr>
          <m:t>N(X</m:t>
        </m:r>
        <m:r>
          <m:rPr>
            <m:sty m:val="p"/>
          </m:rPr>
          <w:rPr>
            <w:rFonts w:ascii="Cambria Math"/>
          </w:rPr>
          <m:t>β</m:t>
        </m:r>
        <m:r>
          <m:rPr>
            <m:sty m:val="p"/>
          </m:rPr>
          <w:rPr>
            <w:rFonts w:ascii="Cambria Math"/>
          </w:rPr>
          <m:t>+Q</m:t>
        </m:r>
        <m:r>
          <m:rPr>
            <m:sty m:val="p"/>
          </m:rPr>
          <w:rPr>
            <w:rFonts w:ascii="Cambria Math" w:hAnsi="Cambria Math"/>
          </w:rPr>
          <m:t>ϕ</m:t>
        </m:r>
        <m:r>
          <m:rPr>
            <m:sty m:val="p"/>
          </m:rPr>
          <w:rPr>
            <w:rFonts w:ascii="Cambria Math"/>
          </w:rPr>
          <m:t>,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/>
              </w:rPr>
              <m:t>σ</m:t>
            </m:r>
          </m:e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p>
        <m:r>
          <w:rPr>
            <w:rFonts w:ascii="Cambria Math"/>
          </w:rPr>
          <m:t>),</m:t>
        </m:r>
      </m:oMath>
      <w:r>
        <w:t xml:space="preserve"> removing the impact of  </w:t>
      </w:r>
      <m:oMath>
        <m:r>
          <m:rPr>
            <m:sty m:val="p"/>
          </m:rPr>
          <w:rPr>
            <w:rFonts w:ascii="Cambria Math"/>
          </w:rPr>
          <m:t>X</m:t>
        </m:r>
      </m:oMath>
      <w:r>
        <w:t xml:space="preserve">  on  </w:t>
      </w:r>
      <m:oMath>
        <m:r>
          <m:rPr>
            <m:sty m:val="p"/>
          </m:rPr>
          <w:rPr>
            <w:rFonts w:ascii="Cambria Math" w:hAnsi="Cambria Math"/>
          </w:rPr>
          <m:t>ϕ</m:t>
        </m:r>
      </m:oMath>
      <w:r>
        <w:t xml:space="preserve">  (namely implicit multicollinearity) via the matrix P. In practice, a reduced rank version of </w:t>
      </w:r>
      <m:oMath>
        <m:r>
          <m:rPr>
            <m:sty m:val="p"/>
          </m:rPr>
          <w:rPr>
            <w:rFonts w:ascii="Cambria Math" w:hAnsi="Cambria Math"/>
          </w:rPr>
          <m:t>Q</m:t>
        </m:r>
      </m:oMath>
      <w:r>
        <w:t xml:space="preserve"> is used in the reformulated regression, based on eigenvectors corresponding to nonzero eigenvalues of </w:t>
      </w:r>
      <m:oMath>
        <m:r>
          <m:rPr>
            <m:sty m:val="p"/>
          </m:rPr>
          <w:rPr>
            <w:rFonts w:ascii="Cambria Math" w:hAnsi="Cambria Math"/>
          </w:rPr>
          <m:t>Q</m:t>
        </m:r>
      </m:oMath>
      <w:r>
        <w:t xml:space="preserve">. </w:t>
      </w:r>
      <w:r>
        <w:br/>
      </w:r>
    </w:p>
    <w:p w14:paraId="69018B1B" w14:textId="77777777" w:rsidR="00733154" w:rsidRDefault="00733154" w:rsidP="00733154">
      <w:pPr>
        <w:pStyle w:val="BodyText"/>
      </w:pPr>
      <w:r>
        <w:t xml:space="preserve">The method of Hughes and Haran [29] has a similar rationale, but combines spatial information via an adjacency matrix  </w:t>
      </w:r>
      <m:oMath>
        <m:r>
          <m:rPr>
            <m:sty m:val="p"/>
          </m:rPr>
          <w:rPr>
            <w:rFonts w:ascii="Cambria Math"/>
          </w:rPr>
          <m:t>W</m:t>
        </m:r>
      </m:oMath>
      <w:r>
        <w:t xml:space="preserve">  with covariate orthogonality via  </w:t>
      </w:r>
      <m:oMath>
        <m:r>
          <m:rPr>
            <m:sty m:val="p"/>
          </m:rPr>
          <w:rPr>
            <w:rFonts w:ascii="Cambria Math" w:hAnsi="Cambria Math"/>
          </w:rPr>
          <m:t>Q</m:t>
        </m:r>
        <m:r>
          <w:rPr>
            <w:rFonts w:ascii="Cambria Math" w:hAnsi="Cambria Math"/>
          </w:rPr>
          <m:t>.</m:t>
        </m:r>
      </m:oMath>
      <w:r>
        <w:t xml:space="preserve">  The adjacency matrix </w:t>
      </w:r>
      <w:r w:rsidRPr="00765E7A">
        <w:t>W</w:t>
      </w:r>
      <w:r>
        <w:t xml:space="preserve"> used in the London psychosis study has 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/>
              </w:rPr>
              <m:t>ij</m:t>
            </m:r>
          </m:sub>
        </m:sSub>
        <m:r>
          <m:rPr>
            <m:sty m:val="p"/>
          </m:rPr>
          <w:rPr>
            <w:rFonts w:ascii="Cambria Math"/>
          </w:rPr>
          <m:t>=1</m:t>
        </m:r>
      </m:oMath>
      <w:r>
        <w:t xml:space="preserve">  for adjacent areas, 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ij</m:t>
            </m:r>
          </m:sub>
        </m:sSub>
        <m:r>
          <m:rPr>
            <m:sty m:val="p"/>
          </m:rPr>
          <w:rPr>
            <w:rFonts w:ascii="Cambria Math" w:hAnsi="Cambria Math"/>
          </w:rPr>
          <m:t>=0</m:t>
        </m:r>
      </m:oMath>
      <w:r w:rsidRPr="00765E7A">
        <w:rPr>
          <w:iCs/>
        </w:rPr>
        <w:t xml:space="preserve"> </w:t>
      </w:r>
      <w:r>
        <w:t xml:space="preserve"> otherwise. Then the projection matrix providing orthogonality with regard to predictors  </w:t>
      </w:r>
      <m:oMath>
        <m:r>
          <m:rPr>
            <m:sty m:val="p"/>
          </m:rPr>
          <w:rPr>
            <w:rFonts w:ascii="Cambria Math"/>
          </w:rPr>
          <m:t>X</m:t>
        </m:r>
      </m:oMath>
      <w:r>
        <w:t xml:space="preserve">  is  </w:t>
      </w:r>
      <m:oMath>
        <m:r>
          <m:rPr>
            <m:sty m:val="p"/>
          </m:rPr>
          <w:rPr>
            <w:rFonts w:ascii="Cambria Math" w:hAnsi="Cambria Math"/>
          </w:rPr>
          <m:t>QWQ</m:t>
        </m:r>
        <m:r>
          <w:rPr>
            <w:rFonts w:ascii="Cambria Math" w:hAnsi="Cambria Math"/>
          </w:rPr>
          <m:t>.</m:t>
        </m:r>
      </m:oMath>
      <w:r>
        <w:t xml:space="preserve"> </w:t>
      </w:r>
      <w:r>
        <w:br/>
      </w:r>
    </w:p>
    <w:p w14:paraId="7B428AB5" w14:textId="77777777" w:rsidR="00733154" w:rsidRDefault="00733154" w:rsidP="00733154">
      <w:pPr>
        <w:pStyle w:val="BodyText"/>
      </w:pPr>
      <w:r>
        <w:t xml:space="preserve">An alternative to restricted model formulations is the SPatial Orthogonal Centroid K"orrection model [32]. This model is based on the geographic locations (centroids) of the study areas, and creates a new adjacency matrix 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W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p>
        </m:sSup>
      </m:oMath>
      <w:r>
        <w:t xml:space="preserve">  by misplacing the original centroids to eliminate confounding between spatial effects </w:t>
      </w:r>
      <m:oMath>
        <m:r>
          <m:rPr>
            <m:sty m:val="p"/>
          </m:rPr>
          <w:rPr>
            <w:rFonts w:ascii="Cambria Math" w:hAnsi="Cambria Math"/>
          </w:rPr>
          <m:t>ϕ</m:t>
        </m:r>
      </m:oMath>
      <w:r>
        <w:t xml:space="preserve"> and predictors </w:t>
      </w:r>
      <m:oMath>
        <m:r>
          <m:rPr>
            <m:sty m:val="p"/>
          </m:rPr>
          <w:rPr>
            <w:rFonts w:ascii="Cambria Math"/>
          </w:rPr>
          <m:t>X</m:t>
        </m:r>
      </m:oMath>
      <w:r>
        <w:t>. This by done by projecting the spatial coordinates of the areas onto the orthogonal space of the covariates, producing a new set of geographical coordinates.</w:t>
      </w:r>
    </w:p>
    <w:p w14:paraId="3001F479" w14:textId="77777777" w:rsidR="001760E5" w:rsidRDefault="00733154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54"/>
    <w:rsid w:val="00733154"/>
    <w:rsid w:val="008A3324"/>
    <w:rsid w:val="00996CDB"/>
    <w:rsid w:val="009B6A4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7B5BA"/>
  <w15:chartTrackingRefBased/>
  <w15:docId w15:val="{F03C6D0C-76F1-4051-8745-51586205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7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733154"/>
    <w:rPr>
      <w:rFonts w:ascii="Arial" w:eastAsiaTheme="minorEastAsia" w:hAnsi="Arial" w:cs="Arial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1554</Characters>
  <Application>Microsoft Office Word</Application>
  <DocSecurity>0</DocSecurity>
  <Lines>12</Lines>
  <Paragraphs>3</Paragraphs>
  <ScaleCrop>false</ScaleCrop>
  <Company>Springer Nature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2022-11-28T06:54:00Z</dcterms:created>
  <dcterms:modified xsi:type="dcterms:W3CDTF">2022-11-28T06:54:00Z</dcterms:modified>
</cp:coreProperties>
</file>