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EC0" w:rsidRDefault="000A0980">
      <w:pPr>
        <w:spacing w:line="360" w:lineRule="auto"/>
        <w:rPr>
          <w:rFonts w:ascii="Times New Roman" w:hAnsi="Times New Roman" w:cs="Times New Roman"/>
        </w:rPr>
      </w:pPr>
      <w:r>
        <w:rPr>
          <w:rFonts w:ascii="Times New Roman" w:hAnsi="Times New Roman" w:cs="Times New Roman"/>
          <w:b/>
          <w:sz w:val="24"/>
        </w:rPr>
        <w:t>Systematic analysis of rare variants in mitochondrial function-associated genes for autosomal-dominant Parkinson’s disease in a Chinese population</w:t>
      </w:r>
    </w:p>
    <w:p w:rsidR="006C265F" w:rsidRDefault="006C265F" w:rsidP="006C265F">
      <w:pPr>
        <w:pStyle w:val="1"/>
        <w:rPr>
          <w:rFonts w:ascii="Times New Roman" w:hAnsi="Times New Roman" w:cs="Times New Roman"/>
        </w:rPr>
      </w:pPr>
      <w:r>
        <w:rPr>
          <w:rFonts w:ascii="Times New Roman" w:hAnsi="Times New Roman" w:cs="Times New Roman"/>
        </w:rPr>
        <w:t>Yongping Chen, MD</w:t>
      </w:r>
      <w:r>
        <w:rPr>
          <w:rFonts w:ascii="Times New Roman" w:hAnsi="Times New Roman" w:cs="Times New Roman"/>
          <w:vertAlign w:val="superscript"/>
        </w:rPr>
        <w:t>1</w:t>
      </w:r>
      <w:r>
        <w:rPr>
          <w:rFonts w:ascii="Times New Roman" w:hAnsi="Times New Roman" w:cs="Times New Roman"/>
        </w:rPr>
        <w:t>, Xiaojing Gu, MD</w:t>
      </w:r>
      <w:r>
        <w:rPr>
          <w:rFonts w:ascii="Times New Roman" w:hAnsi="Times New Roman" w:cs="Times New Roman"/>
          <w:vertAlign w:val="superscript"/>
        </w:rPr>
        <w:t>1</w:t>
      </w:r>
      <w:r>
        <w:rPr>
          <w:rFonts w:ascii="Times New Roman" w:hAnsi="Times New Roman" w:cs="Times New Roman"/>
        </w:rPr>
        <w:t>, Ruwei Ou, MD</w:t>
      </w:r>
      <w:r>
        <w:rPr>
          <w:rFonts w:ascii="Times New Roman" w:hAnsi="Times New Roman" w:cs="Times New Roman"/>
          <w:vertAlign w:val="superscript"/>
        </w:rPr>
        <w:t>1</w:t>
      </w:r>
      <w:r>
        <w:rPr>
          <w:rFonts w:ascii="Times New Roman" w:hAnsi="Times New Roman" w:cs="Times New Roman"/>
        </w:rPr>
        <w:t>, Lingyu Zhang, MD</w:t>
      </w:r>
      <w:r>
        <w:rPr>
          <w:rFonts w:ascii="Times New Roman" w:hAnsi="Times New Roman" w:cs="Times New Roman"/>
          <w:vertAlign w:val="superscript"/>
        </w:rPr>
        <w:t>1</w:t>
      </w:r>
      <w:r>
        <w:rPr>
          <w:rFonts w:ascii="Times New Roman" w:hAnsi="Times New Roman" w:cs="Times New Roman"/>
        </w:rPr>
        <w:t>, Yanbing Hou, MD</w:t>
      </w:r>
      <w:r>
        <w:rPr>
          <w:rFonts w:ascii="Times New Roman" w:hAnsi="Times New Roman" w:cs="Times New Roman"/>
          <w:vertAlign w:val="superscript"/>
        </w:rPr>
        <w:t>1</w:t>
      </w:r>
      <w:r>
        <w:rPr>
          <w:rFonts w:ascii="Times New Roman" w:hAnsi="Times New Roman" w:cs="Times New Roman"/>
        </w:rPr>
        <w:t>, Kuncheng Liu, MD</w:t>
      </w:r>
      <w:r>
        <w:rPr>
          <w:rFonts w:ascii="Times New Roman" w:hAnsi="Times New Roman" w:cs="Times New Roman"/>
          <w:vertAlign w:val="superscript"/>
        </w:rPr>
        <w:t>1</w:t>
      </w:r>
      <w:r>
        <w:rPr>
          <w:rFonts w:ascii="Times New Roman" w:hAnsi="Times New Roman" w:cs="Times New Roman"/>
        </w:rPr>
        <w:t>, Bei Cao, MD</w:t>
      </w:r>
      <w:r>
        <w:rPr>
          <w:rFonts w:ascii="Times New Roman" w:hAnsi="Times New Roman" w:cs="Times New Roman"/>
          <w:vertAlign w:val="superscript"/>
        </w:rPr>
        <w:t>1</w:t>
      </w:r>
      <w:r>
        <w:rPr>
          <w:rFonts w:ascii="Times New Roman" w:hAnsi="Times New Roman" w:cs="Times New Roman"/>
        </w:rPr>
        <w:t>, Qianqian Wei, MD</w:t>
      </w:r>
      <w:r>
        <w:rPr>
          <w:rFonts w:ascii="Times New Roman" w:hAnsi="Times New Roman" w:cs="Times New Roman"/>
          <w:vertAlign w:val="superscript"/>
        </w:rPr>
        <w:t>1</w:t>
      </w:r>
      <w:r>
        <w:rPr>
          <w:rFonts w:ascii="Times New Roman" w:hAnsi="Times New Roman" w:cs="Times New Roman"/>
        </w:rPr>
        <w:t>, Wei Song, MD</w:t>
      </w:r>
      <w:r>
        <w:rPr>
          <w:rFonts w:ascii="Times New Roman" w:hAnsi="Times New Roman" w:cs="Times New Roman"/>
          <w:vertAlign w:val="superscript"/>
        </w:rPr>
        <w:t>1</w:t>
      </w:r>
      <w:r>
        <w:rPr>
          <w:rFonts w:ascii="Times New Roman" w:hAnsi="Times New Roman" w:cs="Times New Roman"/>
        </w:rPr>
        <w:t>, Bi Zhao, MD</w:t>
      </w:r>
      <w:r>
        <w:rPr>
          <w:rFonts w:ascii="Times New Roman" w:hAnsi="Times New Roman" w:cs="Times New Roman"/>
          <w:vertAlign w:val="superscript"/>
        </w:rPr>
        <w:t>1</w:t>
      </w:r>
      <w:r>
        <w:rPr>
          <w:rFonts w:ascii="Times New Roman" w:hAnsi="Times New Roman" w:cs="Times New Roman"/>
        </w:rPr>
        <w:t>, Ying Wu, MD</w:t>
      </w:r>
      <w:r>
        <w:rPr>
          <w:rFonts w:ascii="Times New Roman" w:hAnsi="Times New Roman" w:cs="Times New Roman"/>
          <w:vertAlign w:val="superscript"/>
        </w:rPr>
        <w:t>1</w:t>
      </w:r>
      <w:r>
        <w:rPr>
          <w:rFonts w:ascii="Times New Roman" w:hAnsi="Times New Roman" w:cs="Times New Roman"/>
        </w:rPr>
        <w:t>, Jingqiu Cheng, PhD</w:t>
      </w:r>
      <w:r>
        <w:rPr>
          <w:rFonts w:ascii="Times New Roman" w:hAnsi="Times New Roman" w:cs="Times New Roman"/>
          <w:vertAlign w:val="superscript"/>
        </w:rPr>
        <w:t>2</w:t>
      </w:r>
      <w:r>
        <w:rPr>
          <w:rFonts w:ascii="Times New Roman" w:hAnsi="Times New Roman" w:cs="Times New Roman"/>
        </w:rPr>
        <w:t>, Huifang Shang, MD</w:t>
      </w:r>
      <w:r>
        <w:rPr>
          <w:rFonts w:ascii="Times New Roman" w:hAnsi="Times New Roman" w:cs="Times New Roman"/>
          <w:vertAlign w:val="superscript"/>
        </w:rPr>
        <w:t>1*</w:t>
      </w:r>
    </w:p>
    <w:p w:rsidR="006C265F" w:rsidRDefault="006C265F" w:rsidP="006C265F">
      <w:pPr>
        <w:spacing w:line="360" w:lineRule="auto"/>
        <w:rPr>
          <w:rFonts w:ascii="Times New Roman" w:hAnsi="Times New Roman" w:cs="Times New Roman"/>
        </w:rPr>
      </w:pPr>
    </w:p>
    <w:p w:rsidR="006C265F" w:rsidRDefault="006C265F" w:rsidP="006C265F">
      <w:pPr>
        <w:spacing w:line="360" w:lineRule="auto"/>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Department of Neurology, Rare disease center, West China Hospital, Sichuan University, Chengdu, Sichuan, China.</w:t>
      </w:r>
    </w:p>
    <w:p w:rsidR="006C265F" w:rsidRDefault="006C265F" w:rsidP="006C265F">
      <w:pPr>
        <w:spacing w:line="360" w:lineRule="auto"/>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Key Laboratory of Transplant Engineering and Immunology, West China Hospital, Sichuan University, Chengdu, Sichuan, China</w:t>
      </w:r>
    </w:p>
    <w:p w:rsidR="006C265F" w:rsidRDefault="006C265F" w:rsidP="006C265F">
      <w:pPr>
        <w:spacing w:line="360" w:lineRule="auto"/>
        <w:rPr>
          <w:rFonts w:ascii="Times New Roman" w:hAnsi="Times New Roman" w:cs="Times New Roman"/>
        </w:rPr>
      </w:pPr>
    </w:p>
    <w:p w:rsidR="006C265F" w:rsidRDefault="006C265F" w:rsidP="006C265F">
      <w:pPr>
        <w:spacing w:line="360" w:lineRule="auto"/>
        <w:rPr>
          <w:rFonts w:ascii="Times New Roman" w:hAnsi="Times New Roman" w:cs="Times New Roman"/>
        </w:rPr>
      </w:pPr>
      <w:r>
        <w:rPr>
          <w:rFonts w:ascii="Times New Roman" w:hAnsi="Times New Roman" w:cs="Times New Roman"/>
        </w:rPr>
        <w:t>*Correspondence to: Hui-Fang Shang, Department of Neurology, West China Hospital, Sichuan University, 610041, Chengdu, Sichuan, China. E-mail: hfshang2002@126.com, FAX: 0086-028-85423550.</w:t>
      </w:r>
    </w:p>
    <w:p w:rsidR="001F5EC0" w:rsidRDefault="001F5EC0">
      <w:pPr>
        <w:rPr>
          <w:rFonts w:ascii="Times New Roman" w:hAnsi="Times New Roman" w:cs="Times New Roman"/>
        </w:rPr>
      </w:pPr>
      <w:bookmarkStart w:id="0" w:name="_GoBack"/>
      <w:bookmarkEnd w:id="0"/>
    </w:p>
    <w:p w:rsidR="001F5EC0" w:rsidRDefault="000A0980">
      <w:pPr>
        <w:widowControl/>
        <w:jc w:val="left"/>
        <w:rPr>
          <w:rFonts w:ascii="Times New Roman" w:hAnsi="Times New Roman" w:cs="Times New Roman"/>
        </w:rPr>
      </w:pPr>
      <w:r>
        <w:rPr>
          <w:rFonts w:ascii="Times New Roman" w:hAnsi="Times New Roman" w:cs="Times New Roman"/>
        </w:rPr>
        <w:br w:type="page"/>
      </w:r>
    </w:p>
    <w:p w:rsidR="001F5EC0" w:rsidRDefault="000A0980">
      <w:pPr>
        <w:widowControl/>
        <w:spacing w:line="360" w:lineRule="auto"/>
        <w:rPr>
          <w:rFonts w:ascii="Times New Roman" w:hAnsi="Times New Roman" w:cs="Times New Roman"/>
          <w:b/>
        </w:rPr>
      </w:pPr>
      <w:r>
        <w:rPr>
          <w:rFonts w:ascii="Times New Roman" w:hAnsi="Times New Roman" w:cs="Times New Roman"/>
          <w:b/>
        </w:rPr>
        <w:lastRenderedPageBreak/>
        <w:t xml:space="preserve">Methods </w:t>
      </w:r>
    </w:p>
    <w:p w:rsidR="001F5EC0" w:rsidRDefault="000A0980">
      <w:pPr>
        <w:widowControl/>
        <w:spacing w:line="360" w:lineRule="auto"/>
        <w:rPr>
          <w:rFonts w:ascii="Times New Roman" w:hAnsi="Times New Roman" w:cs="Times New Roman"/>
          <w:b/>
        </w:rPr>
      </w:pPr>
      <w:r>
        <w:rPr>
          <w:rFonts w:ascii="Times New Roman" w:hAnsi="Times New Roman" w:cs="Times New Roman"/>
          <w:b/>
        </w:rPr>
        <w:t>Genetic analysis</w:t>
      </w:r>
    </w:p>
    <w:p w:rsidR="001F5EC0" w:rsidRDefault="000A0980">
      <w:pPr>
        <w:widowControl/>
        <w:spacing w:line="360" w:lineRule="auto"/>
        <w:rPr>
          <w:rFonts w:ascii="Times New Roman" w:hAnsi="Times New Roman" w:cs="Times New Roman"/>
          <w:b/>
          <w:i/>
        </w:rPr>
      </w:pPr>
      <w:r>
        <w:rPr>
          <w:rFonts w:ascii="Times New Roman" w:hAnsi="Times New Roman" w:cs="Times New Roman"/>
          <w:b/>
          <w:i/>
        </w:rPr>
        <w:t>DNA preparation, WES and MLPA</w:t>
      </w:r>
    </w:p>
    <w:p w:rsidR="000A0980" w:rsidRDefault="000A0980" w:rsidP="000A0980">
      <w:pPr>
        <w:pStyle w:val="a5"/>
        <w:widowControl/>
        <w:spacing w:line="360" w:lineRule="auto"/>
        <w:mirrorIndents/>
        <w:rPr>
          <w:rFonts w:ascii="Times New Roman" w:hAnsi="Times New Roman" w:cs="Times New Roman"/>
          <w:sz w:val="21"/>
        </w:rPr>
      </w:pPr>
      <w:r w:rsidRPr="000A0980">
        <w:rPr>
          <w:rFonts w:ascii="Times New Roman" w:hAnsi="Times New Roman" w:cs="Times New Roman"/>
          <w:sz w:val="21"/>
        </w:rPr>
        <w:t>Genomic DNA was collected from peripheral blood leukocytes via standard phenol-chloroform procedures. According to the manufacture’s instruction, exon deletions/insertions of SNCA, PARK2, PINK1, DJ1, LRRK2 and ATP13A2 were tested by commercial SALSA multiplex ligation-dependent probe amplification (MLPA) Parkinson kit (MRC-Holland, P051-D1). Regarding Whole Exome Sequencing (WES), a total of 5ul DNA was fragmented to an average size of 350 bp with a Covaris LE220-plus Focused-ultrasonicator, and DNA library was constructed with KAPA Library Amplification Kit according to the manufacture’s instruction. Then WES was performed with NovaSeq 5000/6000 S2/S1 reagent Kit (Illumina) according to standard protocols.</w:t>
      </w:r>
    </w:p>
    <w:p w:rsidR="000A0980" w:rsidRPr="000A0980" w:rsidRDefault="000A0980" w:rsidP="000A0980">
      <w:pPr>
        <w:pStyle w:val="a5"/>
        <w:widowControl/>
        <w:spacing w:line="360" w:lineRule="auto"/>
        <w:mirrorIndents/>
        <w:rPr>
          <w:rFonts w:ascii="Times" w:eastAsia="Times New Roman" w:hAnsi="Times" w:cs="Times New Roman"/>
          <w:i/>
          <w:color w:val="000000"/>
          <w:kern w:val="0"/>
          <w:sz w:val="21"/>
          <w:szCs w:val="21"/>
          <w:shd w:val="clear" w:color="auto" w:fill="FFFFFF"/>
        </w:rPr>
      </w:pPr>
      <w:r w:rsidRPr="000A0980">
        <w:rPr>
          <w:rFonts w:ascii="Times" w:eastAsia="Times New Roman" w:hAnsi="Times" w:cs="Times New Roman"/>
          <w:color w:val="000000"/>
          <w:kern w:val="0"/>
          <w:sz w:val="21"/>
          <w:szCs w:val="21"/>
          <w:shd w:val="clear" w:color="auto" w:fill="FFFFFF"/>
        </w:rPr>
        <w:t>For WES, clean data were mapped to the reference genome (</w:t>
      </w:r>
      <w:r w:rsidRPr="000A0980">
        <w:rPr>
          <w:rFonts w:ascii="Times" w:hAnsi="Times" w:cs="Times New Roman"/>
          <w:color w:val="000000"/>
          <w:sz w:val="21"/>
          <w:szCs w:val="21"/>
        </w:rPr>
        <w:t>GRCh37/</w:t>
      </w:r>
      <w:r w:rsidRPr="000A0980">
        <w:rPr>
          <w:rFonts w:ascii="Times" w:eastAsia="Times New Roman" w:hAnsi="Times" w:cs="Times New Roman"/>
          <w:color w:val="000000"/>
          <w:kern w:val="0"/>
          <w:sz w:val="21"/>
          <w:szCs w:val="21"/>
          <w:shd w:val="clear" w:color="auto" w:fill="FFFFFF"/>
        </w:rPr>
        <w:t>hg19) to obtain the bam file with the BWA Picard.</w:t>
      </w:r>
      <w:r w:rsidRPr="000A0980">
        <w:rPr>
          <w:rFonts w:ascii="Times" w:eastAsia="Times New Roman" w:hAnsi="Times" w:cs="Times New Roman"/>
          <w:sz w:val="21"/>
          <w:szCs w:val="21"/>
        </w:rPr>
        <w:t xml:space="preserve"> G</w:t>
      </w:r>
      <w:r w:rsidRPr="000A0980">
        <w:rPr>
          <w:rFonts w:ascii="Times" w:eastAsia="Times New Roman" w:hAnsi="Times" w:cs="Times New Roman" w:hint="eastAsia"/>
          <w:sz w:val="21"/>
          <w:szCs w:val="21"/>
        </w:rPr>
        <w:t>enotype</w:t>
      </w:r>
      <w:r w:rsidRPr="000A0980">
        <w:rPr>
          <w:rFonts w:ascii="Times" w:eastAsia="Times New Roman" w:hAnsi="Times" w:cs="Times New Roman"/>
          <w:sz w:val="21"/>
          <w:szCs w:val="21"/>
        </w:rPr>
        <w:t xml:space="preserve"> </w:t>
      </w:r>
      <w:r w:rsidRPr="000A0980">
        <w:rPr>
          <w:rFonts w:ascii="Times" w:eastAsia="Times New Roman" w:hAnsi="Times" w:cs="Times New Roman" w:hint="eastAsia"/>
          <w:sz w:val="21"/>
          <w:szCs w:val="21"/>
        </w:rPr>
        <w:t>calling</w:t>
      </w:r>
      <w:r w:rsidRPr="000A0980">
        <w:rPr>
          <w:rFonts w:ascii="Times" w:eastAsia="Times New Roman" w:hAnsi="Times" w:cs="Times New Roman"/>
          <w:sz w:val="21"/>
          <w:szCs w:val="21"/>
        </w:rPr>
        <w:t xml:space="preserve"> </w:t>
      </w:r>
      <w:r w:rsidRPr="000A0980">
        <w:rPr>
          <w:rFonts w:ascii="Times" w:eastAsia="Times New Roman" w:hAnsi="Times" w:cs="Times New Roman" w:hint="eastAsia"/>
          <w:sz w:val="21"/>
          <w:szCs w:val="21"/>
        </w:rPr>
        <w:t>was</w:t>
      </w:r>
      <w:r w:rsidRPr="000A0980">
        <w:rPr>
          <w:rFonts w:ascii="Times" w:eastAsia="Times New Roman" w:hAnsi="Times" w:cs="Times New Roman"/>
          <w:sz w:val="21"/>
          <w:szCs w:val="21"/>
        </w:rPr>
        <w:t xml:space="preserve"> performed using Genome Analysis Toolkit’s (</w:t>
      </w:r>
      <w:r w:rsidRPr="000A0980">
        <w:rPr>
          <w:rFonts w:ascii="Times" w:eastAsia="Times New Roman" w:hAnsi="Times" w:cs="Times New Roman"/>
          <w:color w:val="212121"/>
          <w:kern w:val="0"/>
          <w:sz w:val="21"/>
          <w:szCs w:val="21"/>
          <w:shd w:val="clear" w:color="auto" w:fill="FFFFFF"/>
        </w:rPr>
        <w:t xml:space="preserve">GATK) </w:t>
      </w:r>
      <w:r w:rsidRPr="000A0980">
        <w:rPr>
          <w:rFonts w:ascii="Times" w:eastAsia="Times New Roman" w:hAnsi="Times" w:cs="Times New Roman"/>
          <w:color w:val="000000"/>
          <w:kern w:val="0"/>
          <w:sz w:val="21"/>
          <w:szCs w:val="21"/>
          <w:shd w:val="clear" w:color="auto" w:fill="FFFFFF"/>
        </w:rPr>
        <w:t>HaplotypeCaller</w:t>
      </w:r>
      <w:r w:rsidRPr="000A0980">
        <w:rPr>
          <w:rFonts w:ascii="Times" w:eastAsia="Times New Roman" w:hAnsi="Times" w:cs="Times New Roman"/>
          <w:color w:val="212121"/>
          <w:kern w:val="0"/>
          <w:sz w:val="21"/>
          <w:szCs w:val="21"/>
          <w:shd w:val="clear" w:color="auto" w:fill="FFFFFF"/>
        </w:rPr>
        <w:t xml:space="preserve"> </w:t>
      </w:r>
      <w:r w:rsidRPr="000A0980">
        <w:rPr>
          <w:rFonts w:ascii="Times" w:eastAsia="Times New Roman" w:hAnsi="Times" w:cs="Times New Roman"/>
          <w:color w:val="000000"/>
          <w:kern w:val="0"/>
          <w:sz w:val="21"/>
          <w:szCs w:val="21"/>
          <w:shd w:val="clear" w:color="auto" w:fill="FFFFFF"/>
        </w:rPr>
        <w:t>software.</w:t>
      </w:r>
    </w:p>
    <w:p w:rsidR="000A0980" w:rsidRPr="000A0980" w:rsidRDefault="000A0980" w:rsidP="000A0980">
      <w:pPr>
        <w:pStyle w:val="a5"/>
        <w:widowControl/>
        <w:spacing w:line="360" w:lineRule="auto"/>
        <w:mirrorIndents/>
        <w:rPr>
          <w:rFonts w:ascii="Times" w:eastAsia="Times New Roman" w:hAnsi="Times" w:cs="Times New Roman"/>
          <w:b/>
          <w:i/>
          <w:color w:val="000000"/>
          <w:kern w:val="0"/>
          <w:sz w:val="21"/>
          <w:szCs w:val="21"/>
          <w:shd w:val="clear" w:color="auto" w:fill="FFFFFF"/>
        </w:rPr>
      </w:pPr>
      <w:r w:rsidRPr="000A0980">
        <w:rPr>
          <w:rFonts w:ascii="Times" w:eastAsia="Times New Roman" w:hAnsi="Times" w:cs="Times New Roman"/>
          <w:b/>
          <w:i/>
          <w:color w:val="000000"/>
          <w:kern w:val="0"/>
          <w:sz w:val="21"/>
          <w:szCs w:val="21"/>
          <w:shd w:val="clear" w:color="auto" w:fill="FFFFFF"/>
        </w:rPr>
        <w:t>Sample quality control and variant quality control</w:t>
      </w:r>
    </w:p>
    <w:p w:rsidR="000A0980" w:rsidRPr="000A0980" w:rsidRDefault="000A0980" w:rsidP="000A0980">
      <w:pPr>
        <w:pStyle w:val="a5"/>
        <w:widowControl/>
        <w:spacing w:line="360" w:lineRule="auto"/>
        <w:mirrorIndents/>
        <w:rPr>
          <w:rFonts w:ascii="Times" w:eastAsia="Times New Roman" w:hAnsi="Times" w:cs="Times New Roman"/>
          <w:color w:val="000000"/>
          <w:kern w:val="0"/>
          <w:sz w:val="21"/>
          <w:szCs w:val="21"/>
          <w:shd w:val="clear" w:color="auto" w:fill="FFFFFF"/>
        </w:rPr>
      </w:pPr>
      <w:r w:rsidRPr="000A0980">
        <w:rPr>
          <w:rFonts w:ascii="Times" w:eastAsia="Times New Roman" w:hAnsi="Times" w:cs="Times New Roman"/>
          <w:color w:val="000000"/>
          <w:kern w:val="0"/>
          <w:sz w:val="21"/>
          <w:szCs w:val="21"/>
          <w:shd w:val="clear" w:color="auto" w:fill="FFFFFF"/>
        </w:rPr>
        <w:t>The Samples with a high proportion of chimeric reads (&gt;5%), high contamination (&lt;5%), poor call rates (&lt;90%), mean depth &lt;10</w:t>
      </w:r>
      <w:r w:rsidRPr="000A0980">
        <w:rPr>
          <w:rFonts w:ascii="Times" w:eastAsia="Times New Roman" w:hAnsi="Times" w:cs="Times New Roman" w:hint="eastAsia"/>
          <w:color w:val="000000"/>
          <w:kern w:val="0"/>
          <w:sz w:val="21"/>
          <w:szCs w:val="21"/>
          <w:shd w:val="clear" w:color="auto" w:fill="FFFFFF"/>
        </w:rPr>
        <w:t>×</w:t>
      </w:r>
      <w:r w:rsidRPr="000A0980">
        <w:rPr>
          <w:rFonts w:ascii="Times" w:eastAsia="Hiragino Sans GB W3" w:hAnsi="Times" w:cs="Hiragino Sans GB W3"/>
          <w:kern w:val="0"/>
          <w:sz w:val="21"/>
          <w:szCs w:val="21"/>
        </w:rPr>
        <w:t>,</w:t>
      </w:r>
      <w:r w:rsidRPr="000A0980">
        <w:rPr>
          <w:rFonts w:ascii="Hiragino Sans GB W3" w:eastAsia="Hiragino Sans GB W3" w:cs="Hiragino Sans GB W3"/>
          <w:kern w:val="0"/>
          <w:sz w:val="21"/>
          <w:szCs w:val="21"/>
        </w:rPr>
        <w:t xml:space="preserve"> </w:t>
      </w:r>
      <w:r w:rsidRPr="000A0980">
        <w:rPr>
          <w:rFonts w:ascii="Times" w:eastAsia="Times New Roman" w:hAnsi="Times" w:cs="Times New Roman"/>
          <w:color w:val="000000"/>
          <w:kern w:val="0"/>
          <w:sz w:val="21"/>
          <w:szCs w:val="21"/>
          <w:shd w:val="clear" w:color="auto" w:fill="FFFFFF"/>
        </w:rPr>
        <w:t xml:space="preserve">or mean genotype-quality &lt;65 </w:t>
      </w:r>
      <w:r w:rsidRPr="000A0980">
        <w:rPr>
          <w:rFonts w:ascii="Times" w:eastAsia="Times New Roman" w:hAnsi="Times" w:cs="Times New Roman" w:hint="eastAsia"/>
          <w:color w:val="000000"/>
          <w:kern w:val="0"/>
          <w:sz w:val="21"/>
          <w:szCs w:val="21"/>
          <w:shd w:val="clear" w:color="auto" w:fill="FFFFFF"/>
        </w:rPr>
        <w:t>w</w:t>
      </w:r>
      <w:r w:rsidRPr="000A0980">
        <w:rPr>
          <w:rFonts w:ascii="Times" w:eastAsia="Times New Roman" w:hAnsi="Times" w:cs="Times New Roman"/>
          <w:color w:val="000000"/>
          <w:kern w:val="0"/>
          <w:sz w:val="21"/>
          <w:szCs w:val="21"/>
          <w:shd w:val="clear" w:color="auto" w:fill="FFFFFF"/>
        </w:rPr>
        <w:t>ere excluded in the further analysis.</w:t>
      </w:r>
    </w:p>
    <w:p w:rsidR="000A0980" w:rsidRPr="000A0980" w:rsidRDefault="000A0980" w:rsidP="000A0980">
      <w:pPr>
        <w:pStyle w:val="a5"/>
        <w:widowControl/>
        <w:spacing w:line="360" w:lineRule="auto"/>
        <w:mirrorIndents/>
        <w:rPr>
          <w:rFonts w:ascii="宋体" w:eastAsia="宋体" w:hAnsi="宋体" w:cs="宋体"/>
          <w:color w:val="000000"/>
          <w:kern w:val="0"/>
          <w:sz w:val="21"/>
          <w:szCs w:val="21"/>
          <w:shd w:val="clear" w:color="auto" w:fill="FFFFFF"/>
        </w:rPr>
      </w:pPr>
      <w:r w:rsidRPr="000A0980">
        <w:rPr>
          <w:rFonts w:ascii="Times" w:eastAsia="Times New Roman" w:hAnsi="Times" w:cs="Times New Roman"/>
          <w:color w:val="000000"/>
          <w:kern w:val="0"/>
          <w:sz w:val="21"/>
          <w:szCs w:val="21"/>
          <w:shd w:val="clear" w:color="auto" w:fill="FFFFFF"/>
        </w:rPr>
        <w:t xml:space="preserve">For variant quality control, we restricted the data to GENCODE coding regions, where </w:t>
      </w:r>
      <w:r w:rsidRPr="000A0980">
        <w:rPr>
          <w:rFonts w:ascii="Times" w:hAnsi="Times" w:cs="Times New Roman"/>
          <w:color w:val="000000"/>
          <w:sz w:val="21"/>
          <w:szCs w:val="21"/>
        </w:rPr>
        <w:t>Illumina</w:t>
      </w:r>
      <w:r w:rsidRPr="000A0980">
        <w:rPr>
          <w:rFonts w:ascii="Times" w:eastAsia="Times New Roman" w:hAnsi="Times" w:cs="Times New Roman"/>
          <w:color w:val="000000"/>
          <w:kern w:val="0"/>
          <w:sz w:val="21"/>
          <w:szCs w:val="21"/>
          <w:shd w:val="clear" w:color="auto" w:fill="FFFFFF"/>
        </w:rPr>
        <w:t xml:space="preserve"> exomes surpassed 10</w:t>
      </w:r>
      <w:r w:rsidRPr="000A0980">
        <w:rPr>
          <w:rFonts w:ascii="Times" w:eastAsia="Times New Roman" w:hAnsi="Times" w:cs="Times New Roman" w:hint="eastAsia"/>
          <w:color w:val="000000"/>
          <w:kern w:val="0"/>
          <w:sz w:val="21"/>
          <w:szCs w:val="21"/>
          <w:shd w:val="clear" w:color="auto" w:fill="FFFFFF"/>
        </w:rPr>
        <w:t>×</w:t>
      </w:r>
      <w:r w:rsidRPr="000A0980">
        <w:rPr>
          <w:rFonts w:ascii="Times" w:eastAsia="Times New Roman" w:hAnsi="Times" w:cs="Times New Roman"/>
          <w:color w:val="000000"/>
          <w:kern w:val="0"/>
          <w:sz w:val="21"/>
          <w:szCs w:val="21"/>
          <w:shd w:val="clear" w:color="auto" w:fill="FFFFFF"/>
        </w:rPr>
        <w:t xml:space="preserve"> mean coverage. The “PASS” variants in GATK’s variant quality score recalibration (VQSR) filter were included in the further analysis. I</w:t>
      </w:r>
      <w:r w:rsidRPr="000A0980">
        <w:rPr>
          <w:rFonts w:ascii="Times" w:eastAsia="Times New Roman" w:hAnsi="Times" w:cs="Times New Roman" w:hint="eastAsia"/>
          <w:color w:val="000000"/>
          <w:kern w:val="0"/>
          <w:sz w:val="21"/>
          <w:szCs w:val="21"/>
          <w:shd w:val="clear" w:color="auto" w:fill="FFFFFF"/>
        </w:rPr>
        <w:t>n</w:t>
      </w:r>
      <w:r w:rsidRPr="000A0980">
        <w:rPr>
          <w:rFonts w:ascii="Times" w:eastAsia="Times New Roman" w:hAnsi="Times" w:cs="Times New Roman"/>
          <w:color w:val="000000"/>
          <w:kern w:val="0"/>
          <w:sz w:val="21"/>
          <w:szCs w:val="21"/>
          <w:shd w:val="clear" w:color="auto" w:fill="FFFFFF"/>
        </w:rPr>
        <w:t xml:space="preserve"> addition, individual genotypes meet the following criteria: 1) genotype depth more than 10, 2) the allele balance (alternative allele cover/total allele cover) of heterozygous sites is between 0.2 and 0.8, the allele balance of </w:t>
      </w:r>
      <w:r w:rsidRPr="000A0980">
        <w:rPr>
          <w:rFonts w:ascii="Times" w:eastAsia="Times New Roman" w:hAnsi="Times" w:cs="Times New Roman" w:hint="eastAsia"/>
          <w:color w:val="000000"/>
          <w:kern w:val="0"/>
          <w:sz w:val="21"/>
          <w:szCs w:val="21"/>
          <w:shd w:val="clear" w:color="auto" w:fill="FFFFFF"/>
        </w:rPr>
        <w:t>hom</w:t>
      </w:r>
      <w:r w:rsidRPr="000A0980">
        <w:rPr>
          <w:rFonts w:ascii="Times" w:eastAsia="Times New Roman" w:hAnsi="Times" w:cs="Times New Roman"/>
          <w:color w:val="000000"/>
          <w:kern w:val="0"/>
          <w:sz w:val="21"/>
          <w:szCs w:val="21"/>
          <w:shd w:val="clear" w:color="auto" w:fill="FFFFFF"/>
        </w:rPr>
        <w:t>ozygous sites is more than 0.8. 3</w:t>
      </w:r>
      <w:r w:rsidRPr="000A0980">
        <w:rPr>
          <w:rFonts w:ascii="宋体" w:eastAsia="宋体" w:hAnsi="宋体" w:cs="宋体" w:hint="eastAsia"/>
          <w:color w:val="000000"/>
          <w:kern w:val="0"/>
          <w:sz w:val="21"/>
          <w:szCs w:val="21"/>
          <w:shd w:val="clear" w:color="auto" w:fill="FFFFFF"/>
        </w:rPr>
        <w:t>)</w:t>
      </w:r>
      <w:r w:rsidRPr="000A0980">
        <w:rPr>
          <w:rFonts w:ascii="Times" w:eastAsia="Times New Roman" w:hAnsi="Times" w:cs="Times New Roman"/>
          <w:color w:val="000000"/>
          <w:kern w:val="0"/>
          <w:sz w:val="21"/>
          <w:szCs w:val="21"/>
          <w:shd w:val="clear" w:color="auto" w:fill="FFFFFF"/>
        </w:rPr>
        <w:t>genotype quality (GQ)&gt;20.</w:t>
      </w:r>
    </w:p>
    <w:p w:rsidR="001F5EC0" w:rsidRDefault="000A0980">
      <w:pPr>
        <w:widowControl/>
        <w:spacing w:line="360" w:lineRule="auto"/>
        <w:rPr>
          <w:rFonts w:ascii="Times New Roman" w:hAnsi="Times New Roman" w:cs="Times New Roman"/>
          <w:b/>
          <w:i/>
        </w:rPr>
      </w:pPr>
      <w:r>
        <w:rPr>
          <w:rFonts w:ascii="Times New Roman" w:hAnsi="Times New Roman" w:cs="Times New Roman"/>
          <w:b/>
          <w:i/>
        </w:rPr>
        <w:t xml:space="preserve">Variant annotation </w:t>
      </w:r>
    </w:p>
    <w:p w:rsidR="000A0980" w:rsidRDefault="000A0980">
      <w:pPr>
        <w:widowControl/>
        <w:spacing w:line="360" w:lineRule="auto"/>
        <w:rPr>
          <w:rFonts w:ascii="Times New Roman" w:hAnsi="Times New Roman" w:cs="Times New Roman"/>
        </w:rPr>
      </w:pPr>
      <w:r>
        <w:rPr>
          <w:rFonts w:ascii="Times New Roman" w:hAnsi="Times New Roman" w:cs="Times New Roman"/>
        </w:rPr>
        <w:t xml:space="preserve">Six mitochondria function related PD genes including </w:t>
      </w:r>
      <w:r>
        <w:rPr>
          <w:rFonts w:ascii="Times New Roman" w:hAnsi="Times New Roman" w:cs="Times New Roman"/>
          <w:i/>
        </w:rPr>
        <w:t>HTRA2</w:t>
      </w:r>
      <w:r>
        <w:rPr>
          <w:rFonts w:ascii="Times New Roman" w:hAnsi="Times New Roman" w:cs="Times New Roman"/>
        </w:rPr>
        <w:t xml:space="preserve">, </w:t>
      </w:r>
      <w:r>
        <w:rPr>
          <w:rFonts w:ascii="Times New Roman" w:hAnsi="Times New Roman" w:cs="Times New Roman"/>
          <w:i/>
        </w:rPr>
        <w:t>CHCHD2</w:t>
      </w:r>
      <w:r>
        <w:rPr>
          <w:rFonts w:ascii="Times New Roman" w:hAnsi="Times New Roman" w:cs="Times New Roman"/>
        </w:rPr>
        <w:t xml:space="preserve">, </w:t>
      </w:r>
      <w:r>
        <w:rPr>
          <w:rFonts w:ascii="Times New Roman" w:hAnsi="Times New Roman" w:cs="Times New Roman"/>
          <w:i/>
        </w:rPr>
        <w:t>CHCHD10</w:t>
      </w:r>
      <w:r>
        <w:rPr>
          <w:rFonts w:ascii="Times New Roman" w:hAnsi="Times New Roman" w:cs="Times New Roman"/>
        </w:rPr>
        <w:t xml:space="preserve">, </w:t>
      </w:r>
      <w:r>
        <w:rPr>
          <w:rFonts w:ascii="Times New Roman" w:hAnsi="Times New Roman" w:cs="Times New Roman"/>
          <w:i/>
        </w:rPr>
        <w:t>TRAP1</w:t>
      </w:r>
      <w:r>
        <w:rPr>
          <w:rFonts w:ascii="Times New Roman" w:hAnsi="Times New Roman" w:cs="Times New Roman"/>
        </w:rPr>
        <w:t xml:space="preserve">, </w:t>
      </w:r>
      <w:r>
        <w:rPr>
          <w:rFonts w:ascii="Times New Roman" w:hAnsi="Times New Roman" w:cs="Times New Roman"/>
          <w:i/>
        </w:rPr>
        <w:t>HSPA9</w:t>
      </w:r>
      <w:r>
        <w:rPr>
          <w:rFonts w:ascii="Times New Roman" w:hAnsi="Times New Roman" w:cs="Times New Roman"/>
        </w:rPr>
        <w:t xml:space="preserve"> and </w:t>
      </w:r>
      <w:r>
        <w:rPr>
          <w:rFonts w:ascii="Times New Roman" w:hAnsi="Times New Roman" w:cs="Times New Roman"/>
          <w:i/>
        </w:rPr>
        <w:t>RHOT1</w:t>
      </w:r>
      <w:r>
        <w:rPr>
          <w:rFonts w:ascii="Times New Roman" w:hAnsi="Times New Roman" w:cs="Times New Roman"/>
        </w:rPr>
        <w:t xml:space="preserve"> were included in the study (mutations of all other potential PD causative genes were excluded, unpublished data). </w:t>
      </w:r>
    </w:p>
    <w:p w:rsidR="000A0980" w:rsidRDefault="000A0980">
      <w:pPr>
        <w:widowControl/>
        <w:spacing w:line="360" w:lineRule="auto"/>
        <w:rPr>
          <w:rFonts w:ascii="Times New Roman" w:hAnsi="Times New Roman" w:cs="Times New Roman"/>
        </w:rPr>
      </w:pPr>
      <w:r>
        <w:rPr>
          <w:rFonts w:ascii="Times New Roman" w:hAnsi="Times New Roman" w:cs="Times New Roman"/>
        </w:rPr>
        <w:t>R</w:t>
      </w:r>
      <w:r>
        <w:rPr>
          <w:rFonts w:ascii="Times New Roman" w:hAnsi="Times New Roman" w:cs="Times New Roman" w:hint="eastAsia"/>
        </w:rPr>
        <w:t>are</w:t>
      </w:r>
      <w:r>
        <w:rPr>
          <w:rFonts w:ascii="Times New Roman" w:hAnsi="Times New Roman" w:cs="Times New Roman"/>
        </w:rPr>
        <w:t xml:space="preserve"> variants with MAF in East Asian population ≥0.1% in any of the following databases were excluded from the analysis, which included gnom Aggregation database (gnomAD), Exome Aggregation Consortium (ExAC), 1000 Genomes and Chinese Millionome Database (CMDB). </w:t>
      </w:r>
    </w:p>
    <w:p w:rsidR="001F5EC0" w:rsidRPr="000A0980" w:rsidRDefault="000A0980">
      <w:pPr>
        <w:widowControl/>
        <w:spacing w:line="360" w:lineRule="auto"/>
        <w:rPr>
          <w:rFonts w:ascii="Times New Roman" w:hAnsi="Times New Roman" w:cs="Times New Roman"/>
          <w:szCs w:val="21"/>
        </w:rPr>
      </w:pPr>
      <w:r w:rsidRPr="000A0980">
        <w:rPr>
          <w:rFonts w:ascii="Times New Roman" w:hAnsi="Times New Roman" w:cs="Times New Roman"/>
        </w:rPr>
        <w:lastRenderedPageBreak/>
        <w:t>For rare variants, which were annotated as “missense”, “inframe_deletion”, “inframe_insertion”, “frameshift”, “stop_gained”, “splice donor,” “splice acceptor,” or “splice region” were further classified as “deleterious” or “non-deleterious” according to the following criteria</w:t>
      </w:r>
      <w:r w:rsidRPr="000A0980">
        <w:rPr>
          <w:rFonts w:ascii="Times New Roman" w:hAnsi="Times New Roman" w:cs="Times New Roman"/>
        </w:rPr>
        <w:t>：</w:t>
      </w:r>
      <w:r w:rsidRPr="000A0980">
        <w:rPr>
          <w:rFonts w:ascii="Times New Roman" w:hAnsi="Times New Roman" w:cs="Times New Roman"/>
        </w:rPr>
        <w:t xml:space="preserve">1)all nonsense variants(stop_gained) and indels were regarded as deleterious; 2) splicing variants were deleterious when they were predicted to affect splicing at least 1 of 2 in two silico tools, including Human Splicing Finder and NetGene2; 3) missense variants were only considered deleterious when they were predicted to be damaging by at least </w:t>
      </w:r>
      <w:r>
        <w:rPr>
          <w:rFonts w:ascii="Times New Roman" w:hAnsi="Times New Roman" w:cs="Times New Roman"/>
        </w:rPr>
        <w:t>3</w:t>
      </w:r>
      <w:r w:rsidRPr="000A0980">
        <w:rPr>
          <w:rFonts w:ascii="Times New Roman" w:hAnsi="Times New Roman" w:cs="Times New Roman"/>
        </w:rPr>
        <w:t xml:space="preserve"> of </w:t>
      </w:r>
      <w:r>
        <w:rPr>
          <w:rFonts w:ascii="Times New Roman" w:hAnsi="Times New Roman" w:cs="Times New Roman"/>
        </w:rPr>
        <w:t>5</w:t>
      </w:r>
      <w:r w:rsidRPr="000A0980">
        <w:rPr>
          <w:rFonts w:ascii="Times New Roman" w:hAnsi="Times New Roman" w:cs="Times New Roman"/>
        </w:rPr>
        <w:t xml:space="preserve"> in the following </w:t>
      </w:r>
      <w:r>
        <w:rPr>
          <w:rFonts w:ascii="Times New Roman" w:hAnsi="Times New Roman" w:cs="Times New Roman"/>
        </w:rPr>
        <w:t xml:space="preserve">five prediction software, including SIFT, PolyPhen2, Condel_label, GERP++ score, CADD score. </w:t>
      </w:r>
      <w:r w:rsidRPr="000A0980">
        <w:rPr>
          <w:rFonts w:ascii="Times" w:eastAsia="Times New Roman" w:hAnsi="Times" w:cs="Times New Roman"/>
          <w:color w:val="000000"/>
          <w:kern w:val="0"/>
          <w:szCs w:val="21"/>
        </w:rPr>
        <w:t>For the known rare variants, their pathogenicity classified in the Clinvar database was one of important supporting evidences. Cosegregation analysis of the candidate variants was performed on all available family members.</w:t>
      </w:r>
      <w:r>
        <w:rPr>
          <w:rFonts w:ascii="Times New Roman" w:hAnsi="Times New Roman" w:cs="Times New Roman" w:hint="eastAsia"/>
          <w:szCs w:val="21"/>
        </w:rPr>
        <w:t xml:space="preserve"> </w:t>
      </w:r>
      <w:r>
        <w:rPr>
          <w:rFonts w:ascii="Times New Roman" w:hAnsi="Times New Roman" w:cs="Times New Roman"/>
        </w:rPr>
        <w:t>Variants were classified into pathogenic, likely pathogenic and variant of uncertain significance (VUS) and benign according to American College of Medical Genetics (ACMG) recommendations</w:t>
      </w:r>
      <w:r>
        <w:rPr>
          <w:rFonts w:ascii="Times New Roman" w:hAnsi="Times New Roman" w:cs="Times New Roman"/>
        </w:rPr>
        <w:fldChar w:fldCharType="begin"/>
      </w:r>
      <w:r w:rsidR="00F31BBF">
        <w:rPr>
          <w:rFonts w:ascii="Times New Roman" w:hAnsi="Times New Roman" w:cs="Times New Roman"/>
        </w:rPr>
        <w:instrText xml:space="preserve"> ADDIN EN.CITE &lt;EndNote&gt;&lt;Cite&gt;&lt;Author&gt;Monaghan&lt;/Author&gt;&lt;Year&gt;2013&lt;/Year&gt;&lt;RecNum&gt;156&lt;/RecNum&gt;&lt;DisplayText&gt;[1]&lt;/DisplayText&gt;&lt;record&gt;&lt;rec-number&gt;156&lt;/rec-number&gt;&lt;foreign-keys&gt;&lt;key app="EN" db-id="0spxrf5fpxed9neztxhxpp5jfevsesszdsa9" timestamp="1581701985"&gt;156&lt;/key&gt;&lt;/foreign-keys&gt;&lt;ref-type name="Journal Article"&gt;17&lt;/ref-type&gt;&lt;contributors&gt;&lt;authors&gt;&lt;author&gt;Monaghan, K. G.&lt;/author&gt;&lt;author&gt;Lyon, E.&lt;/author&gt;&lt;author&gt;Spector, E. B.&lt;/author&gt;&lt;author&gt;erican College of Medical, Genetics&lt;/author&gt;&lt;author&gt;Genomics,&lt;/author&gt;&lt;/authors&gt;&lt;/contributors&gt;&lt;auth-address&gt;Department of Medical Genetics, Henry Ford Health System, Detroit, Michigan, USA. Kmonagh1@hfhs.org&lt;/auth-address&gt;&lt;titles&gt;&lt;title&gt;ACMG Standards and Guidelines for fragile X testing: a revision to the disease-specific supplements to the Standards and Guidelines for Clinical Genetics Laboratories of the American College of Medical Genetics and Genomics&lt;/title&gt;&lt;secondary-title&gt;Genet Med&lt;/secondary-title&gt;&lt;/titles&gt;&lt;periodical&gt;&lt;full-title&gt;Genet Med&lt;/full-title&gt;&lt;/periodical&gt;&lt;pages&gt;575-86&lt;/pages&gt;&lt;volume&gt;15&lt;/volume&gt;&lt;number&gt;7&lt;/number&gt;&lt;keywords&gt;&lt;keyword&gt;Blotting, Southern&lt;/keyword&gt;&lt;keyword&gt;Female&lt;/keyword&gt;&lt;keyword&gt;Fragile X Mental Retardation Protein/genetics&lt;/keyword&gt;&lt;keyword&gt;Fragile X Syndrome/etiology/*genetics&lt;/keyword&gt;&lt;keyword&gt;Genetic Association Studies&lt;/keyword&gt;&lt;keyword&gt;*Genetic Testing&lt;/keyword&gt;&lt;keyword&gt;Genetics, Medical&lt;/keyword&gt;&lt;keyword&gt;Humans&lt;/keyword&gt;&lt;keyword&gt;Mutation&lt;/keyword&gt;&lt;keyword&gt;Polymerase Chain Reaction&lt;/keyword&gt;&lt;keyword&gt;Pregnancy&lt;/keyword&gt;&lt;keyword&gt;Prenatal Diagnosis&lt;/keyword&gt;&lt;/keywords&gt;&lt;dates&gt;&lt;year&gt;2013&lt;/year&gt;&lt;pub-dates&gt;&lt;date&gt;Jul&lt;/date&gt;&lt;/pub-dates&gt;&lt;/dates&gt;&lt;isbn&gt;1530-0366 (Electronic)&amp;#xD;1098-3600 (Linking)&lt;/isbn&gt;&lt;accession-num&gt;23765048&lt;/accession-num&gt;&lt;urls&gt;&lt;related-urls&gt;&lt;url&gt;https://www.ncbi.nlm.nih.gov/pubmed/23765048&lt;/url&gt;&lt;/related-urls&gt;&lt;/urls&gt;&lt;electronic-resource-num&gt;10.1038/gim.2013.61&lt;/electronic-resource-num&gt;&lt;/record&gt;&lt;/Cite&gt;&lt;/EndNote&gt;</w:instrText>
      </w:r>
      <w:r>
        <w:rPr>
          <w:rFonts w:ascii="Times New Roman" w:hAnsi="Times New Roman" w:cs="Times New Roman"/>
        </w:rPr>
        <w:fldChar w:fldCharType="separate"/>
      </w:r>
      <w:r w:rsidR="00F31BBF">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xml:space="preserve">. </w:t>
      </w:r>
    </w:p>
    <w:p w:rsidR="001F5EC0" w:rsidRDefault="000A0980">
      <w:pPr>
        <w:pStyle w:val="a5"/>
        <w:widowControl/>
        <w:spacing w:beforeAutospacing="1" w:afterAutospacing="1" w:line="360" w:lineRule="auto"/>
        <w:rPr>
          <w:rFonts w:ascii="Times New Roman" w:hAnsi="Times New Roman" w:cs="Times New Roman"/>
          <w:b/>
          <w:i/>
          <w:sz w:val="21"/>
        </w:rPr>
      </w:pPr>
      <w:r>
        <w:rPr>
          <w:rFonts w:ascii="Times New Roman" w:hAnsi="Times New Roman" w:cs="Times New Roman"/>
          <w:b/>
          <w:i/>
          <w:sz w:val="21"/>
        </w:rPr>
        <w:t>Haplotype analysis, dating and sequencing analysis for CHCHD2 p.P53Afs*37 in sporadic PD</w:t>
      </w:r>
    </w:p>
    <w:p w:rsidR="001F5EC0" w:rsidRDefault="000A0980">
      <w:pPr>
        <w:pStyle w:val="a5"/>
        <w:widowControl/>
        <w:adjustRightInd w:val="0"/>
        <w:spacing w:before="100" w:beforeAutospacing="1" w:after="100" w:afterAutospacing="1" w:line="360" w:lineRule="auto"/>
        <w:contextualSpacing/>
        <w:rPr>
          <w:rFonts w:ascii="Times New Roman" w:hAnsi="Times New Roman" w:cs="Times New Roman"/>
          <w:sz w:val="21"/>
        </w:rPr>
      </w:pPr>
      <w:r>
        <w:rPr>
          <w:rFonts w:ascii="Times New Roman" w:hAnsi="Times New Roman" w:cs="Times New Roman"/>
          <w:sz w:val="21"/>
        </w:rPr>
        <w:t xml:space="preserve">The two ADPD patients carrying </w:t>
      </w:r>
      <w:r>
        <w:rPr>
          <w:rFonts w:ascii="Times New Roman" w:hAnsi="Times New Roman" w:cs="Times New Roman"/>
          <w:i/>
          <w:sz w:val="21"/>
        </w:rPr>
        <w:t>CHCHD2</w:t>
      </w:r>
      <w:r>
        <w:rPr>
          <w:rFonts w:ascii="Times New Roman" w:hAnsi="Times New Roman" w:cs="Times New Roman"/>
          <w:sz w:val="21"/>
        </w:rPr>
        <w:t xml:space="preserve"> p.P53Afs*37 we identified came from the unrelate area geographically. To distinguish between the presence of a possible founder effect or a mutational hot spot for the </w:t>
      </w:r>
      <w:r>
        <w:rPr>
          <w:rFonts w:ascii="Times New Roman" w:hAnsi="Times New Roman" w:cs="Times New Roman"/>
          <w:i/>
          <w:sz w:val="21"/>
        </w:rPr>
        <w:t>CHCHD2</w:t>
      </w:r>
      <w:r>
        <w:rPr>
          <w:rFonts w:ascii="Times New Roman" w:hAnsi="Times New Roman" w:cs="Times New Roman"/>
          <w:sz w:val="21"/>
        </w:rPr>
        <w:t xml:space="preserve"> p.P53Afs*37 mutation we used polymorphisms-generated haplotypes to try to establish a common lineage. The Infinium Asian Screening Array -24 v1.0 BeadChip was used to genotyping for these two patients. Haplotypes segregating with the disease were constructed to identify a possible ancestral haplotype. In addition, the Gamma method</w:t>
      </w:r>
      <w:r>
        <w:rPr>
          <w:rFonts w:ascii="Times New Roman" w:hAnsi="Times New Roman" w:cs="Times New Roman"/>
          <w:sz w:val="21"/>
        </w:rPr>
        <w:fldChar w:fldCharType="begin">
          <w:fldData xml:space="preserve">PEVuZE5vdGU+PENpdGU+PEF1dGhvcj5HYW5kb2xmbzwvQXV0aG9yPjxZZWFyPjIwMTQ8L1llYXI+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</w:fldData>
        </w:fldChar>
      </w:r>
      <w:r w:rsidR="00F31BBF">
        <w:rPr>
          <w:rFonts w:ascii="Times New Roman" w:hAnsi="Times New Roman" w:cs="Times New Roman"/>
          <w:sz w:val="21"/>
        </w:rPr>
        <w:instrText xml:space="preserve"> ADDIN EN.CITE </w:instrText>
      </w:r>
      <w:r w:rsidR="00F31BBF">
        <w:rPr>
          <w:rFonts w:ascii="Times New Roman" w:hAnsi="Times New Roman" w:cs="Times New Roman"/>
          <w:sz w:val="21"/>
        </w:rPr>
        <w:fldChar w:fldCharType="begin">
          <w:fldData xml:space="preserve">PEVuZE5vdGU+PENpdGU+PEF1dGhvcj5HYW5kb2xmbzwvQXV0aG9yPjxZZWFyPjIwMTQ8L1llYXI+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</w:fldData>
        </w:fldChar>
      </w:r>
      <w:r w:rsidR="00F31BBF">
        <w:rPr>
          <w:rFonts w:ascii="Times New Roman" w:hAnsi="Times New Roman" w:cs="Times New Roman"/>
          <w:sz w:val="21"/>
        </w:rPr>
        <w:instrText xml:space="preserve"> ADDIN EN.CITE.DATA </w:instrText>
      </w:r>
      <w:r w:rsidR="00F31BBF">
        <w:rPr>
          <w:rFonts w:ascii="Times New Roman" w:hAnsi="Times New Roman" w:cs="Times New Roman"/>
          <w:sz w:val="21"/>
        </w:rPr>
      </w:r>
      <w:r w:rsidR="00F31BBF">
        <w:rPr>
          <w:rFonts w:ascii="Times New Roman" w:hAnsi="Times New Roman" w:cs="Times New Roman"/>
          <w:sz w:val="21"/>
        </w:rPr>
        <w:fldChar w:fldCharType="end"/>
      </w:r>
      <w:r>
        <w:rPr>
          <w:rFonts w:ascii="Times New Roman" w:hAnsi="Times New Roman" w:cs="Times New Roman"/>
          <w:sz w:val="21"/>
        </w:rPr>
        <w:fldChar w:fldCharType="separate"/>
      </w:r>
      <w:r w:rsidR="00F31BBF">
        <w:rPr>
          <w:rFonts w:ascii="Times New Roman" w:hAnsi="Times New Roman" w:cs="Times New Roman"/>
          <w:noProof/>
          <w:sz w:val="21"/>
        </w:rPr>
        <w:t>[2]</w:t>
      </w:r>
      <w:r>
        <w:rPr>
          <w:rFonts w:ascii="Times New Roman" w:hAnsi="Times New Roman" w:cs="Times New Roman"/>
          <w:sz w:val="21"/>
        </w:rPr>
        <w:fldChar w:fldCharType="end"/>
      </w:r>
      <w:r>
        <w:rPr>
          <w:rFonts w:ascii="Times New Roman" w:hAnsi="Times New Roman" w:cs="Times New Roman"/>
          <w:sz w:val="21"/>
        </w:rPr>
        <w:t xml:space="preserve"> was used to estimate the age of </w:t>
      </w:r>
      <w:r>
        <w:rPr>
          <w:rFonts w:ascii="Times New Roman" w:hAnsi="Times New Roman" w:cs="Times New Roman"/>
          <w:i/>
          <w:sz w:val="21"/>
        </w:rPr>
        <w:t>CHCHD2</w:t>
      </w:r>
      <w:r>
        <w:rPr>
          <w:rFonts w:ascii="Times New Roman" w:hAnsi="Times New Roman" w:cs="Times New Roman"/>
          <w:sz w:val="21"/>
        </w:rPr>
        <w:t xml:space="preserve"> p.P53Afs*37. Briefly, the Gamma method uses the lengths of shared ancestral haplotypes that carry the mutation to estimate the time to the most recent common ancestor, which is less than or equal to the time since the mutation first arose.</w:t>
      </w:r>
    </w:p>
    <w:p w:rsidR="001F5EC0" w:rsidRDefault="000A0980">
      <w:pPr>
        <w:pStyle w:val="a5"/>
        <w:widowControl/>
        <w:adjustRightInd w:val="0"/>
        <w:spacing w:before="100" w:beforeAutospacing="1" w:after="100" w:afterAutospacing="1" w:line="360" w:lineRule="auto"/>
        <w:contextualSpacing/>
        <w:rPr>
          <w:rFonts w:ascii="Times" w:hAnsi="Times" w:cs="Times New Roman"/>
          <w:sz w:val="21"/>
        </w:rPr>
      </w:pPr>
      <w:r>
        <w:rPr>
          <w:rFonts w:ascii="Times" w:hAnsi="Times" w:cs="Times New Roman"/>
          <w:sz w:val="21"/>
        </w:rPr>
        <w:t xml:space="preserve">To further define the role of </w:t>
      </w:r>
      <w:r>
        <w:rPr>
          <w:rFonts w:ascii="Times" w:hAnsi="Times" w:cs="Times New Roman"/>
          <w:i/>
          <w:sz w:val="21"/>
        </w:rPr>
        <w:t>CHCHD2</w:t>
      </w:r>
      <w:bookmarkStart w:id="1" w:name="OLE_LINK2"/>
      <w:bookmarkStart w:id="2" w:name="OLE_LINK1"/>
      <w:r>
        <w:rPr>
          <w:rFonts w:ascii="Times" w:hAnsi="Times" w:cs="Times New Roman"/>
          <w:sz w:val="21"/>
        </w:rPr>
        <w:t xml:space="preserve"> p.P53Afs*37</w:t>
      </w:r>
      <w:bookmarkEnd w:id="1"/>
      <w:bookmarkEnd w:id="2"/>
      <w:r>
        <w:rPr>
          <w:rFonts w:ascii="Times" w:hAnsi="Times" w:cs="Times New Roman"/>
          <w:sz w:val="21"/>
        </w:rPr>
        <w:t xml:space="preserve"> in PD from our cohort, a large-scale resequencing was performed in 300 additional sporadic PD patients(mean onset age: 47.94±7.55 years old, range from 41.75 to 81.79 years old), and 300 sex- and age-matched health controls. The primers designed by using primer permier5 (Premier Biosoft International, Palo Alto, CA) were used to amplify the exon 2 of </w:t>
      </w:r>
      <w:r>
        <w:rPr>
          <w:rFonts w:ascii="Times" w:hAnsi="Times" w:cs="Times New Roman"/>
          <w:i/>
          <w:sz w:val="21"/>
        </w:rPr>
        <w:t>CHCHD2</w:t>
      </w:r>
      <w:r>
        <w:rPr>
          <w:rFonts w:ascii="Times" w:hAnsi="Times" w:cs="Times New Roman"/>
          <w:sz w:val="21"/>
        </w:rPr>
        <w:t>, which includes the encoding region of p.P53Afs*37.</w:t>
      </w:r>
      <w:r>
        <w:rPr>
          <w:rFonts w:ascii="Times" w:hAnsi="Times"/>
        </w:rPr>
        <w:t xml:space="preserve"> </w:t>
      </w:r>
      <w:r>
        <w:rPr>
          <w:rFonts w:ascii="Times" w:hAnsi="Times" w:cs="Times New Roman"/>
          <w:sz w:val="21"/>
        </w:rPr>
        <w:t xml:space="preserve">The </w:t>
      </w:r>
      <w:r>
        <w:rPr>
          <w:rFonts w:ascii="Times" w:hAnsi="Times" w:cs="Times New Roman"/>
          <w:sz w:val="21"/>
        </w:rPr>
        <w:lastRenderedPageBreak/>
        <w:t>primers used were as follows: forward primer: GAAATGAAAATCTTGAGGTCC, reverse primer: ACAGCACAGTGGGTTCTAAA. The polymerase chain reaction (PCR) cycling conditions consisted of an initial denaturation for min at 95</w:t>
      </w:r>
      <w:r>
        <w:rPr>
          <w:rFonts w:ascii="Times" w:hAnsi="Times" w:cs="Cambria Math"/>
          <w:sz w:val="21"/>
        </w:rPr>
        <w:t>℃</w:t>
      </w:r>
      <w:r>
        <w:rPr>
          <w:rFonts w:ascii="Times" w:hAnsi="Times" w:cs="Times New Roman"/>
          <w:sz w:val="21"/>
        </w:rPr>
        <w:t xml:space="preserve"> for 5 min, followed by a program of 35 cycles of 95</w:t>
      </w:r>
      <w:r>
        <w:rPr>
          <w:rFonts w:ascii="Times" w:hAnsi="Times" w:cs="Cambria Math"/>
          <w:sz w:val="21"/>
        </w:rPr>
        <w:t>℃</w:t>
      </w:r>
      <w:r>
        <w:rPr>
          <w:rFonts w:ascii="Times" w:hAnsi="Times" w:cs="Times New Roman"/>
          <w:sz w:val="21"/>
        </w:rPr>
        <w:t xml:space="preserve"> for 30 s, 58 </w:t>
      </w:r>
      <w:r>
        <w:rPr>
          <w:rFonts w:ascii="Times" w:hAnsi="Times" w:cs="Cambria Math"/>
          <w:sz w:val="21"/>
        </w:rPr>
        <w:t>℃ for 30s, 72℃ for 30s, and a final extension at 72℃ for 10 min</w:t>
      </w:r>
      <w:r>
        <w:rPr>
          <w:rFonts w:ascii="Times" w:hAnsi="Times" w:cs="Times New Roman"/>
          <w:sz w:val="21"/>
        </w:rPr>
        <w:t xml:space="preserve">. The PCR products were directly sequenced using an ABI3100 automated DNA-sequencing system ((Tsingke, Chengdu, China). </w:t>
      </w:r>
    </w:p>
    <w:p w:rsidR="001F5EC0" w:rsidRDefault="001F5EC0">
      <w:pPr>
        <w:widowControl/>
        <w:spacing w:line="360" w:lineRule="auto"/>
        <w:rPr>
          <w:rFonts w:ascii="Times New Roman" w:hAnsi="Times New Roman" w:cs="Times New Roman"/>
        </w:rPr>
      </w:pPr>
    </w:p>
    <w:p w:rsidR="001F5EC0" w:rsidRDefault="001F5EC0">
      <w:pPr>
        <w:rPr>
          <w:rFonts w:ascii="Times New Roman" w:hAnsi="Times New Roman" w:cs="Times New Roman"/>
        </w:rPr>
      </w:pPr>
    </w:p>
    <w:p w:rsidR="001F5EC0" w:rsidRDefault="000A0980">
      <w:pPr>
        <w:rPr>
          <w:rFonts w:ascii="Times New Roman" w:hAnsi="Times New Roman" w:cs="Times New Roman"/>
          <w:b/>
        </w:rPr>
      </w:pPr>
      <w:r>
        <w:rPr>
          <w:rFonts w:ascii="Times New Roman" w:hAnsi="Times New Roman" w:cs="Times New Roman"/>
          <w:b/>
        </w:rPr>
        <w:t>R</w:t>
      </w:r>
      <w:r>
        <w:rPr>
          <w:rFonts w:ascii="Times New Roman" w:hAnsi="Times New Roman" w:cs="Times New Roman" w:hint="eastAsia"/>
          <w:b/>
        </w:rPr>
        <w:t>eferences:</w:t>
      </w:r>
    </w:p>
    <w:p w:rsidR="00F31BBF" w:rsidRPr="00F31BBF" w:rsidRDefault="000A0980" w:rsidP="00F31BBF">
      <w:pPr>
        <w:pStyle w:val="EndNoteBibliography"/>
        <w:ind w:left="720" w:hanging="720"/>
        <w:rPr>
          <w:rFonts w:ascii="Times" w:hAnsi="Times"/>
          <w:noProof/>
        </w:rPr>
      </w:pPr>
      <w:r w:rsidRPr="00F31BBF">
        <w:rPr>
          <w:rFonts w:ascii="Times" w:hAnsi="Times" w:cs="Times New Roman"/>
        </w:rPr>
        <w:fldChar w:fldCharType="begin"/>
      </w:r>
      <w:r w:rsidRPr="00F31BBF">
        <w:rPr>
          <w:rFonts w:ascii="Times" w:hAnsi="Times" w:cs="Times New Roman"/>
        </w:rPr>
        <w:instrText xml:space="preserve"> ADDIN EN.REFLIST </w:instrText>
      </w:r>
      <w:r w:rsidRPr="00F31BBF">
        <w:rPr>
          <w:rFonts w:ascii="Times" w:hAnsi="Times" w:cs="Times New Roman"/>
        </w:rPr>
        <w:fldChar w:fldCharType="separate"/>
      </w:r>
      <w:r w:rsidR="00F31BBF" w:rsidRPr="00F31BBF">
        <w:rPr>
          <w:rFonts w:ascii="Times" w:hAnsi="Times"/>
          <w:noProof/>
        </w:rPr>
        <w:t>1.</w:t>
      </w:r>
      <w:r w:rsidR="00F31BBF" w:rsidRPr="00F31BBF">
        <w:rPr>
          <w:rFonts w:ascii="Times" w:hAnsi="Times"/>
          <w:noProof/>
        </w:rPr>
        <w:tab/>
        <w:t xml:space="preserve">Monaghan KG, Lyon E, Spector EB, erican College of Medical G, Genomics: </w:t>
      </w:r>
      <w:r w:rsidR="00F31BBF" w:rsidRPr="00F31BBF">
        <w:rPr>
          <w:rFonts w:ascii="Times" w:hAnsi="Times"/>
          <w:b/>
          <w:noProof/>
        </w:rPr>
        <w:t>ACMG Standards and Guidelines for fragile X testing: a revision to the disease-specific supplements to the Standards and Guidelines for Clinical Genetics Laboratories of the American College of Medical Genetics and Genomics.</w:t>
      </w:r>
      <w:r w:rsidR="00F31BBF" w:rsidRPr="00F31BBF">
        <w:rPr>
          <w:rFonts w:ascii="Times" w:hAnsi="Times"/>
          <w:noProof/>
        </w:rPr>
        <w:t xml:space="preserve"> </w:t>
      </w:r>
      <w:r w:rsidR="00F31BBF" w:rsidRPr="00F31BBF">
        <w:rPr>
          <w:rFonts w:ascii="Times" w:hAnsi="Times"/>
          <w:i/>
          <w:noProof/>
        </w:rPr>
        <w:t xml:space="preserve">Genet Med </w:t>
      </w:r>
      <w:r w:rsidR="00F31BBF" w:rsidRPr="00F31BBF">
        <w:rPr>
          <w:rFonts w:ascii="Times" w:hAnsi="Times"/>
          <w:noProof/>
        </w:rPr>
        <w:t xml:space="preserve">2013, </w:t>
      </w:r>
      <w:r w:rsidR="00F31BBF" w:rsidRPr="00F31BBF">
        <w:rPr>
          <w:rFonts w:ascii="Times" w:hAnsi="Times"/>
          <w:b/>
          <w:noProof/>
        </w:rPr>
        <w:t>15:</w:t>
      </w:r>
      <w:r w:rsidR="00F31BBF" w:rsidRPr="00F31BBF">
        <w:rPr>
          <w:rFonts w:ascii="Times" w:hAnsi="Times"/>
          <w:noProof/>
        </w:rPr>
        <w:t>575-586.</w:t>
      </w:r>
    </w:p>
    <w:p w:rsidR="00F31BBF" w:rsidRPr="00F31BBF" w:rsidRDefault="00F31BBF" w:rsidP="00F31BBF">
      <w:pPr>
        <w:pStyle w:val="EndNoteBibliography"/>
        <w:ind w:left="720" w:hanging="720"/>
        <w:rPr>
          <w:rFonts w:ascii="Times" w:hAnsi="Times"/>
          <w:noProof/>
        </w:rPr>
      </w:pPr>
      <w:r w:rsidRPr="00F31BBF">
        <w:rPr>
          <w:rFonts w:ascii="Times" w:hAnsi="Times"/>
          <w:noProof/>
        </w:rPr>
        <w:t>2.</w:t>
      </w:r>
      <w:r w:rsidRPr="00F31BBF">
        <w:rPr>
          <w:rFonts w:ascii="Times" w:hAnsi="Times"/>
          <w:noProof/>
        </w:rPr>
        <w:tab/>
        <w:t xml:space="preserve">Gandolfo LC, Bahlo M, Speed TP: </w:t>
      </w:r>
      <w:r w:rsidRPr="00F31BBF">
        <w:rPr>
          <w:rFonts w:ascii="Times" w:hAnsi="Times"/>
          <w:b/>
          <w:noProof/>
        </w:rPr>
        <w:t>Dating rare mutations from small samples with dense marker data.</w:t>
      </w:r>
      <w:r w:rsidRPr="00F31BBF">
        <w:rPr>
          <w:rFonts w:ascii="Times" w:hAnsi="Times"/>
          <w:noProof/>
        </w:rPr>
        <w:t xml:space="preserve"> </w:t>
      </w:r>
      <w:r w:rsidRPr="00F31BBF">
        <w:rPr>
          <w:rFonts w:ascii="Times" w:hAnsi="Times"/>
          <w:i/>
          <w:noProof/>
        </w:rPr>
        <w:t xml:space="preserve">Genetics </w:t>
      </w:r>
      <w:r w:rsidRPr="00F31BBF">
        <w:rPr>
          <w:rFonts w:ascii="Times" w:hAnsi="Times"/>
          <w:noProof/>
        </w:rPr>
        <w:t xml:space="preserve">2014, </w:t>
      </w:r>
      <w:r w:rsidRPr="00F31BBF">
        <w:rPr>
          <w:rFonts w:ascii="Times" w:hAnsi="Times"/>
          <w:b/>
          <w:noProof/>
        </w:rPr>
        <w:t>197:</w:t>
      </w:r>
      <w:r w:rsidRPr="00F31BBF">
        <w:rPr>
          <w:rFonts w:ascii="Times" w:hAnsi="Times"/>
          <w:noProof/>
        </w:rPr>
        <w:t>1315-1327.</w:t>
      </w:r>
    </w:p>
    <w:p w:rsidR="001F5EC0" w:rsidRDefault="000A0980">
      <w:r w:rsidRPr="00F31BBF">
        <w:rPr>
          <w:rFonts w:ascii="Times" w:hAnsi="Times" w:cs="Times New Roman"/>
        </w:rPr>
        <w:fldChar w:fldCharType="end"/>
      </w:r>
    </w:p>
    <w:sectPr w:rsidR="001F5EC0">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w:altName w:val="Times New Roman"/>
    <w:panose1 w:val="00000500000000020000"/>
    <w:charset w:val="00"/>
    <w:family w:val="auto"/>
    <w:pitch w:val="variable"/>
    <w:sig w:usb0="E00002FF" w:usb1="5000205A" w:usb2="00000000" w:usb3="00000000" w:csb0="0000019F" w:csb1="00000000"/>
  </w:font>
  <w:font w:name="Hiragino Sans GB W3">
    <w:panose1 w:val="020B0300000000000000"/>
    <w:charset w:val="80"/>
    <w:family w:val="swiss"/>
    <w:pitch w:val="variable"/>
    <w:sig w:usb0="A00002BF" w:usb1="1ACF7CFA" w:usb2="00000016" w:usb3="00000000" w:csb0="00060007"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Molecular Neurodegen&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pxrf5fpxed9neztxhxpp5jfevsesszdsa9&quot;&gt;My EndNote Library-Converted&lt;record-ids&gt;&lt;item&gt;156&lt;/item&gt;&lt;item&gt;226&lt;/item&gt;&lt;/record-ids&gt;&lt;/item&gt;&lt;/Libraries&gt;"/>
  </w:docVars>
  <w:rsids>
    <w:rsidRoot w:val="006F018D"/>
    <w:rsid w:val="DF993243"/>
    <w:rsid w:val="ED534DC1"/>
    <w:rsid w:val="F0FF4C4B"/>
    <w:rsid w:val="00012891"/>
    <w:rsid w:val="000214C1"/>
    <w:rsid w:val="000322E3"/>
    <w:rsid w:val="00037FA4"/>
    <w:rsid w:val="00051C63"/>
    <w:rsid w:val="00054D57"/>
    <w:rsid w:val="000864C3"/>
    <w:rsid w:val="00087784"/>
    <w:rsid w:val="000A0980"/>
    <w:rsid w:val="000C5135"/>
    <w:rsid w:val="000C6DC0"/>
    <w:rsid w:val="000F63C1"/>
    <w:rsid w:val="00104110"/>
    <w:rsid w:val="0010439F"/>
    <w:rsid w:val="00106D5D"/>
    <w:rsid w:val="0012766B"/>
    <w:rsid w:val="0015419B"/>
    <w:rsid w:val="0015652C"/>
    <w:rsid w:val="00163499"/>
    <w:rsid w:val="00197E35"/>
    <w:rsid w:val="001C2756"/>
    <w:rsid w:val="001C5BB2"/>
    <w:rsid w:val="001F5EC0"/>
    <w:rsid w:val="001F6FF4"/>
    <w:rsid w:val="00201678"/>
    <w:rsid w:val="0020750B"/>
    <w:rsid w:val="00240AB8"/>
    <w:rsid w:val="0026710B"/>
    <w:rsid w:val="00270C53"/>
    <w:rsid w:val="00280A93"/>
    <w:rsid w:val="0029493E"/>
    <w:rsid w:val="002D2433"/>
    <w:rsid w:val="002E5ADD"/>
    <w:rsid w:val="00316953"/>
    <w:rsid w:val="00323A8F"/>
    <w:rsid w:val="00327F0E"/>
    <w:rsid w:val="003307F0"/>
    <w:rsid w:val="00357E76"/>
    <w:rsid w:val="003626D1"/>
    <w:rsid w:val="00364F1B"/>
    <w:rsid w:val="00365D36"/>
    <w:rsid w:val="003924DF"/>
    <w:rsid w:val="00393C73"/>
    <w:rsid w:val="003A4D15"/>
    <w:rsid w:val="003A58CD"/>
    <w:rsid w:val="003B3788"/>
    <w:rsid w:val="003F4A10"/>
    <w:rsid w:val="00401CCF"/>
    <w:rsid w:val="00421522"/>
    <w:rsid w:val="004446BF"/>
    <w:rsid w:val="00444D51"/>
    <w:rsid w:val="004575BA"/>
    <w:rsid w:val="004611EC"/>
    <w:rsid w:val="00465A7F"/>
    <w:rsid w:val="004814A6"/>
    <w:rsid w:val="0048379A"/>
    <w:rsid w:val="004D2C44"/>
    <w:rsid w:val="00531256"/>
    <w:rsid w:val="00542D83"/>
    <w:rsid w:val="00566C38"/>
    <w:rsid w:val="0058068B"/>
    <w:rsid w:val="005A1685"/>
    <w:rsid w:val="005A5ECB"/>
    <w:rsid w:val="005C1624"/>
    <w:rsid w:val="005C335D"/>
    <w:rsid w:val="005C479A"/>
    <w:rsid w:val="005C7C25"/>
    <w:rsid w:val="005F0234"/>
    <w:rsid w:val="00617257"/>
    <w:rsid w:val="00622A76"/>
    <w:rsid w:val="0064082B"/>
    <w:rsid w:val="0064114E"/>
    <w:rsid w:val="00643C91"/>
    <w:rsid w:val="00656EF7"/>
    <w:rsid w:val="006702CD"/>
    <w:rsid w:val="00672BC6"/>
    <w:rsid w:val="006750FB"/>
    <w:rsid w:val="00680B44"/>
    <w:rsid w:val="006B206E"/>
    <w:rsid w:val="006C265F"/>
    <w:rsid w:val="006C5385"/>
    <w:rsid w:val="006E0901"/>
    <w:rsid w:val="006F018D"/>
    <w:rsid w:val="006F27CE"/>
    <w:rsid w:val="006F5C2A"/>
    <w:rsid w:val="007273FC"/>
    <w:rsid w:val="007551A2"/>
    <w:rsid w:val="007A29F5"/>
    <w:rsid w:val="007A485B"/>
    <w:rsid w:val="007B2703"/>
    <w:rsid w:val="007E192C"/>
    <w:rsid w:val="007F3E8E"/>
    <w:rsid w:val="00871FB1"/>
    <w:rsid w:val="008758A1"/>
    <w:rsid w:val="0088780C"/>
    <w:rsid w:val="008C059B"/>
    <w:rsid w:val="00924338"/>
    <w:rsid w:val="00927480"/>
    <w:rsid w:val="00941D46"/>
    <w:rsid w:val="009540D5"/>
    <w:rsid w:val="009D3B56"/>
    <w:rsid w:val="009D5F2D"/>
    <w:rsid w:val="009E431F"/>
    <w:rsid w:val="00A07C4D"/>
    <w:rsid w:val="00A37AF7"/>
    <w:rsid w:val="00A37E04"/>
    <w:rsid w:val="00A6432B"/>
    <w:rsid w:val="00A82E03"/>
    <w:rsid w:val="00A94D20"/>
    <w:rsid w:val="00AC07F1"/>
    <w:rsid w:val="00AE595D"/>
    <w:rsid w:val="00AF160F"/>
    <w:rsid w:val="00B0434B"/>
    <w:rsid w:val="00B06EB5"/>
    <w:rsid w:val="00B23845"/>
    <w:rsid w:val="00B23FEE"/>
    <w:rsid w:val="00B44B44"/>
    <w:rsid w:val="00B8135A"/>
    <w:rsid w:val="00BA25A2"/>
    <w:rsid w:val="00BB1CC9"/>
    <w:rsid w:val="00C00350"/>
    <w:rsid w:val="00C01578"/>
    <w:rsid w:val="00C257AC"/>
    <w:rsid w:val="00C32C43"/>
    <w:rsid w:val="00C35229"/>
    <w:rsid w:val="00C40F4E"/>
    <w:rsid w:val="00C52A59"/>
    <w:rsid w:val="00C54840"/>
    <w:rsid w:val="00C62AF1"/>
    <w:rsid w:val="00C62BFE"/>
    <w:rsid w:val="00C864DA"/>
    <w:rsid w:val="00CC27B5"/>
    <w:rsid w:val="00CC667F"/>
    <w:rsid w:val="00CD0192"/>
    <w:rsid w:val="00CF442A"/>
    <w:rsid w:val="00D27A57"/>
    <w:rsid w:val="00D27DF7"/>
    <w:rsid w:val="00D75DA5"/>
    <w:rsid w:val="00D80E65"/>
    <w:rsid w:val="00D85663"/>
    <w:rsid w:val="00D86560"/>
    <w:rsid w:val="00DD27D4"/>
    <w:rsid w:val="00DD5AD6"/>
    <w:rsid w:val="00E43CB2"/>
    <w:rsid w:val="00E43D29"/>
    <w:rsid w:val="00E56E5A"/>
    <w:rsid w:val="00E64636"/>
    <w:rsid w:val="00E71AE8"/>
    <w:rsid w:val="00E85C25"/>
    <w:rsid w:val="00EB34C7"/>
    <w:rsid w:val="00ED1B6A"/>
    <w:rsid w:val="00ED427B"/>
    <w:rsid w:val="00ED575C"/>
    <w:rsid w:val="00EE17BD"/>
    <w:rsid w:val="00F12C3A"/>
    <w:rsid w:val="00F15401"/>
    <w:rsid w:val="00F27FB5"/>
    <w:rsid w:val="00F31BBF"/>
    <w:rsid w:val="00F85712"/>
    <w:rsid w:val="00FA757C"/>
    <w:rsid w:val="00FB05E4"/>
    <w:rsid w:val="00FC4E33"/>
    <w:rsid w:val="00FF12CB"/>
    <w:rsid w:val="00FF3F50"/>
    <w:rsid w:val="00FF49F4"/>
    <w:rsid w:val="00FF5E6F"/>
    <w:rsid w:val="7377850D"/>
    <w:rsid w:val="7DDE48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A3697D9"/>
  <w15:docId w15:val="{E0BDC241-2A39-5F45-B65C-D8C7430D6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spacing w:before="240" w:after="60" w:line="312" w:lineRule="auto"/>
      <w:jc w:val="center"/>
      <w:outlineLvl w:val="1"/>
    </w:pPr>
    <w:rPr>
      <w:b/>
      <w:bCs/>
      <w:kern w:val="28"/>
      <w:sz w:val="32"/>
      <w:szCs w:val="32"/>
    </w:rPr>
  </w:style>
  <w:style w:type="paragraph" w:styleId="a5">
    <w:name w:val="Normal (Web)"/>
    <w:basedOn w:val="a"/>
    <w:link w:val="a6"/>
    <w:qFormat/>
    <w:rPr>
      <w:sz w:val="24"/>
    </w:rPr>
  </w:style>
  <w:style w:type="paragraph" w:styleId="a7">
    <w:name w:val="Title"/>
    <w:basedOn w:val="a"/>
    <w:next w:val="a"/>
    <w:link w:val="a8"/>
    <w:uiPriority w:val="10"/>
    <w:qFormat/>
    <w:pPr>
      <w:spacing w:before="240" w:after="60"/>
      <w:jc w:val="center"/>
      <w:outlineLvl w:val="0"/>
    </w:pPr>
    <w:rPr>
      <w:rFonts w:asciiTheme="majorHAnsi" w:eastAsiaTheme="majorEastAsia" w:hAnsiTheme="majorHAnsi" w:cstheme="majorBidi"/>
      <w:b/>
      <w:bCs/>
      <w:sz w:val="32"/>
      <w:szCs w:val="32"/>
    </w:rPr>
  </w:style>
  <w:style w:type="paragraph" w:customStyle="1" w:styleId="1">
    <w:name w:val="无间隔1"/>
    <w:uiPriority w:val="1"/>
    <w:qFormat/>
    <w:pPr>
      <w:widowControl w:val="0"/>
      <w:jc w:val="both"/>
    </w:pPr>
    <w:rPr>
      <w:kern w:val="2"/>
      <w:sz w:val="21"/>
      <w:szCs w:val="24"/>
    </w:rPr>
  </w:style>
  <w:style w:type="character" w:customStyle="1" w:styleId="a4">
    <w:name w:val="副标题 字符"/>
    <w:basedOn w:val="a0"/>
    <w:link w:val="a3"/>
    <w:uiPriority w:val="11"/>
    <w:qFormat/>
    <w:rPr>
      <w:b/>
      <w:bCs/>
      <w:kern w:val="28"/>
      <w:sz w:val="32"/>
      <w:szCs w:val="32"/>
    </w:rPr>
  </w:style>
  <w:style w:type="character" w:customStyle="1" w:styleId="a8">
    <w:name w:val="标题 字符"/>
    <w:basedOn w:val="a0"/>
    <w:link w:val="a7"/>
    <w:uiPriority w:val="10"/>
    <w:qFormat/>
    <w:rPr>
      <w:rFonts w:asciiTheme="majorHAnsi" w:eastAsiaTheme="majorEastAsia" w:hAnsiTheme="majorHAnsi" w:cstheme="majorBidi"/>
      <w:b/>
      <w:bCs/>
      <w:sz w:val="32"/>
      <w:szCs w:val="32"/>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6">
    <w:name w:val="普通(网站) 字符"/>
    <w:basedOn w:val="a0"/>
    <w:link w:val="a5"/>
    <w:qFormat/>
    <w:rPr>
      <w:kern w:val="2"/>
      <w:sz w:val="24"/>
      <w:szCs w:val="24"/>
    </w:rPr>
  </w:style>
  <w:style w:type="paragraph" w:customStyle="1" w:styleId="EndNoteBibliographyTitle">
    <w:name w:val="EndNote Bibliography Title"/>
    <w:basedOn w:val="a"/>
    <w:link w:val="EndNoteBibliographyTitle0"/>
    <w:qFormat/>
    <w:pPr>
      <w:jc w:val="center"/>
    </w:pPr>
    <w:rPr>
      <w:rFonts w:ascii="DengXian" w:eastAsia="DengXian" w:hAnsi="DengXian"/>
      <w:sz w:val="20"/>
    </w:rPr>
  </w:style>
  <w:style w:type="character" w:customStyle="1" w:styleId="EndNoteBibliographyTitle0">
    <w:name w:val="EndNote Bibliography Title 字符"/>
    <w:basedOn w:val="a6"/>
    <w:link w:val="EndNoteBibliographyTitle"/>
    <w:qFormat/>
    <w:rPr>
      <w:rFonts w:ascii="DengXian" w:eastAsia="DengXian" w:hAnsi="DengXian"/>
      <w:kern w:val="2"/>
      <w:sz w:val="24"/>
      <w:szCs w:val="24"/>
    </w:rPr>
  </w:style>
  <w:style w:type="paragraph" w:customStyle="1" w:styleId="EndNoteBibliography">
    <w:name w:val="EndNote Bibliography"/>
    <w:basedOn w:val="a"/>
    <w:link w:val="EndNoteBibliography0"/>
    <w:qFormat/>
    <w:rPr>
      <w:rFonts w:ascii="DengXian" w:eastAsia="DengXian" w:hAnsi="DengXian"/>
      <w:sz w:val="20"/>
    </w:rPr>
  </w:style>
  <w:style w:type="character" w:customStyle="1" w:styleId="EndNoteBibliography0">
    <w:name w:val="EndNote Bibliography 字符"/>
    <w:basedOn w:val="a6"/>
    <w:link w:val="EndNoteBibliography"/>
    <w:qFormat/>
    <w:rPr>
      <w:rFonts w:ascii="DengXian" w:eastAsia="DengXian" w:hAnsi="DengXi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1274</Words>
  <Characters>7266</Characters>
  <Application>Microsoft Office Word</Application>
  <DocSecurity>0</DocSecurity>
  <Lines>60</Lines>
  <Paragraphs>17</Paragraphs>
  <ScaleCrop>false</ScaleCrop>
  <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 Chen</dc:creator>
  <cp:lastModifiedBy>YP Chen</cp:lastModifiedBy>
  <cp:revision>21</cp:revision>
  <dcterms:created xsi:type="dcterms:W3CDTF">2020-02-25T13:52:00Z</dcterms:created>
  <dcterms:modified xsi:type="dcterms:W3CDTF">2020-04-15T04:03:00Z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2052-2.0.1.3256</vt:lpwstr>
  </property>
</Properties>
</file>