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BB2FD" w14:textId="7D6B88A3" w:rsidR="005470D9" w:rsidRPr="005E2045" w:rsidRDefault="005E2045" w:rsidP="005E2045">
      <w:pPr>
        <w:spacing w:line="480" w:lineRule="auto"/>
        <w:jc w:val="left"/>
        <w:rPr>
          <w:rFonts w:ascii="Times New Roman" w:hAnsi="Times New Roman" w:cs="Times New Roman" w:hint="eastAsia"/>
          <w:kern w:val="0"/>
          <w:szCs w:val="21"/>
        </w:rPr>
      </w:pPr>
      <w:r>
        <w:rPr>
          <w:rFonts w:ascii="Times New Roman" w:eastAsia="Times New Roman" w:hAnsi="Times New Roman" w:cs="Times New Roman"/>
          <w:b/>
          <w:kern w:val="0"/>
          <w:szCs w:val="21"/>
        </w:rPr>
        <w:t xml:space="preserve">Figure S1. Prediction of intrinsically disordered regions of TCOF1. </w:t>
      </w:r>
      <w:r>
        <w:rPr>
          <w:rFonts w:ascii="Times New Roman" w:eastAsia="Times New Roman" w:hAnsi="Times New Roman" w:cs="Times New Roman"/>
          <w:kern w:val="0"/>
          <w:szCs w:val="21"/>
        </w:rPr>
        <w:t>Approximately 73% of TCOF1 amino acids are located in intrinsically disordered regions.</w:t>
      </w:r>
      <w:r>
        <w:rPr>
          <w:rFonts w:ascii="Times New Roman" w:eastAsia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eastAsia="Times New Roman" w:hAnsi="Times New Roman" w:cs="Times New Roman"/>
          <w:kern w:val="0"/>
          <w:szCs w:val="21"/>
        </w:rPr>
        <w:instrText xml:space="preserve"> ADDIN </w:instrText>
      </w:r>
      <w:r>
        <w:rPr>
          <w:rFonts w:ascii="Times New Roman" w:eastAsia="Times New Roman" w:hAnsi="Times New Roman" w:cs="Times New Roman"/>
          <w:kern w:val="0"/>
          <w:szCs w:val="21"/>
        </w:rPr>
        <w:fldChar w:fldCharType="end"/>
      </w:r>
      <w:r>
        <w:rPr>
          <w:rFonts w:ascii="Times New Roman" w:eastAsia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eastAsia="Times New Roman" w:hAnsi="Times New Roman" w:cs="Times New Roman"/>
          <w:kern w:val="0"/>
          <w:szCs w:val="21"/>
        </w:rPr>
        <w:instrText xml:space="preserve"> ADDIN </w:instrText>
      </w:r>
      <w:r>
        <w:rPr>
          <w:rFonts w:ascii="Times New Roman" w:eastAsia="Times New Roman" w:hAnsi="Times New Roman" w:cs="Times New Roman"/>
          <w:kern w:val="0"/>
          <w:szCs w:val="21"/>
        </w:rPr>
        <w:fldChar w:fldCharType="end"/>
      </w:r>
    </w:p>
    <w:sectPr w:rsidR="005470D9" w:rsidRPr="005E2045">
      <w:footerReference w:type="default" r:id="rId4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8854624"/>
    </w:sdtPr>
    <w:sdtContent>
      <w:p w14:paraId="046AD572" w14:textId="77777777" w:rsidR="00DD7DC4" w:rsidRDefault="00000000">
        <w:pPr>
          <w:pStyle w:val="a3"/>
          <w:jc w:val="center"/>
        </w:pPr>
        <w:r>
          <w:rPr>
            <w:rFonts w:ascii="Arial" w:hAnsi="Arial" w:cs="Arial"/>
          </w:rPr>
          <w:fldChar w:fldCharType="begin"/>
        </w:r>
        <w:r>
          <w:rPr>
            <w:rFonts w:ascii="Arial" w:hAnsi="Arial" w:cs="Arial"/>
          </w:rPr>
          <w:instrText>PAGE   \* MERGEFORMAT</w:instrText>
        </w:r>
        <w:r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lang w:val="zh-CN"/>
          </w:rPr>
          <w:t>2</w:t>
        </w:r>
        <w:r>
          <w:rPr>
            <w:rFonts w:ascii="Arial" w:hAnsi="Arial" w:cs="Arial"/>
          </w:rPr>
          <w:fldChar w:fldCharType="end"/>
        </w:r>
      </w:p>
    </w:sdtContent>
  </w:sdt>
  <w:p w14:paraId="118B2A31" w14:textId="77777777" w:rsidR="00DD7DC4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516"/>
    <w:rsid w:val="000D5516"/>
    <w:rsid w:val="005470D9"/>
    <w:rsid w:val="005E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75B5A"/>
  <w15:chartTrackingRefBased/>
  <w15:docId w15:val="{A150272C-812E-4A5F-B19D-EE383480A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0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5E2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E2045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5E2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酱酱</dc:creator>
  <cp:keywords/>
  <dc:description/>
  <cp:lastModifiedBy>Jiang 酱酱</cp:lastModifiedBy>
  <cp:revision>2</cp:revision>
  <dcterms:created xsi:type="dcterms:W3CDTF">2022-11-30T02:45:00Z</dcterms:created>
  <dcterms:modified xsi:type="dcterms:W3CDTF">2022-11-30T02:46:00Z</dcterms:modified>
</cp:coreProperties>
</file>