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C445B" w14:textId="77777777" w:rsidR="003B7488" w:rsidRPr="00CF393F" w:rsidRDefault="00CE7A9D">
      <w:r w:rsidRPr="00CF393F">
        <w:rPr>
          <w:noProof/>
        </w:rPr>
        <mc:AlternateContent>
          <mc:Choice Requires="wpg">
            <w:drawing>
              <wp:inline distT="0" distB="0" distL="0" distR="0" wp14:anchorId="3F3F8482" wp14:editId="02CB39A3">
                <wp:extent cx="2885767" cy="846307"/>
                <wp:effectExtent l="0" t="0" r="0" b="5080"/>
                <wp:docPr id="1" name="Picture 8"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with low confidence"/>
                        <pic:cNvPicPr>
                          <a:picLocks noChangeAspect="1"/>
                        </pic:cNvPicPr>
                      </pic:nvPicPr>
                      <pic:blipFill>
                        <a:blip r:embed="rId7"/>
                        <a:stretch/>
                      </pic:blipFill>
                      <pic:spPr bwMode="auto">
                        <a:xfrm>
                          <a:off x="0" y="0"/>
                          <a:ext cx="2989216" cy="876645"/>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227.2pt;height:66.6pt;" stroked="false">
                <v:path textboxrect="0,0,0,0"/>
                <v:imagedata r:id="rId13" o:title=""/>
              </v:shape>
            </w:pict>
          </mc:Fallback>
        </mc:AlternateContent>
      </w:r>
    </w:p>
    <w:p w14:paraId="1057480E" w14:textId="77777777" w:rsidR="003B7488" w:rsidRPr="00CF393F" w:rsidRDefault="00CE7A9D">
      <w:pPr>
        <w:rPr>
          <w:b/>
          <w:i/>
          <w:iCs/>
        </w:rPr>
      </w:pPr>
      <w:r w:rsidRPr="00CF393F">
        <w:rPr>
          <w:i/>
          <w:iCs/>
        </w:rPr>
        <w:t>Supporting Information for:</w:t>
      </w:r>
    </w:p>
    <w:p w14:paraId="7F73F143" w14:textId="77777777" w:rsidR="003B7488" w:rsidRPr="00CF393F" w:rsidRDefault="00CE7A9D">
      <w:pPr>
        <w:rPr>
          <w:b/>
          <w:bCs/>
          <w:sz w:val="32"/>
          <w:szCs w:val="28"/>
        </w:rPr>
      </w:pPr>
      <w:r w:rsidRPr="00CF393F">
        <w:rPr>
          <w:b/>
          <w:bCs/>
          <w:sz w:val="32"/>
          <w:szCs w:val="28"/>
        </w:rPr>
        <w:t xml:space="preserve">Bathymetry-based submarine landslide volume assessments </w:t>
      </w:r>
    </w:p>
    <w:p w14:paraId="1DFB8FAD" w14:textId="77777777" w:rsidR="003B7488" w:rsidRPr="00CF393F" w:rsidRDefault="00CE7A9D">
      <w:pPr>
        <w:rPr>
          <w:b/>
          <w:vertAlign w:val="superscript"/>
        </w:rPr>
      </w:pPr>
      <w:r w:rsidRPr="00CF393F">
        <w:t>Thore F. Sager</w:t>
      </w:r>
      <w:r w:rsidRPr="00CF393F">
        <w:rPr>
          <w:vertAlign w:val="superscript"/>
        </w:rPr>
        <w:t>1*</w:t>
      </w:r>
      <w:r w:rsidRPr="00CF393F">
        <w:t>, Morelia Urlaub</w:t>
      </w:r>
      <w:r w:rsidRPr="00CF393F">
        <w:rPr>
          <w:vertAlign w:val="superscript"/>
        </w:rPr>
        <w:t>1</w:t>
      </w:r>
      <w:r w:rsidRPr="00CF393F">
        <w:t>, Christian Berndt</w:t>
      </w:r>
      <w:r w:rsidRPr="00CF393F">
        <w:rPr>
          <w:vertAlign w:val="superscript"/>
        </w:rPr>
        <w:t>1</w:t>
      </w:r>
    </w:p>
    <w:p w14:paraId="17F38635" w14:textId="20B1F450" w:rsidR="00E716D2" w:rsidRPr="00CF393F" w:rsidRDefault="00CE7A9D" w:rsidP="00E716D2">
      <w:pPr>
        <w:rPr>
          <w:i/>
          <w:iCs/>
        </w:rPr>
      </w:pPr>
      <w:r w:rsidRPr="00CF393F">
        <w:rPr>
          <w:i/>
          <w:iCs/>
          <w:vertAlign w:val="superscript"/>
        </w:rPr>
        <w:t>1</w:t>
      </w:r>
      <w:r w:rsidRPr="00CF393F">
        <w:rPr>
          <w:i/>
          <w:iCs/>
        </w:rPr>
        <w:t>GEOMAR Helmholtz Centre for Ocean Research Kiel, Kiel, Germany</w:t>
      </w:r>
      <w:r w:rsidRPr="00CF393F">
        <w:br/>
        <w:t xml:space="preserve">*Corresponding author: </w:t>
      </w:r>
      <w:hyperlink r:id="rId14" w:tooltip="mailto:tsager@geomar.de" w:history="1">
        <w:r w:rsidRPr="00CF393F">
          <w:rPr>
            <w:rStyle w:val="Hyperlink"/>
            <w:bCs/>
            <w:szCs w:val="22"/>
          </w:rPr>
          <w:t>tsager@geomar.de</w:t>
        </w:r>
      </w:hyperlink>
    </w:p>
    <w:p w14:paraId="36E0E6C7" w14:textId="77777777" w:rsidR="003B7488" w:rsidRPr="00CF393F" w:rsidRDefault="00CE7A9D">
      <w:r w:rsidRPr="00CF393F">
        <w:rPr>
          <w:noProof/>
        </w:rPr>
        <mc:AlternateContent>
          <mc:Choice Requires="wpg">
            <w:drawing>
              <wp:inline distT="0" distB="0" distL="0" distR="0" wp14:anchorId="496ECBE0" wp14:editId="3A9029EB">
                <wp:extent cx="5943600" cy="2452370"/>
                <wp:effectExtent l="0" t="0" r="0" b="0"/>
                <wp:docPr id="2"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a:picLocks noChangeAspect="1"/>
                        </pic:cNvPicPr>
                      </pic:nvPicPr>
                      <pic:blipFill>
                        <a:blip r:embed="rId15"/>
                        <a:stretch/>
                      </pic:blipFill>
                      <pic:spPr bwMode="auto">
                        <a:xfrm>
                          <a:off x="0" y="0"/>
                          <a:ext cx="5943600" cy="245237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mso-wrap-distance-left:0.0pt;mso-wrap-distance-top:0.0pt;mso-wrap-distance-right:0.0pt;mso-wrap-distance-bottom:0.0pt;width:468.0pt;height:193.1pt;" stroked="false">
                <v:path textboxrect="0,0,0,0"/>
                <v:imagedata r:id="rId18" o:title=""/>
              </v:shape>
            </w:pict>
          </mc:Fallback>
        </mc:AlternateContent>
      </w:r>
    </w:p>
    <w:p w14:paraId="7B6E4C31" w14:textId="4CEB160F" w:rsidR="00CF393F" w:rsidRPr="00CF393F" w:rsidRDefault="00CE7A9D" w:rsidP="00CF393F">
      <w:pPr>
        <w:pStyle w:val="Caption"/>
        <w:spacing w:after="360" w:line="240" w:lineRule="auto"/>
        <w:rPr>
          <w:i w:val="0"/>
          <w:iCs w:val="0"/>
          <w:color w:val="000000" w:themeColor="text1"/>
        </w:rPr>
      </w:pPr>
      <w:r w:rsidRPr="00CF393F">
        <w:rPr>
          <w:b/>
          <w:bCs/>
          <w:i w:val="0"/>
          <w:iCs w:val="0"/>
          <w:color w:val="000000" w:themeColor="text1"/>
          <w:u w:val="single"/>
        </w:rPr>
        <w:t>Figure 1:</w:t>
      </w:r>
      <w:r w:rsidRPr="00CF393F">
        <w:rPr>
          <w:i w:val="0"/>
          <w:iCs w:val="0"/>
          <w:color w:val="000000" w:themeColor="text1"/>
        </w:rPr>
        <w:t xml:space="preserve"> Planview map </w:t>
      </w:r>
      <w:r w:rsidR="00C5365F" w:rsidRPr="00CF393F">
        <w:rPr>
          <w:i w:val="0"/>
          <w:iCs w:val="0"/>
          <w:color w:val="000000" w:themeColor="text1"/>
        </w:rPr>
        <w:t xml:space="preserve">of the seafloor reflector </w:t>
      </w:r>
      <w:r w:rsidRPr="00CF393F">
        <w:rPr>
          <w:i w:val="0"/>
          <w:iCs w:val="0"/>
          <w:color w:val="000000" w:themeColor="text1"/>
        </w:rPr>
        <w:t>SFR (</w:t>
      </w:r>
      <w:r w:rsidR="00C5365F" w:rsidRPr="00CF393F">
        <w:rPr>
          <w:i w:val="0"/>
          <w:iCs w:val="0"/>
          <w:color w:val="000000" w:themeColor="text1"/>
        </w:rPr>
        <w:t xml:space="preserve">depth converted with </w:t>
      </w:r>
      <w:proofErr w:type="spellStart"/>
      <w:r w:rsidR="00C5365F" w:rsidRPr="00370D72">
        <w:rPr>
          <w:color w:val="000000" w:themeColor="text1"/>
        </w:rPr>
        <w:t>Vp</w:t>
      </w:r>
      <w:proofErr w:type="spellEnd"/>
      <w:r w:rsidR="00370D72">
        <w:rPr>
          <w:i w:val="0"/>
          <w:iCs w:val="0"/>
          <w:color w:val="000000" w:themeColor="text1"/>
        </w:rPr>
        <w:t xml:space="preserve"> </w:t>
      </w:r>
      <w:r w:rsidR="00C5365F" w:rsidRPr="00CF393F">
        <w:rPr>
          <w:i w:val="0"/>
          <w:iCs w:val="0"/>
          <w:color w:val="000000" w:themeColor="text1"/>
        </w:rPr>
        <w:t>=</w:t>
      </w:r>
      <w:r w:rsidR="00370D72">
        <w:rPr>
          <w:i w:val="0"/>
          <w:iCs w:val="0"/>
          <w:color w:val="000000" w:themeColor="text1"/>
        </w:rPr>
        <w:t xml:space="preserve"> </w:t>
      </w:r>
      <w:r w:rsidR="00C5365F" w:rsidRPr="00CF393F">
        <w:rPr>
          <w:i w:val="0"/>
          <w:iCs w:val="0"/>
          <w:color w:val="000000" w:themeColor="text1"/>
        </w:rPr>
        <w:t>1500 m/s</w:t>
      </w:r>
      <w:r w:rsidRPr="00CF393F">
        <w:rPr>
          <w:i w:val="0"/>
          <w:iCs w:val="0"/>
          <w:color w:val="000000" w:themeColor="text1"/>
        </w:rPr>
        <w:t xml:space="preserve">). The source area, by-pass zone, and sink area are highlighted in which the pre-failure seafloor is reconstructed using several approaches presented </w:t>
      </w:r>
      <w:r w:rsidR="00370D72">
        <w:rPr>
          <w:i w:val="0"/>
          <w:iCs w:val="0"/>
          <w:color w:val="000000" w:themeColor="text1"/>
        </w:rPr>
        <w:t>in this supporting information</w:t>
      </w:r>
      <w:r w:rsidRPr="00CF393F">
        <w:rPr>
          <w:i w:val="0"/>
          <w:iCs w:val="0"/>
          <w:color w:val="000000" w:themeColor="text1"/>
        </w:rPr>
        <w:t>.</w:t>
      </w:r>
    </w:p>
    <w:p w14:paraId="0A6BE547" w14:textId="25C923EA" w:rsidR="00904CCD" w:rsidRPr="00CF393F" w:rsidRDefault="00904CCD">
      <w:pPr>
        <w:pStyle w:val="Heading1"/>
      </w:pPr>
      <w:r w:rsidRPr="00CF393F">
        <w:t>Pre-failure seafloor reconstructions for the source and sink areas of Ana Slide</w:t>
      </w:r>
    </w:p>
    <w:p w14:paraId="4C5C3D34" w14:textId="1409E179" w:rsidR="002D4C35" w:rsidRPr="00CF393F" w:rsidRDefault="002D4C35" w:rsidP="002D4C35">
      <w:pPr>
        <w:spacing w:after="240"/>
      </w:pPr>
      <w:r w:rsidRPr="00CF393F">
        <w:t>Probably the largest uncertainty for volume estimation of Ana Slide results from the reconstruction of the pre-failure seafloor. Here, we treat the landslide body as a void in the grid and adopt several approaches: 1)</w:t>
      </w:r>
      <w:r w:rsidR="00CE5C82">
        <w:t xml:space="preserve"> a</w:t>
      </w:r>
      <w:r w:rsidRPr="00CF393F">
        <w:t xml:space="preserve"> linear interpolation across the void; 2) a manual reconstruction fitted optically to the surrounding seafloor topography inside the source area; and 3) the horizon-flattening that concerns recent tectonic </w:t>
      </w:r>
      <w:r w:rsidRPr="00CF393F">
        <w:lastRenderedPageBreak/>
        <w:t>movement performed inside the sink areas</w:t>
      </w:r>
      <w:r w:rsidR="0067685C" w:rsidRPr="00CF393F">
        <w:t xml:space="preserve"> (sensu </w:t>
      </w:r>
      <w:r w:rsidR="00CF393F" w:rsidRPr="00416598">
        <w:rPr>
          <w:color w:val="4472C4" w:themeColor="accent1"/>
        </w:rPr>
        <w:fldChar w:fldCharType="begin"/>
      </w:r>
      <w:r w:rsidR="00416598" w:rsidRPr="00416598">
        <w:rPr>
          <w:color w:val="4472C4" w:themeColor="accent1"/>
        </w:rPr>
        <w:instrText xml:space="preserve"> ADDIN ZOTERO_ITEM CSL_CITATION {"citationID":"LqLotxX4","properties":{"formattedCitation":"(Sager et al., 2022)","plainCitation":"(Sager et al., 2022)","noteIndex":0},"citationItems":[{"id":1118,"uris":["http://zotero.org/users/local/2G46dtX8/items/Q45LGU7G"],"itemData":{"id":1118,"type":"article-journal","abstract":"Submarine landslides can destroy seafloor infrastructures and generate devastating tsunamis. In spite of decades of research into the functioning of submarine landslides there are still numerous open questions, in particular how different phases of sliding influence each other. Here, we re-analyze Ana Slide—a relatively small (&lt;1 km 3) landslide offshore the Balearic Islands, which is unique in the published literature because it is completely imaged by high-resolution 3D reflection seismic data. Ana Slide comprises three domains: (a) a source area that is almost completely evacuated with evidence of headscarp retrogression, (b) an adjacent downslope translational domain representing a by-pass zone for the material that was mobilized in the source area, and (c) the deposit formed by the mobilized material, which accumulated downslope in a sink area and deformed slope sediment. Isochron maps show deep chaotic seismic units underneath the thickest deposits. We infer that the rapid deposition of the landslide material deformed the underlying sediments. A thin stratified sediment unit between three lobes suggests that Ana Slide evolved in two failure stages separated by several tens of thousands of years. This illustrates the problem of over-estimating the volume of mobilized material and under-estimating the complexity even of relatively simple slope failures without high-quality 3D reflection seismic data.","container-title":"Geochemistry, Geophysics, Geosystems","DOI":"10.1029/2022GC010469","ISSN":"1525-2027, 1525-2027","issue":"11","journalAbbreviation":"Geochem Geophys Geosyst","language":"en","source":"DOI.org (Crossref)","title":"Development and Emplacement of Ana Slide, Eivissa Channel, Western Mediterranean Sea","URL":"https://onlinelibrary.wiley.com/doi/10.1029/2022GC010469","volume":"23","author":[{"family":"Sager","given":"Thore F."},{"family":"Urlaub","given":"Morelia"},{"family":"Kaminski","given":"Pauline"},{"family":"Papenberg","given":"Cord"},{"family":"Lastras","given":"Galderic"},{"family":"Canals","given":"Miquel"},{"family":"Berndt","given":"Christian"}],"accessed":{"date-parts":[["2022",11,22]]},"issued":{"date-parts":[["2022",11]]},"citation-key":"sager2022"}}],"schema":"https://github.com/citation-style-language/schema/raw/master/csl-citation.json"} </w:instrText>
      </w:r>
      <w:r w:rsidR="00CF393F" w:rsidRPr="00416598">
        <w:rPr>
          <w:color w:val="4472C4" w:themeColor="accent1"/>
        </w:rPr>
        <w:fldChar w:fldCharType="separate"/>
      </w:r>
      <w:r w:rsidR="00416598" w:rsidRPr="00416598">
        <w:rPr>
          <w:noProof/>
          <w:color w:val="4472C4" w:themeColor="accent1"/>
        </w:rPr>
        <w:t>Sager et al., 2022</w:t>
      </w:r>
      <w:r w:rsidR="00CF393F" w:rsidRPr="00416598">
        <w:rPr>
          <w:color w:val="4472C4" w:themeColor="accent1"/>
        </w:rPr>
        <w:fldChar w:fldCharType="end"/>
      </w:r>
      <w:r w:rsidR="0067685C" w:rsidRPr="00CF393F">
        <w:t>) (</w:t>
      </w:r>
      <w:r w:rsidR="0067685C" w:rsidRPr="00CF393F">
        <w:rPr>
          <w:color w:val="ED7D31" w:themeColor="accent2"/>
        </w:rPr>
        <w:t>Figure 1</w:t>
      </w:r>
      <w:r w:rsidR="0067685C" w:rsidRPr="00CF393F">
        <w:t xml:space="preserve">) </w:t>
      </w:r>
      <w:r w:rsidRPr="00CF393F">
        <w:t>. Both the manual and horizon-flattening reconstructions consider the equilibrium line concept: Ve</w:t>
      </w:r>
      <w:r w:rsidR="00370D72">
        <w:t xml:space="preserve"> </w:t>
      </w:r>
      <w:r w:rsidR="00370D72" w:rsidRPr="00AC0FE7">
        <w:rPr>
          <w:color w:val="333333"/>
          <w:shd w:val="clear" w:color="auto" w:fill="FFFFFF"/>
        </w:rPr>
        <w:t>≥</w:t>
      </w:r>
      <w:r w:rsidRPr="00CF393F">
        <w:t xml:space="preserve"> Va.</w:t>
      </w:r>
    </w:p>
    <w:p w14:paraId="09A4CBA3" w14:textId="77777777" w:rsidR="002D4C35" w:rsidRPr="00CF393F" w:rsidRDefault="002D4C35" w:rsidP="002D4C35">
      <w:pPr>
        <w:pStyle w:val="Heading2"/>
      </w:pPr>
      <w:r w:rsidRPr="00CF393F">
        <w:rPr>
          <w:i/>
          <w:iCs/>
        </w:rPr>
        <w:t xml:space="preserve">Linear </w:t>
      </w:r>
      <w:r w:rsidRPr="00CF393F">
        <w:t>reconstruction (landslide scar)</w:t>
      </w:r>
    </w:p>
    <w:p w14:paraId="1224D43B" w14:textId="1C89704E" w:rsidR="002D4C35" w:rsidRPr="00CF393F" w:rsidRDefault="002D4C35" w:rsidP="002D4C35">
      <w:pPr>
        <w:rPr>
          <w:i/>
          <w:iCs/>
        </w:rPr>
      </w:pPr>
      <w:r w:rsidRPr="00CF393F">
        <w:t>We calculate the 10 m contour-lines from the bathymetric map in ArcMap (CD178). This is imported into IHS Kingdom Suite 2018/2020 and used as a culture. Then, we map arbitrary seismic lines that connect between the northern and southern intersection of the landslide scar and the 10m contour-lines (</w:t>
      </w:r>
      <w:r w:rsidRPr="00CF393F">
        <w:rPr>
          <w:color w:val="ED7D31" w:themeColor="accent2"/>
        </w:rPr>
        <w:t>Fig</w:t>
      </w:r>
      <w:r w:rsidR="00416598">
        <w:rPr>
          <w:color w:val="ED7D31" w:themeColor="accent2"/>
        </w:rPr>
        <w:t>ure</w:t>
      </w:r>
      <w:r w:rsidRPr="00CF393F">
        <w:rPr>
          <w:color w:val="ED7D31" w:themeColor="accent2"/>
        </w:rPr>
        <w:t xml:space="preserve"> 2</w:t>
      </w:r>
      <w:r w:rsidRPr="00CF393F">
        <w:t xml:space="preserve">). On these seismic profiles the seafloor is </w:t>
      </w:r>
      <w:r w:rsidR="0067685C" w:rsidRPr="00CF393F">
        <w:t>reconstructed</w:t>
      </w:r>
      <w:r w:rsidRPr="00CF393F">
        <w:t xml:space="preserve"> by a manually picked horizon between both sides of the landslide scar with two points</w:t>
      </w:r>
      <w:r w:rsidR="00F15C06" w:rsidRPr="00CF393F">
        <w:t xml:space="preserve"> as a straight line</w:t>
      </w:r>
      <w:r w:rsidRPr="00CF393F">
        <w:t>. This pre-failure seafloor is then gridding for the whole landslide scar with different gridding parameters (flex gridding</w:t>
      </w:r>
      <w:r w:rsidR="0067685C" w:rsidRPr="00CF393F">
        <w:t>:</w:t>
      </w:r>
      <w:r w:rsidRPr="00CF393F">
        <w:t xml:space="preserve"> maximum, medium, and minimum values). The linear reconstructed horizon as the input for gridding with different parameters is presented in </w:t>
      </w:r>
      <w:r w:rsidRPr="00CF393F">
        <w:rPr>
          <w:color w:val="ED7D31" w:themeColor="accent2"/>
        </w:rPr>
        <w:t xml:space="preserve">Figure 2 </w:t>
      </w:r>
      <w:r w:rsidRPr="00CF393F">
        <w:t>and the results of volume estimates for the source and sink areas using th</w:t>
      </w:r>
      <w:r w:rsidR="00F15C06" w:rsidRPr="00CF393F">
        <w:t>is</w:t>
      </w:r>
      <w:r w:rsidRPr="00CF393F">
        <w:t xml:space="preserve"> approach are shown in </w:t>
      </w:r>
      <w:r w:rsidR="00416598">
        <w:rPr>
          <w:color w:val="ED7D31" w:themeColor="accent2"/>
        </w:rPr>
        <w:t>T</w:t>
      </w:r>
      <w:r w:rsidRPr="00416598">
        <w:rPr>
          <w:color w:val="ED7D31" w:themeColor="accent2"/>
        </w:rPr>
        <w:t>able</w:t>
      </w:r>
      <w:r w:rsidRPr="00CF393F">
        <w:t xml:space="preserve"> </w:t>
      </w:r>
      <w:r w:rsidRPr="00CF393F">
        <w:rPr>
          <w:color w:val="ED7D31" w:themeColor="accent2"/>
        </w:rPr>
        <w:t>2a – f</w:t>
      </w:r>
      <w:r w:rsidRPr="00CF393F">
        <w:t xml:space="preserve">. Using different gridding algorithms has little influence on </w:t>
      </w:r>
      <w:r w:rsidR="0067685C" w:rsidRPr="00CF393F">
        <w:t>the result</w:t>
      </w:r>
      <w:r w:rsidRPr="00CF393F">
        <w:t xml:space="preserve"> of 0.027 km</w:t>
      </w:r>
      <w:r w:rsidRPr="00CF393F">
        <w:rPr>
          <w:vertAlign w:val="superscript"/>
        </w:rPr>
        <w:t>3</w:t>
      </w:r>
      <w:r w:rsidRPr="00CF393F">
        <w:t xml:space="preserve"> of evacuated landslide material from the source area and 0.006 km</w:t>
      </w:r>
      <w:r w:rsidRPr="00CF393F">
        <w:rPr>
          <w:vertAlign w:val="superscript"/>
        </w:rPr>
        <w:t>3</w:t>
      </w:r>
      <w:r w:rsidRPr="00CF393F">
        <w:t xml:space="preserve"> </w:t>
      </w:r>
      <w:r w:rsidR="00F15C06" w:rsidRPr="00CF393F">
        <w:t xml:space="preserve">of material </w:t>
      </w:r>
      <w:r w:rsidRPr="00CF393F">
        <w:t xml:space="preserve">that accumulated inside the sink area. We do not prefer these </w:t>
      </w:r>
      <w:r w:rsidR="0067685C" w:rsidRPr="00CF393F">
        <w:t>estimate</w:t>
      </w:r>
      <w:r w:rsidR="00F15C06" w:rsidRPr="00CF393F">
        <w:t>d</w:t>
      </w:r>
      <w:r w:rsidR="0067685C" w:rsidRPr="00CF393F">
        <w:t xml:space="preserve"> </w:t>
      </w:r>
      <w:r w:rsidRPr="00CF393F">
        <w:t>volumes as the pre-failure seafloor reconstruction is unrealistic for Ana Slide</w:t>
      </w:r>
      <w:r w:rsidR="0067685C" w:rsidRPr="00CF393F">
        <w:t xml:space="preserve"> and the results respectively overestimate and underestimate Ve inside the source and Va inside the sink areas</w:t>
      </w:r>
      <w:r w:rsidRPr="00CF393F">
        <w:t>.</w:t>
      </w:r>
    </w:p>
    <w:p w14:paraId="29EE8EC3" w14:textId="77777777" w:rsidR="002D4C35" w:rsidRPr="00CF393F" w:rsidRDefault="002D4C35" w:rsidP="002D4C35">
      <w:r w:rsidRPr="00CF393F">
        <w:rPr>
          <w:noProof/>
        </w:rPr>
        <w:drawing>
          <wp:inline distT="0" distB="0" distL="0" distR="0" wp14:anchorId="04337014" wp14:editId="445F7207">
            <wp:extent cx="5818410" cy="2297526"/>
            <wp:effectExtent l="0" t="0" r="0" b="1270"/>
            <wp:docPr id="3" name="Picture 34" descr="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surface chart&#10;&#10;Description automatically generated"/>
                    <pic:cNvPicPr>
                      <a:picLocks noChangeAspect="1"/>
                    </pic:cNvPicPr>
                  </pic:nvPicPr>
                  <pic:blipFill>
                    <a:blip r:embed="rId19"/>
                    <a:stretch/>
                  </pic:blipFill>
                  <pic:spPr bwMode="auto">
                    <a:xfrm>
                      <a:off x="0" y="0"/>
                      <a:ext cx="6040043" cy="2385042"/>
                    </a:xfrm>
                    <a:prstGeom prst="rect">
                      <a:avLst/>
                    </a:prstGeom>
                  </pic:spPr>
                </pic:pic>
              </a:graphicData>
            </a:graphic>
          </wp:inline>
        </w:drawing>
      </w:r>
    </w:p>
    <w:p w14:paraId="3FE79293" w14:textId="77777777" w:rsidR="002D4C35" w:rsidRPr="00CF393F" w:rsidRDefault="002D4C35" w:rsidP="002D4C35">
      <w:pPr>
        <w:pStyle w:val="Caption"/>
        <w:spacing w:after="360" w:line="240" w:lineRule="auto"/>
        <w:rPr>
          <w:i w:val="0"/>
          <w:iCs w:val="0"/>
          <w:color w:val="000000"/>
          <w:highlight w:val="yellow"/>
        </w:rPr>
      </w:pPr>
      <w:r w:rsidRPr="00CF393F">
        <w:rPr>
          <w:b/>
          <w:bCs/>
          <w:i w:val="0"/>
          <w:iCs w:val="0"/>
          <w:color w:val="000000" w:themeColor="text1"/>
          <w:u w:val="single"/>
        </w:rPr>
        <w:lastRenderedPageBreak/>
        <w:t>Figure 2:</w:t>
      </w:r>
      <w:r w:rsidRPr="00CF393F">
        <w:rPr>
          <w:i w:val="0"/>
          <w:iCs w:val="0"/>
          <w:color w:val="000000" w:themeColor="text1"/>
        </w:rPr>
        <w:t xml:space="preserve"> Straight contour-lines mapped between the interception of contour-lines (10m spacing from CD178 bathymetric grid) and the landslide scar for pre-failure seafloor reconstruction using the linear interpolation. Grid is in seconds TWTT.</w:t>
      </w:r>
    </w:p>
    <w:p w14:paraId="31EEF309" w14:textId="77777777" w:rsidR="002D4C35" w:rsidRPr="00CF393F" w:rsidRDefault="002D4C35" w:rsidP="002D4C35">
      <w:pPr>
        <w:pStyle w:val="Heading2"/>
      </w:pPr>
      <w:r w:rsidRPr="00CF393F">
        <w:rPr>
          <w:i/>
          <w:iCs/>
        </w:rPr>
        <w:t xml:space="preserve">Manual </w:t>
      </w:r>
      <w:r w:rsidRPr="00CF393F">
        <w:t xml:space="preserve">reconstruction approach (source area) </w:t>
      </w:r>
    </w:p>
    <w:p w14:paraId="36EE6DBF" w14:textId="143AC2EC" w:rsidR="002D4C35" w:rsidRPr="00CF393F" w:rsidRDefault="002D4C35" w:rsidP="002D4C35">
      <w:r w:rsidRPr="00CF393F">
        <w:t>For estimation of the evacuated volume of landslide material from the source area, we use the manual reconstruction. For this</w:t>
      </w:r>
      <w:r w:rsidR="0067685C" w:rsidRPr="00CF393F">
        <w:t>,</w:t>
      </w:r>
      <w:r w:rsidRPr="00CF393F">
        <w:t xml:space="preserve"> we map the present-day seafloor called SFR as a horizon</w:t>
      </w:r>
      <w:r w:rsidR="0067685C" w:rsidRPr="00CF393F">
        <w:t xml:space="preserve"> that is then</w:t>
      </w:r>
      <w:r w:rsidRPr="00CF393F">
        <w:t xml:space="preserve"> erased from inside the landslide scar. We then use the spline gridding algorithm that considers the trend of local contour-lines outside the landslide scar to reconstruct their trend inside of it. This reconstructed pre-failure seafloor is preferred for volume estimation </w:t>
      </w:r>
      <w:r w:rsidR="0067685C" w:rsidRPr="00CF393F">
        <w:t xml:space="preserve">of Ve </w:t>
      </w:r>
      <w:r w:rsidRPr="00CF393F">
        <w:t>and</w:t>
      </w:r>
      <w:r w:rsidR="0067685C" w:rsidRPr="00CF393F">
        <w:t xml:space="preserve"> is</w:t>
      </w:r>
      <w:r w:rsidRPr="00CF393F">
        <w:t xml:space="preserve"> presented in </w:t>
      </w:r>
      <w:r w:rsidR="00416598">
        <w:rPr>
          <w:color w:val="ED7D31" w:themeColor="accent2"/>
        </w:rPr>
        <w:t>F</w:t>
      </w:r>
      <w:r w:rsidRPr="00CF393F">
        <w:rPr>
          <w:color w:val="ED7D31" w:themeColor="accent2"/>
        </w:rPr>
        <w:t>igure 3</w:t>
      </w:r>
      <w:r w:rsidR="0067685C" w:rsidRPr="00CF393F">
        <w:t xml:space="preserve"> </w:t>
      </w:r>
      <w:r w:rsidR="00F15C06" w:rsidRPr="00CF393F">
        <w:t xml:space="preserve">with </w:t>
      </w:r>
      <w:r w:rsidR="0067685C" w:rsidRPr="00CF393F">
        <w:t>r</w:t>
      </w:r>
      <w:r w:rsidRPr="00CF393F">
        <w:t xml:space="preserve">esults shown in </w:t>
      </w:r>
      <w:r w:rsidR="00416598">
        <w:rPr>
          <w:color w:val="ED7D31" w:themeColor="accent2"/>
        </w:rPr>
        <w:t>T</w:t>
      </w:r>
      <w:r w:rsidRPr="00CF393F">
        <w:rPr>
          <w:color w:val="ED7D31" w:themeColor="accent2"/>
        </w:rPr>
        <w:t>able 2g</w:t>
      </w:r>
      <w:r w:rsidRPr="00CF393F">
        <w:t>. A total of 0.016 km</w:t>
      </w:r>
      <w:r w:rsidRPr="00CF393F">
        <w:rPr>
          <w:vertAlign w:val="superscript"/>
        </w:rPr>
        <w:t>3</w:t>
      </w:r>
      <w:r w:rsidRPr="00CF393F">
        <w:t xml:space="preserve"> landslide material w</w:t>
      </w:r>
      <w:r w:rsidR="00F15C06" w:rsidRPr="00CF393F">
        <w:t>as</w:t>
      </w:r>
      <w:r w:rsidRPr="00CF393F">
        <w:t xml:space="preserve"> evacuated from the source area. </w:t>
      </w:r>
      <w:r w:rsidR="0067685C" w:rsidRPr="00CF393F">
        <w:t xml:space="preserve">This value represents the preferred estimate of Ve as the pre-failure seafloor is </w:t>
      </w:r>
      <w:r w:rsidR="00F15C06" w:rsidRPr="00CF393F">
        <w:t xml:space="preserve">reconstructed </w:t>
      </w:r>
      <w:r w:rsidR="0067685C" w:rsidRPr="00CF393F">
        <w:t>most realistically.</w:t>
      </w:r>
    </w:p>
    <w:p w14:paraId="73F50B2E" w14:textId="77777777" w:rsidR="002D4C35" w:rsidRPr="00CF393F" w:rsidRDefault="002D4C35" w:rsidP="002D4C35">
      <w:r w:rsidRPr="00CF393F">
        <w:rPr>
          <w:noProof/>
        </w:rPr>
        <w:drawing>
          <wp:inline distT="0" distB="0" distL="0" distR="0" wp14:anchorId="1CA64A51" wp14:editId="327DBBC0">
            <wp:extent cx="5421086" cy="2235039"/>
            <wp:effectExtent l="0" t="0" r="1905" b="635"/>
            <wp:docPr id="4" name="Picture 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10;&#10;Description automatically generated"/>
                    <pic:cNvPicPr/>
                  </pic:nvPicPr>
                  <pic:blipFill>
                    <a:blip r:embed="rId20"/>
                    <a:stretch>
                      <a:fillRect/>
                    </a:stretch>
                  </pic:blipFill>
                  <pic:spPr>
                    <a:xfrm>
                      <a:off x="0" y="0"/>
                      <a:ext cx="5507792" cy="2270787"/>
                    </a:xfrm>
                    <a:prstGeom prst="rect">
                      <a:avLst/>
                    </a:prstGeom>
                  </pic:spPr>
                </pic:pic>
              </a:graphicData>
            </a:graphic>
          </wp:inline>
        </w:drawing>
      </w:r>
    </w:p>
    <w:p w14:paraId="1ABAD8E7" w14:textId="77777777" w:rsidR="002D4C35" w:rsidRPr="00CF393F" w:rsidRDefault="002D4C35" w:rsidP="002D4C35">
      <w:pPr>
        <w:pStyle w:val="Caption"/>
        <w:spacing w:after="360" w:line="240" w:lineRule="auto"/>
        <w:rPr>
          <w:i w:val="0"/>
          <w:iCs w:val="0"/>
          <w:color w:val="000000"/>
        </w:rPr>
      </w:pPr>
      <w:r w:rsidRPr="00CF393F">
        <w:rPr>
          <w:b/>
          <w:bCs/>
          <w:i w:val="0"/>
          <w:iCs w:val="0"/>
          <w:color w:val="000000" w:themeColor="text1"/>
          <w:u w:val="single"/>
        </w:rPr>
        <w:t>Figure 3:</w:t>
      </w:r>
      <w:r w:rsidRPr="00CF393F">
        <w:rPr>
          <w:i w:val="0"/>
          <w:iCs w:val="0"/>
          <w:color w:val="000000" w:themeColor="text1"/>
        </w:rPr>
        <w:t xml:space="preserve"> Manual reconstruction of the pre-failure seafloor using the spline gridding algorithm. Grid is depth-converted with a seismic velocity of </w:t>
      </w:r>
      <w:proofErr w:type="spellStart"/>
      <w:r w:rsidRPr="00CE5C82">
        <w:rPr>
          <w:color w:val="000000" w:themeColor="text1"/>
        </w:rPr>
        <w:t>Vp</w:t>
      </w:r>
      <w:proofErr w:type="spellEnd"/>
      <w:r w:rsidRPr="00CF393F">
        <w:rPr>
          <w:i w:val="0"/>
          <w:iCs w:val="0"/>
          <w:color w:val="000000" w:themeColor="text1"/>
        </w:rPr>
        <w:t xml:space="preserve"> = 1500 m/s.</w:t>
      </w:r>
    </w:p>
    <w:p w14:paraId="0D1FCCB2" w14:textId="79735C6B" w:rsidR="002D4C35" w:rsidRPr="00CF393F" w:rsidRDefault="002D4C35" w:rsidP="002D4C35">
      <w:pPr>
        <w:pStyle w:val="Heading2"/>
      </w:pPr>
      <w:r w:rsidRPr="00CF393F">
        <w:t xml:space="preserve">Removal of recent tectonic movement – </w:t>
      </w:r>
      <w:r w:rsidRPr="00CF393F">
        <w:rPr>
          <w:i/>
          <w:iCs/>
        </w:rPr>
        <w:t>horizon-flattening</w:t>
      </w:r>
      <w:r w:rsidR="00F15C06" w:rsidRPr="00CF393F">
        <w:t xml:space="preserve"> reconstruction</w:t>
      </w:r>
      <w:r w:rsidRPr="00CF393F">
        <w:t xml:space="preserve"> inside the sink area</w:t>
      </w:r>
    </w:p>
    <w:p w14:paraId="17FC73AD" w14:textId="60F57905" w:rsidR="002D4C35" w:rsidRPr="00CF393F" w:rsidRDefault="002D4C35" w:rsidP="00416598">
      <w:pPr>
        <w:spacing w:before="120"/>
      </w:pPr>
      <w:r w:rsidRPr="00CF393F">
        <w:t xml:space="preserve">Analysis of the development of Ana Slide presented by </w:t>
      </w:r>
      <w:r w:rsidRPr="00CF393F">
        <w:rPr>
          <w:color w:val="4472C4" w:themeColor="accent1"/>
        </w:rPr>
        <w:fldChar w:fldCharType="begin"/>
      </w:r>
      <w:r w:rsidRPr="00CF393F">
        <w:rPr>
          <w:color w:val="4472C4" w:themeColor="accent1"/>
        </w:rPr>
        <w:instrText xml:space="preserve"> ADDIN ZOTERO_ITEM CSL_CITATION {"citationID":"3HJxtR6M","properties":{"formattedCitation":"(Sager et al., 2022)","plainCitation":"(Sager et al., 2022)","dontUpdate":true,"noteIndex":0},"citationItems":[{"id":1118,"uris":["http://zotero.org/users/local/2G46dtX8/items/Q45LGU7G"],"itemData":{"id":1118,"type":"article-journal","abstract":"Submarine landslides can destroy seafloor infrastructures and generate devastating tsunamis. In spite of decades of research into the functioning of submarine landslides there are still numerous open questions, in particular how different phases of sliding influence each other. Here, we re-analyze Ana Slide—a relatively small (&lt;1 km 3) landslide offshore the Balearic Islands, which is unique in the published literature because it is completely imaged by high-resolution 3D reflection seismic data. Ana Slide comprises three domains: (a) a source area that is almost completely evacuated with evidence of headscarp retrogression, (b) an adjacent downslope translational domain representing a by-pass zone for the material that was mobilized in the source area, and (c) the deposit formed by the mobilized material, which accumulated downslope in a sink area and deformed slope sediment. Isochron maps show deep chaotic seismic units underneath the thickest deposits. We infer that the rapid deposition of the landslide material deformed the underlying sediments. A thin stratified sediment unit between three lobes suggests that Ana Slide evolved in two failure stages separated by several tens of thousands of years. This illustrates the problem of over-estimating the volume of mobilized material and under-estimating the complexity even of relatively simple slope failures without high-quality 3D reflection seismic data.","container-title":"Geochemistry, Geophysics, Geosystems","DOI":"10.1029/2022GC010469","ISSN":"1525-2027, 1525-2027","issue":"11","journalAbbreviation":"Geochem Geophys Geosyst","language":"en","source":"DOI.org (Crossref)","title":"Development and Emplacement of Ana Slide, Eivissa Channel, Western Mediterranean Sea","URL":"https://onlinelibrary.wiley.com/doi/10.1029/2022GC010469","volume":"23","author":[{"family":"Sager","given":"Thore F."},{"family":"Urlaub","given":"Morelia"},{"family":"Kaminski","given":"Pauline"},{"family":"Papenberg","given":"Cord"},{"family":"Lastras","given":"Galderic"},{"family":"Canals","given":"Miquel"},{"family":"Berndt","given":"Christian"}],"accessed":{"date-parts":[["2022",11,22]]},"issued":{"date-parts":[["2022",11]]},"citation-key":"sager2022"}}],"schema":"https://github.com/citation-style-language/schema/raw/master/csl-citation.json"} </w:instrText>
      </w:r>
      <w:r w:rsidRPr="00CF393F">
        <w:rPr>
          <w:color w:val="4472C4" w:themeColor="accent1"/>
        </w:rPr>
        <w:fldChar w:fldCharType="separate"/>
      </w:r>
      <w:r w:rsidRPr="00CF393F">
        <w:rPr>
          <w:color w:val="4472C4" w:themeColor="accent1"/>
        </w:rPr>
        <w:t>Sager et al., 2022</w:t>
      </w:r>
      <w:r w:rsidRPr="00CF393F">
        <w:rPr>
          <w:color w:val="4472C4" w:themeColor="accent1"/>
        </w:rPr>
        <w:fldChar w:fldCharType="end"/>
      </w:r>
      <w:r w:rsidRPr="00CF393F">
        <w:t xml:space="preserve"> shows that a local en-echelon fault system modified the seafloor morphology inside the sink area prior to failure of Ana Slide. The previous means of pre-failure reconstruction (linear and manual reconstruction) are dependent on the shape and local morphology of the landslide scar, which is modified along the southern sink area. These </w:t>
      </w:r>
      <w:r w:rsidRPr="00CF393F">
        <w:lastRenderedPageBreak/>
        <w:t>approaches are thus not able to consider recent</w:t>
      </w:r>
      <w:r w:rsidR="00F15C06" w:rsidRPr="00CF393F">
        <w:t xml:space="preserve"> vertical</w:t>
      </w:r>
      <w:r w:rsidRPr="00CF393F">
        <w:t xml:space="preserve"> tectonic movement as they do not include any sub-seafloor information.</w:t>
      </w:r>
    </w:p>
    <w:p w14:paraId="4AEE715D" w14:textId="5DD868A2" w:rsidR="002D4C35" w:rsidRPr="00CF393F" w:rsidRDefault="002D4C35" w:rsidP="00416598">
      <w:pPr>
        <w:spacing w:before="120"/>
      </w:pPr>
      <w:r w:rsidRPr="00CF393F">
        <w:t xml:space="preserve">The important assumption to this approach of pre-failure seafloor reconstruction is that sediments inside the study area have been deposited since before Ana Slide at a relatively steady and most importantly predictable pace thus resulting in a predictable thickness between Ref and SFR (sensu </w:t>
      </w:r>
      <w:r w:rsidR="00416598" w:rsidRPr="00416598">
        <w:rPr>
          <w:color w:val="4472C4" w:themeColor="accent1"/>
        </w:rPr>
        <w:fldChar w:fldCharType="begin"/>
      </w:r>
      <w:r w:rsidR="00416598" w:rsidRPr="00416598">
        <w:rPr>
          <w:color w:val="4472C4" w:themeColor="accent1"/>
        </w:rPr>
        <w:instrText xml:space="preserve"> ADDIN ZOTERO_ITEM CSL_CITATION {"citationID":"V3Z3KLrx","properties":{"formattedCitation":"(Sager et al., 2022)","plainCitation":"(Sager et al., 2022)","noteIndex":0},"citationItems":[{"id":1118,"uris":["http://zotero.org/users/local/2G46dtX8/items/Q45LGU7G"],"itemData":{"id":1118,"type":"article-journal","abstract":"Submarine landslides can destroy seafloor infrastructures and generate devastating tsunamis. In spite of decades of research into the functioning of submarine landslides there are still numerous open questions, in particular how different phases of sliding influence each other. Here, we re-analyze Ana Slide—a relatively small (&lt;1 km 3) landslide offshore the Balearic Islands, which is unique in the published literature because it is completely imaged by high-resolution 3D reflection seismic data. Ana Slide comprises three domains: (a) a source area that is almost completely evacuated with evidence of headscarp retrogression, (b) an adjacent downslope translational domain representing a by-pass zone for the material that was mobilized in the source area, and (c) the deposit formed by the mobilized material, which accumulated downslope in a sink area and deformed slope sediment. Isochron maps show deep chaotic seismic units underneath the thickest deposits. We infer that the rapid deposition of the landslide material deformed the underlying sediments. A thin stratified sediment unit between three lobes suggests that Ana Slide evolved in two failure stages separated by several tens of thousands of years. This illustrates the problem of over-estimating the volume of mobilized material and under-estimating the complexity even of relatively simple slope failures without high-quality 3D reflection seismic data.","container-title":"Geochemistry, Geophysics, Geosystems","DOI":"10.1029/2022GC010469","ISSN":"1525-2027, 1525-2027","issue":"11","journalAbbreviation":"Geochem Geophys Geosyst","language":"en","source":"DOI.org (Crossref)","title":"Development and Emplacement of Ana Slide, Eivissa Channel, Western Mediterranean Sea","URL":"https://onlinelibrary.wiley.com/doi/10.1029/2022GC010469","volume":"23","author":[{"family":"Sager","given":"Thore F."},{"family":"Urlaub","given":"Morelia"},{"family":"Kaminski","given":"Pauline"},{"family":"Papenberg","given":"Cord"},{"family":"Lastras","given":"Galderic"},{"family":"Canals","given":"Miquel"},{"family":"Berndt","given":"Christian"}],"accessed":{"date-parts":[["2022",11,22]]},"issued":{"date-parts":[["2022",11]]},"citation-key":"sager2022"}}],"schema":"https://github.com/citation-style-language/schema/raw/master/csl-citation.json"} </w:instrText>
      </w:r>
      <w:r w:rsidR="00416598" w:rsidRPr="00416598">
        <w:rPr>
          <w:color w:val="4472C4" w:themeColor="accent1"/>
        </w:rPr>
        <w:fldChar w:fldCharType="separate"/>
      </w:r>
      <w:r w:rsidR="00416598" w:rsidRPr="00416598">
        <w:rPr>
          <w:noProof/>
          <w:color w:val="4472C4" w:themeColor="accent1"/>
        </w:rPr>
        <w:t>Sager et al., 2022</w:t>
      </w:r>
      <w:r w:rsidR="00416598" w:rsidRPr="00416598">
        <w:rPr>
          <w:color w:val="4472C4" w:themeColor="accent1"/>
        </w:rPr>
        <w:fldChar w:fldCharType="end"/>
      </w:r>
      <w:r w:rsidRPr="00CF393F">
        <w:t>). By using horizon-flattening on Ref, the thickness between Ref and SFR can thus be predicted inside the sink area and thus this approach to pre-failure seafloor reconstruction is called the horizon-flattening approach.</w:t>
      </w:r>
    </w:p>
    <w:p w14:paraId="387FDB7F" w14:textId="656F0F51" w:rsidR="002D4C35" w:rsidRPr="00CF393F" w:rsidRDefault="002D4C35" w:rsidP="002D4C35">
      <w:pPr>
        <w:spacing w:before="120"/>
      </w:pPr>
      <w:r w:rsidRPr="00CF393F">
        <w:t xml:space="preserve">We map Ref and SFR as a horizon and erased the latter </w:t>
      </w:r>
      <w:r w:rsidR="00F15C06" w:rsidRPr="00CF393F">
        <w:t xml:space="preserve">from </w:t>
      </w:r>
      <w:r w:rsidRPr="00CF393F">
        <w:t>inside the sink area. Then, we horizontally flatten Ref and reconstruct the trend of SFR inside the sink area by straight lines (manual picks) that connected between the up- and downslope extent of SFR (</w:t>
      </w:r>
      <w:r w:rsidRPr="00CF393F">
        <w:rPr>
          <w:color w:val="ED7D31" w:themeColor="accent2"/>
        </w:rPr>
        <w:t>Fig</w:t>
      </w:r>
      <w:r w:rsidR="00416598">
        <w:rPr>
          <w:color w:val="ED7D31" w:themeColor="accent2"/>
        </w:rPr>
        <w:t>ure</w:t>
      </w:r>
      <w:r w:rsidRPr="00CF393F">
        <w:rPr>
          <w:color w:val="ED7D31" w:themeColor="accent2"/>
        </w:rPr>
        <w:t xml:space="preserve"> 4</w:t>
      </w:r>
      <w:r w:rsidRPr="00CF393F">
        <w:t xml:space="preserve">). Afterwards, we de-flatten Ref and estimate the volume of accumulated landslide material inside the sink area between the reconstructed and present-day seafloor that is represented by SFR. The resulting pre-failure seafloor from the horizon-flattening approach performed inside the sink area is presented in </w:t>
      </w:r>
      <w:r w:rsidR="00416598">
        <w:rPr>
          <w:color w:val="ED7D31" w:themeColor="accent2"/>
        </w:rPr>
        <w:t>Fi</w:t>
      </w:r>
      <w:r w:rsidRPr="00CF393F">
        <w:rPr>
          <w:color w:val="ED7D31" w:themeColor="accent2"/>
        </w:rPr>
        <w:t>gure 5</w:t>
      </w:r>
      <w:r w:rsidRPr="00CF393F">
        <w:t xml:space="preserve"> and the estimation of Va that is preferred is shown in </w:t>
      </w:r>
      <w:r w:rsidR="00416598">
        <w:rPr>
          <w:color w:val="ED7D31" w:themeColor="accent2"/>
        </w:rPr>
        <w:t>T</w:t>
      </w:r>
      <w:r w:rsidRPr="00CF393F">
        <w:rPr>
          <w:color w:val="ED7D31" w:themeColor="accent2"/>
        </w:rPr>
        <w:t>able 2h</w:t>
      </w:r>
      <w:r w:rsidRPr="00CF393F">
        <w:t>. Thus, the amount of accumulated landslide material inside the sink area is Va = 0.016 km</w:t>
      </w:r>
      <w:r w:rsidRPr="00CF393F">
        <w:rPr>
          <w:vertAlign w:val="superscript"/>
        </w:rPr>
        <w:t>3</w:t>
      </w:r>
      <w:r w:rsidRPr="00CF393F">
        <w:t>.</w:t>
      </w:r>
    </w:p>
    <w:p w14:paraId="1C146165" w14:textId="77777777" w:rsidR="002D4C35" w:rsidRPr="00CF393F" w:rsidRDefault="002D4C35" w:rsidP="002D4C35">
      <w:r w:rsidRPr="00CF393F">
        <w:rPr>
          <w:noProof/>
        </w:rPr>
        <w:lastRenderedPageBreak/>
        <w:drawing>
          <wp:inline distT="0" distB="0" distL="0" distR="0" wp14:anchorId="1C9882AE" wp14:editId="21D9FD18">
            <wp:extent cx="4098471" cy="6769844"/>
            <wp:effectExtent l="0" t="0" r="3810" b="0"/>
            <wp:docPr id="5" name="Picture 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application&#10;&#10;Description automatically generated"/>
                    <pic:cNvPicPr>
                      <a:picLocks noChangeAspect="1"/>
                    </pic:cNvPicPr>
                  </pic:nvPicPr>
                  <pic:blipFill>
                    <a:blip r:embed="rId21"/>
                    <a:stretch/>
                  </pic:blipFill>
                  <pic:spPr bwMode="auto">
                    <a:xfrm>
                      <a:off x="0" y="0"/>
                      <a:ext cx="4184863" cy="6912546"/>
                    </a:xfrm>
                    <a:prstGeom prst="rect">
                      <a:avLst/>
                    </a:prstGeom>
                  </pic:spPr>
                </pic:pic>
              </a:graphicData>
            </a:graphic>
          </wp:inline>
        </w:drawing>
      </w:r>
    </w:p>
    <w:p w14:paraId="54E91364" w14:textId="6DECB6DE" w:rsidR="002D4C35" w:rsidRPr="00CF393F" w:rsidRDefault="002D4C35" w:rsidP="002D4C35">
      <w:pPr>
        <w:pStyle w:val="Caption"/>
        <w:spacing w:after="360" w:line="240" w:lineRule="auto"/>
        <w:rPr>
          <w:i w:val="0"/>
          <w:iCs w:val="0"/>
          <w:color w:val="000000"/>
        </w:rPr>
      </w:pPr>
      <w:r w:rsidRPr="00CF393F">
        <w:rPr>
          <w:b/>
          <w:bCs/>
          <w:i w:val="0"/>
          <w:iCs w:val="0"/>
          <w:color w:val="000000" w:themeColor="text1"/>
          <w:u w:val="single"/>
        </w:rPr>
        <w:t xml:space="preserve">Figure </w:t>
      </w:r>
      <w:r w:rsidR="00F15C06" w:rsidRPr="00CF393F">
        <w:rPr>
          <w:b/>
          <w:bCs/>
          <w:i w:val="0"/>
          <w:iCs w:val="0"/>
          <w:color w:val="000000" w:themeColor="text1"/>
          <w:u w:val="single"/>
        </w:rPr>
        <w:t>4</w:t>
      </w:r>
      <w:r w:rsidRPr="00CF393F">
        <w:rPr>
          <w:b/>
          <w:bCs/>
          <w:i w:val="0"/>
          <w:iCs w:val="0"/>
          <w:color w:val="000000" w:themeColor="text1"/>
          <w:u w:val="single"/>
        </w:rPr>
        <w:t>:</w:t>
      </w:r>
      <w:r w:rsidRPr="00CF393F">
        <w:rPr>
          <w:i w:val="0"/>
          <w:iCs w:val="0"/>
          <w:color w:val="000000" w:themeColor="text1"/>
        </w:rPr>
        <w:t xml:space="preserve"> Application of the horizon-flattening approach demonstrated from inline 71 of the 3D reflection seismic dataset. a) the un-interpreted profile is examined with Ref highlighted, b) Ref is horizontally flattened, c) Ref (red) and SFR (black) are mapped and the up- and downslope extent of the sink area is determined. The pre-failure seafloor (stippled light blue) is reconstructed by a straight line in in-line direction that perpendicular to the strike of local tectonic features. The volume of accumulated landslide material can then be calculated between the reconstructed pre-failure seafloor and SFR inside the sink area (hatched area). d) Ref is horizontally un-flattened to show the reconstructed seafloor prior to the failure inside the sink area of Ana Slide. </w:t>
      </w:r>
    </w:p>
    <w:p w14:paraId="0C99C9E9" w14:textId="77777777" w:rsidR="002D4C35" w:rsidRPr="00CF393F" w:rsidRDefault="002D4C35" w:rsidP="002D4C35">
      <w:r w:rsidRPr="00CF393F">
        <w:rPr>
          <w:noProof/>
        </w:rPr>
        <w:lastRenderedPageBreak/>
        <w:drawing>
          <wp:inline distT="0" distB="0" distL="0" distR="0" wp14:anchorId="42CF37D1" wp14:editId="229D2C50">
            <wp:extent cx="5389418" cy="2223135"/>
            <wp:effectExtent l="0" t="0" r="0" b="0"/>
            <wp:docPr id="6" name="Picture 1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graphical user interface&#10;&#10;Description automatically generated"/>
                    <pic:cNvPicPr>
                      <a:picLocks noChangeAspect="1"/>
                    </pic:cNvPicPr>
                  </pic:nvPicPr>
                  <pic:blipFill>
                    <a:blip r:embed="rId22"/>
                    <a:stretch/>
                  </pic:blipFill>
                  <pic:spPr bwMode="auto">
                    <a:xfrm>
                      <a:off x="0" y="0"/>
                      <a:ext cx="5480994" cy="2260910"/>
                    </a:xfrm>
                    <a:prstGeom prst="rect">
                      <a:avLst/>
                    </a:prstGeom>
                  </pic:spPr>
                </pic:pic>
              </a:graphicData>
            </a:graphic>
          </wp:inline>
        </w:drawing>
      </w:r>
    </w:p>
    <w:p w14:paraId="02E39650" w14:textId="515B9E79" w:rsidR="002D4C35" w:rsidRPr="00CE5C82" w:rsidRDefault="002D4C35" w:rsidP="002D4C35">
      <w:pPr>
        <w:pStyle w:val="Caption"/>
        <w:spacing w:after="360" w:line="240" w:lineRule="auto"/>
        <w:rPr>
          <w:i w:val="0"/>
          <w:iCs w:val="0"/>
          <w:color w:val="000000"/>
        </w:rPr>
      </w:pPr>
      <w:r w:rsidRPr="00CF393F">
        <w:rPr>
          <w:b/>
          <w:bCs/>
          <w:i w:val="0"/>
          <w:iCs w:val="0"/>
          <w:color w:val="000000" w:themeColor="text1"/>
          <w:u w:val="single"/>
        </w:rPr>
        <w:t xml:space="preserve">Figure </w:t>
      </w:r>
      <w:r w:rsidR="00F15C06" w:rsidRPr="00CF393F">
        <w:rPr>
          <w:b/>
          <w:bCs/>
          <w:i w:val="0"/>
          <w:iCs w:val="0"/>
          <w:color w:val="000000" w:themeColor="text1"/>
          <w:u w:val="single"/>
        </w:rPr>
        <w:t>5</w:t>
      </w:r>
      <w:r w:rsidRPr="00CF393F">
        <w:rPr>
          <w:b/>
          <w:bCs/>
          <w:i w:val="0"/>
          <w:iCs w:val="0"/>
          <w:color w:val="000000" w:themeColor="text1"/>
          <w:u w:val="single"/>
        </w:rPr>
        <w:t>:</w:t>
      </w:r>
      <w:r w:rsidRPr="00CF393F">
        <w:rPr>
          <w:i w:val="0"/>
          <w:iCs w:val="0"/>
          <w:color w:val="000000" w:themeColor="text1"/>
        </w:rPr>
        <w:t xml:space="preserve"> Horizon-flattening pre-failure seafloor reconstruction inside the sink area. </w:t>
      </w:r>
      <w:r w:rsidR="00CE5C82" w:rsidRPr="00CF393F">
        <w:rPr>
          <w:i w:val="0"/>
          <w:iCs w:val="0"/>
          <w:color w:val="000000" w:themeColor="text1"/>
        </w:rPr>
        <w:t xml:space="preserve">Grid is depth-converted with a seismic velocity of </w:t>
      </w:r>
      <w:proofErr w:type="spellStart"/>
      <w:r w:rsidR="00CE5C82" w:rsidRPr="00CE5C82">
        <w:rPr>
          <w:color w:val="000000" w:themeColor="text1"/>
        </w:rPr>
        <w:t>Vp</w:t>
      </w:r>
      <w:proofErr w:type="spellEnd"/>
      <w:r w:rsidR="00CE5C82" w:rsidRPr="00CF393F">
        <w:rPr>
          <w:i w:val="0"/>
          <w:iCs w:val="0"/>
          <w:color w:val="000000" w:themeColor="text1"/>
        </w:rPr>
        <w:t xml:space="preserve"> = 1500 m/</w:t>
      </w:r>
      <w:proofErr w:type="gramStart"/>
      <w:r w:rsidR="00CE5C82" w:rsidRPr="00CF393F">
        <w:rPr>
          <w:i w:val="0"/>
          <w:iCs w:val="0"/>
          <w:color w:val="000000" w:themeColor="text1"/>
        </w:rPr>
        <w:t>s.</w:t>
      </w:r>
      <w:r w:rsidRPr="00CF393F">
        <w:rPr>
          <w:i w:val="0"/>
          <w:iCs w:val="0"/>
          <w:color w:val="000000" w:themeColor="text1"/>
        </w:rPr>
        <w:t>.</w:t>
      </w:r>
      <w:proofErr w:type="gramEnd"/>
    </w:p>
    <w:p w14:paraId="700A240C" w14:textId="34852398" w:rsidR="002D4C35" w:rsidRPr="00CF393F" w:rsidRDefault="00F15C06" w:rsidP="00CF393F">
      <w:pPr>
        <w:pStyle w:val="Heading2"/>
      </w:pPr>
      <w:r w:rsidRPr="00CF393F">
        <w:t>Validity of the pre-failure seafloor reconstructions performed</w:t>
      </w:r>
    </w:p>
    <w:p w14:paraId="41328C2F" w14:textId="324B3DF7" w:rsidR="00F15C06" w:rsidRPr="00CF393F" w:rsidRDefault="002D4C35" w:rsidP="002D4C35">
      <w:r w:rsidRPr="00CF393F">
        <w:t xml:space="preserve">To check the validity of pre-failure seafloor reconstructions performed for Ana Slide, we use a similar approach as presented by </w:t>
      </w:r>
      <w:r w:rsidR="00416598" w:rsidRPr="00416598">
        <w:rPr>
          <w:color w:val="4472C4" w:themeColor="accent1"/>
        </w:rPr>
        <w:fldChar w:fldCharType="begin"/>
      </w:r>
      <w:r w:rsidR="00416598" w:rsidRPr="00416598">
        <w:rPr>
          <w:color w:val="4472C4" w:themeColor="accent1"/>
        </w:rPr>
        <w:instrText xml:space="preserve"> ADDIN ZOTERO_ITEM CSL_CITATION {"citationID":"eeRoyztc","properties":{"formattedCitation":"(Lastras et al., 2004)","plainCitation":"(Lastras et al., 2004)","noteIndex":0},"citationItems":[{"id":766,"uris":["http://zotero.org/users/local/2G46dtX8/items/PHI8M97D"],"itemData":{"id":766,"type":"article-journal","abstract":"Four slides, the Ana, Joan, Nuna and Jersi slides, have been imaged on the seaﬂoor along the Balearic margin of the Eivissa Channel in the western Mediterranean. They have areas of up to 16 km2 and occur in water depths ranging between 600 and 900 m. Volumes range from 0Æ14 to 0Æ4 km3. Their headwall scarps, internal architecture and associated deposits are characterized using a combination of swath bathymetry data and very highresolution seismic reﬂection proﬁles. In general, they show horseshoe-shaped headwall scarps and distinct depositional lobes with positive relief. Internally, the slide bodies are mostly composed of transparent seismic facies. Chaotic facies are observed at the toe of some of the slides, and blocks of coherent stratiﬁed facies embedded in the slide deposit have also been identiﬁed. The reﬂection proﬁles demonstrate that the four slides share the same slip horizon, which corresponds to a distinctive continuous, high-amplitude reﬂector. Furthermore, the geometry of the headwall scars of the Nuna and Ana slides reveals evidence of pockmarks, and ﬂuid escape features are also present further upslope. This indicates a possible link between ﬂuid escape features and destabilization of the upper sediment layers. In addition, these wellcharacterized slides demonstrate the pitfalls associated with calculating the volume of the slide masses using headwall scarp heights and the assumed preslide seaﬂoor topography in the absence of seismic data. The internal structure also demonstrates that transport distances within the slides are generally low and poorly characterized by headwall scarp to slide toe lengths.","container-title":"Sedimentology","DOI":"10.1111/j.1365-3091.2004.00654.x","ISSN":"00370746, 13653091","issue":"4","language":"en","page":"837-850","source":"DOI.org (Crossref)","title":"Shallow slides and pockmark swarms in the Eivissa Channel, western Mediterranean Sea: Shallow slides and pockmark swarms","title-short":"Shallow slides and pockmark swarms in the Eivissa Channel, western Mediterranean Sea","URL":"https://onlinelibrary.wiley.com/doi/10.1111/j.1365-3091.2004.00654.x","volume":"51","author":[{"family":"Lastras","given":"G."},{"family":"Canals","given":"M."},{"family":"Urgeles","given":"R."},{"family":"Hughes-Clarke","given":"J. E."},{"family":"Acosta","given":"J."}],"accessed":{"date-parts":[["2022",2,18]]},"issued":{"date-parts":[["2004",6,24]]},"citation-key":"lastras2004"}}],"schema":"https://github.com/citation-style-language/schema/raw/master/csl-citation.json"} </w:instrText>
      </w:r>
      <w:r w:rsidR="00416598" w:rsidRPr="00416598">
        <w:rPr>
          <w:color w:val="4472C4" w:themeColor="accent1"/>
        </w:rPr>
        <w:fldChar w:fldCharType="separate"/>
      </w:r>
      <w:r w:rsidR="00416598" w:rsidRPr="00416598">
        <w:rPr>
          <w:noProof/>
          <w:color w:val="4472C4" w:themeColor="accent1"/>
        </w:rPr>
        <w:t>Lastras et al., (2004</w:t>
      </w:r>
      <w:r w:rsidR="00416598" w:rsidRPr="00416598">
        <w:rPr>
          <w:color w:val="4472C4" w:themeColor="accent1"/>
        </w:rPr>
        <w:fldChar w:fldCharType="end"/>
      </w:r>
      <w:r w:rsidR="00416598" w:rsidRPr="00416598">
        <w:rPr>
          <w:color w:val="4472C4" w:themeColor="accent1"/>
        </w:rPr>
        <w:t>)</w:t>
      </w:r>
      <w:r w:rsidRPr="00CF393F">
        <w:rPr>
          <w:color w:val="4472C4" w:themeColor="accent1"/>
        </w:rPr>
        <w:t xml:space="preserve"> </w:t>
      </w:r>
      <w:r w:rsidRPr="00CF393F">
        <w:t>where they calculate the “volume of affected sediment” between a lower and upper surface inside the landslide scar. Following this approach, here, the lower and upper surfaces correspond to Ref and the preferred reconstructed pre-failure seafloors inside the source and sink areas</w:t>
      </w:r>
      <w:r w:rsidR="00CE5C82">
        <w:t xml:space="preserve"> (manual and horizon-flattening approaches)</w:t>
      </w:r>
      <w:r w:rsidRPr="00CF393F">
        <w:t>, respectively. Also, Ref and SFR are used inside of the by-pass zone (</w:t>
      </w:r>
      <w:r w:rsidRPr="00CF393F">
        <w:rPr>
          <w:color w:val="ED7D31" w:themeColor="accent2"/>
        </w:rPr>
        <w:t>Tab</w:t>
      </w:r>
      <w:r w:rsidR="00416598">
        <w:rPr>
          <w:color w:val="ED7D31" w:themeColor="accent2"/>
        </w:rPr>
        <w:t>le</w:t>
      </w:r>
      <w:r w:rsidRPr="00CF393F">
        <w:rPr>
          <w:color w:val="ED7D31" w:themeColor="accent2"/>
        </w:rPr>
        <w:t xml:space="preserve"> 2i-k</w:t>
      </w:r>
      <w:r w:rsidRPr="00CF393F">
        <w:t>). The results show that 0.040 km</w:t>
      </w:r>
      <w:r w:rsidRPr="00CF393F">
        <w:rPr>
          <w:vertAlign w:val="superscript"/>
        </w:rPr>
        <w:t>3</w:t>
      </w:r>
      <w:r w:rsidRPr="00CF393F">
        <w:t xml:space="preserve"> of material involved in Ana Slide were originally located inside the source area, while 0.012 km</w:t>
      </w:r>
      <w:r w:rsidRPr="00CF393F">
        <w:rPr>
          <w:vertAlign w:val="superscript"/>
        </w:rPr>
        <w:t>3</w:t>
      </w:r>
      <w:r w:rsidRPr="00CF393F">
        <w:t xml:space="preserve"> and 0.068 km</w:t>
      </w:r>
      <w:r w:rsidRPr="00CF393F">
        <w:rPr>
          <w:vertAlign w:val="superscript"/>
        </w:rPr>
        <w:t>3</w:t>
      </w:r>
      <w:r w:rsidRPr="00CF393F">
        <w:t xml:space="preserve"> were originally located inside the by-pass zone and sink area, respectively. These volumes </w:t>
      </w:r>
      <w:r w:rsidR="00F15C06" w:rsidRPr="00CF393F">
        <w:t>add up</w:t>
      </w:r>
      <w:r w:rsidRPr="00CF393F">
        <w:t xml:space="preserve"> to 0.120 km</w:t>
      </w:r>
      <w:r w:rsidRPr="00CF393F">
        <w:rPr>
          <w:vertAlign w:val="superscript"/>
        </w:rPr>
        <w:t>3</w:t>
      </w:r>
      <w:r w:rsidRPr="00CF393F">
        <w:t xml:space="preserve"> of inherent material</w:t>
      </w:r>
      <w:r w:rsidR="00416598">
        <w:t xml:space="preserve"> (</w:t>
      </w:r>
      <w:r w:rsidR="00416598" w:rsidRPr="00416598">
        <w:rPr>
          <w:color w:val="ED7D31" w:themeColor="accent2"/>
        </w:rPr>
        <w:t>Table 2l</w:t>
      </w:r>
      <w:r w:rsidR="00416598">
        <w:t>)</w:t>
      </w:r>
      <w:r w:rsidRPr="00CF393F">
        <w:t xml:space="preserve"> that makes up Ana Slide</w:t>
      </w:r>
      <w:r w:rsidR="00CE5C82">
        <w:t>.</w:t>
      </w:r>
      <w:r w:rsidRPr="00CF393F">
        <w:t xml:space="preserve"> </w:t>
      </w:r>
      <w:r w:rsidR="00CE5C82">
        <w:t>I</w:t>
      </w:r>
      <w:r w:rsidRPr="00CF393F">
        <w:t xml:space="preserve">mportantly this volume is equal to that calculated between Ref and SFR as presented in the </w:t>
      </w:r>
      <w:r w:rsidRPr="00416598">
        <w:rPr>
          <w:color w:val="4472C4" w:themeColor="accent1"/>
        </w:rPr>
        <w:t>main article</w:t>
      </w:r>
      <w:r w:rsidRPr="00CF393F">
        <w:t xml:space="preserve"> – </w:t>
      </w:r>
      <w:r w:rsidRPr="00CF393F">
        <w:rPr>
          <w:color w:val="ED7D31" w:themeColor="accent2"/>
        </w:rPr>
        <w:t>Tab</w:t>
      </w:r>
      <w:r w:rsidR="00CE5C82">
        <w:rPr>
          <w:color w:val="ED7D31" w:themeColor="accent2"/>
        </w:rPr>
        <w:t>le</w:t>
      </w:r>
      <w:r w:rsidRPr="00CF393F">
        <w:rPr>
          <w:color w:val="ED7D31" w:themeColor="accent2"/>
        </w:rPr>
        <w:t xml:space="preserve"> 1a</w:t>
      </w:r>
      <w:r w:rsidRPr="00CF393F">
        <w:t xml:space="preserve">. Ultimate to the pre-failure seafloor reconstructions performed is to then calculate the actual amount of evacuated and accumulated landslide material which is presented in the main article in </w:t>
      </w:r>
      <w:r w:rsidR="00CE5C82">
        <w:rPr>
          <w:color w:val="ED7D31" w:themeColor="accent2"/>
        </w:rPr>
        <w:t>F</w:t>
      </w:r>
      <w:r w:rsidRPr="00CF393F">
        <w:rPr>
          <w:color w:val="ED7D31" w:themeColor="accent2"/>
        </w:rPr>
        <w:t>igure 2e</w:t>
      </w:r>
      <w:r w:rsidRPr="00CF393F">
        <w:t>.</w:t>
      </w:r>
    </w:p>
    <w:p w14:paraId="42C481C8" w14:textId="395E7563" w:rsidR="00CF393F" w:rsidRPr="00CF393F" w:rsidRDefault="00CF393F" w:rsidP="002D4C35"/>
    <w:p w14:paraId="77CA293C" w14:textId="77777777" w:rsidR="00CF393F" w:rsidRPr="00CF393F" w:rsidRDefault="00CF393F" w:rsidP="002D4C35"/>
    <w:tbl>
      <w:tblPr>
        <w:tblW w:w="8789" w:type="dxa"/>
        <w:tblLook w:val="04A0" w:firstRow="1" w:lastRow="0" w:firstColumn="1" w:lastColumn="0" w:noHBand="0" w:noVBand="1"/>
      </w:tblPr>
      <w:tblGrid>
        <w:gridCol w:w="340"/>
        <w:gridCol w:w="1223"/>
        <w:gridCol w:w="984"/>
        <w:gridCol w:w="1422"/>
        <w:gridCol w:w="1134"/>
        <w:gridCol w:w="1276"/>
        <w:gridCol w:w="1170"/>
        <w:gridCol w:w="1276"/>
      </w:tblGrid>
      <w:tr w:rsidR="00CF393F" w:rsidRPr="00CF393F" w14:paraId="5AC3936E" w14:textId="77777777" w:rsidTr="00CF393F">
        <w:trPr>
          <w:trHeight w:val="700"/>
        </w:trPr>
        <w:tc>
          <w:tcPr>
            <w:tcW w:w="340" w:type="dxa"/>
            <w:tcBorders>
              <w:top w:val="nil"/>
              <w:left w:val="nil"/>
              <w:bottom w:val="nil"/>
              <w:right w:val="nil"/>
            </w:tcBorders>
            <w:shd w:val="clear" w:color="auto" w:fill="auto"/>
            <w:noWrap/>
            <w:vAlign w:val="bottom"/>
            <w:hideMark/>
          </w:tcPr>
          <w:p w14:paraId="7D1726B7" w14:textId="77777777" w:rsidR="00CF393F" w:rsidRPr="00CF393F" w:rsidRDefault="00CF393F" w:rsidP="00CF393F">
            <w:pPr>
              <w:spacing w:line="240" w:lineRule="auto"/>
              <w:rPr>
                <w:sz w:val="16"/>
                <w:szCs w:val="16"/>
              </w:rPr>
            </w:pPr>
          </w:p>
        </w:tc>
        <w:tc>
          <w:tcPr>
            <w:tcW w:w="1223" w:type="dxa"/>
            <w:tcBorders>
              <w:top w:val="nil"/>
              <w:left w:val="nil"/>
              <w:bottom w:val="single" w:sz="8" w:space="0" w:color="auto"/>
              <w:right w:val="nil"/>
            </w:tcBorders>
            <w:shd w:val="clear" w:color="auto" w:fill="auto"/>
            <w:noWrap/>
            <w:vAlign w:val="bottom"/>
            <w:hideMark/>
          </w:tcPr>
          <w:p w14:paraId="7C354372" w14:textId="77777777" w:rsidR="00CF393F" w:rsidRPr="00CF393F" w:rsidRDefault="00CF393F" w:rsidP="00CF393F">
            <w:pPr>
              <w:spacing w:line="240" w:lineRule="auto"/>
              <w:rPr>
                <w:rFonts w:ascii="Calibri" w:hAnsi="Calibri" w:cs="Calibri"/>
                <w:b/>
                <w:bCs/>
                <w:color w:val="000000"/>
                <w:sz w:val="16"/>
                <w:szCs w:val="16"/>
              </w:rPr>
            </w:pPr>
            <w:r w:rsidRPr="00CF393F">
              <w:rPr>
                <w:rFonts w:ascii="Calibri" w:hAnsi="Calibri" w:cs="Calibri"/>
                <w:b/>
                <w:bCs/>
                <w:color w:val="000000"/>
                <w:sz w:val="16"/>
                <w:szCs w:val="16"/>
              </w:rPr>
              <w:t>Reconstruction</w:t>
            </w:r>
          </w:p>
        </w:tc>
        <w:tc>
          <w:tcPr>
            <w:tcW w:w="984" w:type="dxa"/>
            <w:tcBorders>
              <w:top w:val="nil"/>
              <w:left w:val="nil"/>
              <w:bottom w:val="single" w:sz="8" w:space="0" w:color="auto"/>
              <w:right w:val="nil"/>
            </w:tcBorders>
            <w:shd w:val="clear" w:color="auto" w:fill="auto"/>
            <w:noWrap/>
            <w:vAlign w:val="bottom"/>
            <w:hideMark/>
          </w:tcPr>
          <w:p w14:paraId="22696E1E" w14:textId="77777777" w:rsidR="00CF393F" w:rsidRPr="00CF393F" w:rsidRDefault="00CF393F" w:rsidP="00CF393F">
            <w:pPr>
              <w:spacing w:line="240" w:lineRule="auto"/>
              <w:rPr>
                <w:rFonts w:ascii="Calibri" w:hAnsi="Calibri" w:cs="Calibri"/>
                <w:b/>
                <w:bCs/>
                <w:color w:val="000000"/>
                <w:sz w:val="16"/>
                <w:szCs w:val="16"/>
              </w:rPr>
            </w:pPr>
            <w:r w:rsidRPr="00CF393F">
              <w:rPr>
                <w:rFonts w:ascii="Calibri" w:hAnsi="Calibri" w:cs="Calibri"/>
                <w:b/>
                <w:bCs/>
                <w:color w:val="000000"/>
                <w:sz w:val="16"/>
                <w:szCs w:val="16"/>
              </w:rPr>
              <w:t>Parameters</w:t>
            </w:r>
          </w:p>
        </w:tc>
        <w:tc>
          <w:tcPr>
            <w:tcW w:w="1422" w:type="dxa"/>
            <w:tcBorders>
              <w:top w:val="nil"/>
              <w:left w:val="nil"/>
              <w:bottom w:val="single" w:sz="8" w:space="0" w:color="auto"/>
              <w:right w:val="nil"/>
            </w:tcBorders>
            <w:shd w:val="clear" w:color="auto" w:fill="auto"/>
            <w:vAlign w:val="bottom"/>
            <w:hideMark/>
          </w:tcPr>
          <w:p w14:paraId="41B2388F" w14:textId="77777777" w:rsidR="00CF393F" w:rsidRPr="00CF393F" w:rsidRDefault="00CF393F" w:rsidP="00CF393F">
            <w:pPr>
              <w:spacing w:line="240" w:lineRule="auto"/>
              <w:rPr>
                <w:rFonts w:ascii="Calibri" w:hAnsi="Calibri" w:cs="Calibri"/>
                <w:b/>
                <w:bCs/>
                <w:color w:val="000000"/>
                <w:sz w:val="16"/>
                <w:szCs w:val="16"/>
              </w:rPr>
            </w:pPr>
            <w:r w:rsidRPr="00CF393F">
              <w:rPr>
                <w:rFonts w:ascii="Calibri" w:hAnsi="Calibri" w:cs="Calibri"/>
                <w:b/>
                <w:bCs/>
                <w:color w:val="000000"/>
                <w:sz w:val="16"/>
                <w:szCs w:val="16"/>
              </w:rPr>
              <w:t>Figure reference</w:t>
            </w:r>
          </w:p>
        </w:tc>
        <w:tc>
          <w:tcPr>
            <w:tcW w:w="1134" w:type="dxa"/>
            <w:tcBorders>
              <w:top w:val="nil"/>
              <w:left w:val="nil"/>
              <w:bottom w:val="single" w:sz="8" w:space="0" w:color="auto"/>
              <w:right w:val="nil"/>
            </w:tcBorders>
            <w:shd w:val="clear" w:color="auto" w:fill="auto"/>
            <w:noWrap/>
            <w:vAlign w:val="bottom"/>
            <w:hideMark/>
          </w:tcPr>
          <w:p w14:paraId="6D30A09C" w14:textId="77777777" w:rsidR="00CF393F" w:rsidRPr="00CF393F" w:rsidRDefault="00CF393F" w:rsidP="00CF393F">
            <w:pPr>
              <w:spacing w:line="240" w:lineRule="auto"/>
              <w:rPr>
                <w:rFonts w:ascii="Calibri" w:hAnsi="Calibri" w:cs="Calibri"/>
                <w:b/>
                <w:bCs/>
                <w:color w:val="000000"/>
                <w:sz w:val="16"/>
                <w:szCs w:val="16"/>
              </w:rPr>
            </w:pPr>
            <w:r w:rsidRPr="00CF393F">
              <w:rPr>
                <w:rFonts w:ascii="Calibri" w:hAnsi="Calibri" w:cs="Calibri"/>
                <w:b/>
                <w:bCs/>
                <w:color w:val="000000"/>
                <w:sz w:val="16"/>
                <w:szCs w:val="16"/>
              </w:rPr>
              <w:t>Polygon</w:t>
            </w:r>
          </w:p>
        </w:tc>
        <w:tc>
          <w:tcPr>
            <w:tcW w:w="1276" w:type="dxa"/>
            <w:tcBorders>
              <w:top w:val="nil"/>
              <w:left w:val="nil"/>
              <w:bottom w:val="single" w:sz="8" w:space="0" w:color="auto"/>
              <w:right w:val="nil"/>
            </w:tcBorders>
            <w:shd w:val="clear" w:color="auto" w:fill="auto"/>
            <w:noWrap/>
            <w:vAlign w:val="bottom"/>
            <w:hideMark/>
          </w:tcPr>
          <w:p w14:paraId="7D8E78A1" w14:textId="77777777" w:rsidR="00CF393F" w:rsidRPr="00CF393F" w:rsidRDefault="00CF393F" w:rsidP="00CF393F">
            <w:pPr>
              <w:spacing w:line="240" w:lineRule="auto"/>
              <w:rPr>
                <w:rFonts w:ascii="Calibri" w:hAnsi="Calibri" w:cs="Calibri"/>
                <w:b/>
                <w:bCs/>
                <w:color w:val="000000"/>
                <w:sz w:val="16"/>
                <w:szCs w:val="16"/>
              </w:rPr>
            </w:pPr>
            <w:r w:rsidRPr="00CF393F">
              <w:rPr>
                <w:rFonts w:ascii="Calibri" w:hAnsi="Calibri" w:cs="Calibri"/>
                <w:b/>
                <w:bCs/>
                <w:color w:val="000000"/>
                <w:sz w:val="16"/>
                <w:szCs w:val="16"/>
              </w:rPr>
              <w:t>lower surface</w:t>
            </w:r>
          </w:p>
        </w:tc>
        <w:tc>
          <w:tcPr>
            <w:tcW w:w="1134" w:type="dxa"/>
            <w:tcBorders>
              <w:top w:val="nil"/>
              <w:left w:val="nil"/>
              <w:bottom w:val="single" w:sz="8" w:space="0" w:color="auto"/>
              <w:right w:val="nil"/>
            </w:tcBorders>
            <w:shd w:val="clear" w:color="auto" w:fill="auto"/>
            <w:noWrap/>
            <w:vAlign w:val="bottom"/>
            <w:hideMark/>
          </w:tcPr>
          <w:p w14:paraId="5DB6B159" w14:textId="77777777" w:rsidR="00CF393F" w:rsidRPr="00CF393F" w:rsidRDefault="00CF393F" w:rsidP="00CF393F">
            <w:pPr>
              <w:spacing w:line="240" w:lineRule="auto"/>
              <w:rPr>
                <w:rFonts w:ascii="Calibri" w:hAnsi="Calibri" w:cs="Calibri"/>
                <w:b/>
                <w:bCs/>
                <w:color w:val="000000"/>
                <w:sz w:val="16"/>
                <w:szCs w:val="16"/>
              </w:rPr>
            </w:pPr>
            <w:r w:rsidRPr="00CF393F">
              <w:rPr>
                <w:rFonts w:ascii="Calibri" w:hAnsi="Calibri" w:cs="Calibri"/>
                <w:b/>
                <w:bCs/>
                <w:color w:val="000000"/>
                <w:sz w:val="16"/>
                <w:szCs w:val="16"/>
              </w:rPr>
              <w:t>upper surface</w:t>
            </w:r>
          </w:p>
        </w:tc>
        <w:tc>
          <w:tcPr>
            <w:tcW w:w="1276" w:type="dxa"/>
            <w:tcBorders>
              <w:top w:val="nil"/>
              <w:left w:val="nil"/>
              <w:bottom w:val="single" w:sz="8" w:space="0" w:color="auto"/>
              <w:right w:val="nil"/>
            </w:tcBorders>
            <w:shd w:val="clear" w:color="auto" w:fill="auto"/>
            <w:vAlign w:val="bottom"/>
            <w:hideMark/>
          </w:tcPr>
          <w:p w14:paraId="44BE7CB9" w14:textId="512635DF" w:rsidR="00CF393F" w:rsidRPr="00CF393F" w:rsidRDefault="00CF393F" w:rsidP="00CF393F">
            <w:pPr>
              <w:spacing w:line="240" w:lineRule="auto"/>
              <w:rPr>
                <w:rFonts w:ascii="Calibri" w:hAnsi="Calibri" w:cs="Calibri"/>
                <w:b/>
                <w:bCs/>
                <w:color w:val="000000"/>
                <w:sz w:val="16"/>
                <w:szCs w:val="16"/>
              </w:rPr>
            </w:pPr>
            <w:r w:rsidRPr="00CF393F">
              <w:rPr>
                <w:rFonts w:ascii="Calibri" w:hAnsi="Calibri" w:cs="Calibri"/>
                <w:b/>
                <w:bCs/>
                <w:color w:val="000000"/>
                <w:sz w:val="16"/>
                <w:szCs w:val="16"/>
              </w:rPr>
              <w:t>Volume (km</w:t>
            </w:r>
            <w:r w:rsidRPr="00CF393F">
              <w:rPr>
                <w:rFonts w:ascii="Calibri" w:hAnsi="Calibri" w:cs="Calibri"/>
                <w:b/>
                <w:bCs/>
                <w:color w:val="000000"/>
                <w:sz w:val="16"/>
                <w:szCs w:val="16"/>
                <w:vertAlign w:val="superscript"/>
              </w:rPr>
              <w:t>3</w:t>
            </w:r>
            <w:r w:rsidRPr="00CF393F">
              <w:rPr>
                <w:rFonts w:ascii="Calibri" w:hAnsi="Calibri" w:cs="Calibri"/>
                <w:b/>
                <w:bCs/>
                <w:color w:val="000000"/>
                <w:sz w:val="16"/>
                <w:szCs w:val="16"/>
              </w:rPr>
              <w:t>)</w:t>
            </w:r>
          </w:p>
        </w:tc>
      </w:tr>
      <w:tr w:rsidR="00CF393F" w:rsidRPr="00CF393F" w14:paraId="3DCDA00D" w14:textId="77777777" w:rsidTr="00CF393F">
        <w:trPr>
          <w:trHeight w:val="320"/>
        </w:trPr>
        <w:tc>
          <w:tcPr>
            <w:tcW w:w="340" w:type="dxa"/>
            <w:tcBorders>
              <w:top w:val="nil"/>
              <w:left w:val="nil"/>
              <w:bottom w:val="nil"/>
              <w:right w:val="nil"/>
            </w:tcBorders>
            <w:shd w:val="clear" w:color="auto" w:fill="auto"/>
            <w:noWrap/>
            <w:vAlign w:val="bottom"/>
            <w:hideMark/>
          </w:tcPr>
          <w:p w14:paraId="1BFBD514" w14:textId="77777777" w:rsidR="00CF393F" w:rsidRPr="00CF393F" w:rsidRDefault="00CF393F" w:rsidP="00CF393F">
            <w:pPr>
              <w:spacing w:line="240" w:lineRule="auto"/>
              <w:rPr>
                <w:rFonts w:ascii="Calibri" w:hAnsi="Calibri" w:cs="Calibri"/>
                <w:b/>
                <w:bCs/>
                <w:color w:val="000000"/>
                <w:sz w:val="16"/>
                <w:szCs w:val="16"/>
              </w:rPr>
            </w:pPr>
            <w:r w:rsidRPr="00CF393F">
              <w:rPr>
                <w:rFonts w:ascii="Calibri" w:hAnsi="Calibri" w:cs="Calibri"/>
                <w:b/>
                <w:bCs/>
                <w:color w:val="000000"/>
                <w:sz w:val="16"/>
                <w:szCs w:val="16"/>
              </w:rPr>
              <w:t>a</w:t>
            </w:r>
          </w:p>
        </w:tc>
        <w:tc>
          <w:tcPr>
            <w:tcW w:w="12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2A2C3F"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linear reconstruction</w:t>
            </w:r>
          </w:p>
        </w:tc>
        <w:tc>
          <w:tcPr>
            <w:tcW w:w="984" w:type="dxa"/>
            <w:tcBorders>
              <w:top w:val="single" w:sz="4" w:space="0" w:color="auto"/>
              <w:left w:val="nil"/>
              <w:bottom w:val="single" w:sz="4" w:space="0" w:color="auto"/>
              <w:right w:val="single" w:sz="4" w:space="0" w:color="auto"/>
            </w:tcBorders>
            <w:shd w:val="clear" w:color="auto" w:fill="auto"/>
            <w:noWrap/>
            <w:vAlign w:val="bottom"/>
            <w:hideMark/>
          </w:tcPr>
          <w:p w14:paraId="17F02769"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maximum</w:t>
            </w:r>
          </w:p>
        </w:tc>
        <w:tc>
          <w:tcPr>
            <w:tcW w:w="1422" w:type="dxa"/>
            <w:tcBorders>
              <w:top w:val="single" w:sz="4" w:space="0" w:color="auto"/>
              <w:left w:val="nil"/>
              <w:bottom w:val="single" w:sz="4" w:space="0" w:color="auto"/>
              <w:right w:val="single" w:sz="4" w:space="0" w:color="auto"/>
            </w:tcBorders>
            <w:shd w:val="clear" w:color="auto" w:fill="auto"/>
            <w:noWrap/>
            <w:vAlign w:val="center"/>
            <w:hideMark/>
          </w:tcPr>
          <w:p w14:paraId="7324954C" w14:textId="77777777" w:rsidR="00CF393F" w:rsidRPr="00CF393F" w:rsidRDefault="00CF393F" w:rsidP="00CF393F">
            <w:pPr>
              <w:spacing w:line="240" w:lineRule="auto"/>
              <w:jc w:val="right"/>
              <w:rPr>
                <w:rFonts w:ascii="Calibri" w:hAnsi="Calibri" w:cs="Calibri"/>
                <w:b/>
                <w:bCs/>
                <w:color w:val="000000"/>
                <w:sz w:val="16"/>
                <w:szCs w:val="16"/>
              </w:rPr>
            </w:pPr>
            <w:r w:rsidRPr="00CF393F">
              <w:rPr>
                <w:rFonts w:ascii="Calibri" w:hAnsi="Calibri" w:cs="Calibri"/>
                <w:b/>
                <w:bCs/>
                <w:color w:val="000000"/>
                <w:sz w:val="16"/>
                <w:szCs w:val="16"/>
              </w:rPr>
              <w:t>2</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D80809D"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source area</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5D2F88E"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seafloor (SFR)</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9961A2E"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E773232" w14:textId="77777777" w:rsidR="00CF393F" w:rsidRPr="00CF393F" w:rsidRDefault="00CF393F" w:rsidP="00CF393F">
            <w:pPr>
              <w:spacing w:line="240" w:lineRule="auto"/>
              <w:rPr>
                <w:rFonts w:ascii="Calibri" w:hAnsi="Calibri" w:cs="Calibri"/>
                <w:b/>
                <w:bCs/>
                <w:color w:val="000000"/>
                <w:sz w:val="16"/>
                <w:szCs w:val="16"/>
              </w:rPr>
            </w:pPr>
            <w:r w:rsidRPr="00CF393F">
              <w:rPr>
                <w:rFonts w:ascii="Calibri" w:hAnsi="Calibri" w:cs="Calibri"/>
                <w:b/>
                <w:bCs/>
                <w:color w:val="000000"/>
                <w:sz w:val="16"/>
                <w:szCs w:val="16"/>
              </w:rPr>
              <w:t>0.027</w:t>
            </w:r>
          </w:p>
        </w:tc>
      </w:tr>
      <w:tr w:rsidR="00CF393F" w:rsidRPr="00CF393F" w14:paraId="5F0A0201" w14:textId="77777777" w:rsidTr="00CF393F">
        <w:trPr>
          <w:trHeight w:val="320"/>
        </w:trPr>
        <w:tc>
          <w:tcPr>
            <w:tcW w:w="340" w:type="dxa"/>
            <w:tcBorders>
              <w:top w:val="nil"/>
              <w:left w:val="nil"/>
              <w:bottom w:val="nil"/>
              <w:right w:val="nil"/>
            </w:tcBorders>
            <w:shd w:val="clear" w:color="auto" w:fill="auto"/>
            <w:noWrap/>
            <w:vAlign w:val="bottom"/>
            <w:hideMark/>
          </w:tcPr>
          <w:p w14:paraId="1481DE2E" w14:textId="77777777" w:rsidR="00CF393F" w:rsidRPr="00CF393F" w:rsidRDefault="00CF393F" w:rsidP="00CF393F">
            <w:pPr>
              <w:spacing w:line="240" w:lineRule="auto"/>
              <w:rPr>
                <w:rFonts w:ascii="Calibri" w:hAnsi="Calibri" w:cs="Calibri"/>
                <w:b/>
                <w:bCs/>
                <w:color w:val="000000"/>
                <w:sz w:val="16"/>
                <w:szCs w:val="16"/>
              </w:rPr>
            </w:pPr>
            <w:r w:rsidRPr="00CF393F">
              <w:rPr>
                <w:rFonts w:ascii="Calibri" w:hAnsi="Calibri" w:cs="Calibri"/>
                <w:b/>
                <w:bCs/>
                <w:color w:val="000000"/>
                <w:sz w:val="16"/>
                <w:szCs w:val="16"/>
              </w:rPr>
              <w:t>b</w:t>
            </w:r>
          </w:p>
        </w:tc>
        <w:tc>
          <w:tcPr>
            <w:tcW w:w="1223" w:type="dxa"/>
            <w:tcBorders>
              <w:top w:val="nil"/>
              <w:left w:val="single" w:sz="4" w:space="0" w:color="auto"/>
              <w:bottom w:val="single" w:sz="4" w:space="0" w:color="auto"/>
              <w:right w:val="single" w:sz="4" w:space="0" w:color="auto"/>
            </w:tcBorders>
            <w:shd w:val="clear" w:color="auto" w:fill="auto"/>
            <w:noWrap/>
            <w:vAlign w:val="bottom"/>
            <w:hideMark/>
          </w:tcPr>
          <w:p w14:paraId="55353AD0"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linear reconstruction</w:t>
            </w:r>
          </w:p>
        </w:tc>
        <w:tc>
          <w:tcPr>
            <w:tcW w:w="984" w:type="dxa"/>
            <w:tcBorders>
              <w:top w:val="nil"/>
              <w:left w:val="nil"/>
              <w:bottom w:val="single" w:sz="4" w:space="0" w:color="auto"/>
              <w:right w:val="single" w:sz="4" w:space="0" w:color="auto"/>
            </w:tcBorders>
            <w:shd w:val="clear" w:color="auto" w:fill="auto"/>
            <w:noWrap/>
            <w:vAlign w:val="bottom"/>
            <w:hideMark/>
          </w:tcPr>
          <w:p w14:paraId="761E2EED"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middle</w:t>
            </w:r>
          </w:p>
        </w:tc>
        <w:tc>
          <w:tcPr>
            <w:tcW w:w="1422" w:type="dxa"/>
            <w:tcBorders>
              <w:top w:val="nil"/>
              <w:left w:val="nil"/>
              <w:bottom w:val="single" w:sz="4" w:space="0" w:color="auto"/>
              <w:right w:val="single" w:sz="4" w:space="0" w:color="auto"/>
            </w:tcBorders>
            <w:shd w:val="clear" w:color="auto" w:fill="auto"/>
            <w:noWrap/>
            <w:vAlign w:val="center"/>
            <w:hideMark/>
          </w:tcPr>
          <w:p w14:paraId="7EFB337A" w14:textId="77777777" w:rsidR="00CF393F" w:rsidRPr="00CF393F" w:rsidRDefault="00CF393F" w:rsidP="00CF393F">
            <w:pPr>
              <w:spacing w:line="240" w:lineRule="auto"/>
              <w:jc w:val="right"/>
              <w:rPr>
                <w:rFonts w:ascii="Calibri" w:hAnsi="Calibri" w:cs="Calibri"/>
                <w:b/>
                <w:bCs/>
                <w:color w:val="000000"/>
                <w:sz w:val="16"/>
                <w:szCs w:val="16"/>
              </w:rPr>
            </w:pPr>
            <w:r w:rsidRPr="00CF393F">
              <w:rPr>
                <w:rFonts w:ascii="Calibri" w:hAnsi="Calibri" w:cs="Calibri"/>
                <w:b/>
                <w:bCs/>
                <w:color w:val="000000"/>
                <w:sz w:val="16"/>
                <w:szCs w:val="16"/>
              </w:rPr>
              <w:t>2</w:t>
            </w:r>
          </w:p>
        </w:tc>
        <w:tc>
          <w:tcPr>
            <w:tcW w:w="1134" w:type="dxa"/>
            <w:tcBorders>
              <w:top w:val="nil"/>
              <w:left w:val="nil"/>
              <w:bottom w:val="single" w:sz="4" w:space="0" w:color="auto"/>
              <w:right w:val="single" w:sz="4" w:space="0" w:color="auto"/>
            </w:tcBorders>
            <w:shd w:val="clear" w:color="auto" w:fill="auto"/>
            <w:noWrap/>
            <w:vAlign w:val="bottom"/>
            <w:hideMark/>
          </w:tcPr>
          <w:p w14:paraId="05F2D96B"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source area</w:t>
            </w:r>
          </w:p>
        </w:tc>
        <w:tc>
          <w:tcPr>
            <w:tcW w:w="1276" w:type="dxa"/>
            <w:tcBorders>
              <w:top w:val="nil"/>
              <w:left w:val="nil"/>
              <w:bottom w:val="single" w:sz="4" w:space="0" w:color="auto"/>
              <w:right w:val="single" w:sz="4" w:space="0" w:color="auto"/>
            </w:tcBorders>
            <w:shd w:val="clear" w:color="auto" w:fill="auto"/>
            <w:noWrap/>
            <w:vAlign w:val="bottom"/>
            <w:hideMark/>
          </w:tcPr>
          <w:p w14:paraId="508B885B"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seafloor (SFR)</w:t>
            </w:r>
          </w:p>
        </w:tc>
        <w:tc>
          <w:tcPr>
            <w:tcW w:w="1134" w:type="dxa"/>
            <w:tcBorders>
              <w:top w:val="nil"/>
              <w:left w:val="nil"/>
              <w:bottom w:val="single" w:sz="4" w:space="0" w:color="auto"/>
              <w:right w:val="single" w:sz="4" w:space="0" w:color="auto"/>
            </w:tcBorders>
            <w:shd w:val="clear" w:color="auto" w:fill="auto"/>
            <w:noWrap/>
            <w:vAlign w:val="bottom"/>
            <w:hideMark/>
          </w:tcPr>
          <w:p w14:paraId="13FAE487"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w:t>
            </w:r>
          </w:p>
        </w:tc>
        <w:tc>
          <w:tcPr>
            <w:tcW w:w="1276" w:type="dxa"/>
            <w:tcBorders>
              <w:top w:val="nil"/>
              <w:left w:val="nil"/>
              <w:bottom w:val="single" w:sz="4" w:space="0" w:color="auto"/>
              <w:right w:val="single" w:sz="4" w:space="0" w:color="auto"/>
            </w:tcBorders>
            <w:shd w:val="clear" w:color="auto" w:fill="auto"/>
            <w:noWrap/>
            <w:vAlign w:val="bottom"/>
            <w:hideMark/>
          </w:tcPr>
          <w:p w14:paraId="1B1DBDE0" w14:textId="77777777" w:rsidR="00CF393F" w:rsidRPr="00CF393F" w:rsidRDefault="00CF393F" w:rsidP="00CF393F">
            <w:pPr>
              <w:spacing w:line="240" w:lineRule="auto"/>
              <w:rPr>
                <w:rFonts w:ascii="Calibri" w:hAnsi="Calibri" w:cs="Calibri"/>
                <w:b/>
                <w:bCs/>
                <w:color w:val="000000"/>
                <w:sz w:val="16"/>
                <w:szCs w:val="16"/>
              </w:rPr>
            </w:pPr>
            <w:r w:rsidRPr="00CF393F">
              <w:rPr>
                <w:rFonts w:ascii="Calibri" w:hAnsi="Calibri" w:cs="Calibri"/>
                <w:b/>
                <w:bCs/>
                <w:color w:val="000000"/>
                <w:sz w:val="16"/>
                <w:szCs w:val="16"/>
              </w:rPr>
              <w:t>0.027</w:t>
            </w:r>
          </w:p>
        </w:tc>
      </w:tr>
      <w:tr w:rsidR="00CF393F" w:rsidRPr="00CF393F" w14:paraId="4F04C402" w14:textId="77777777" w:rsidTr="00CF393F">
        <w:trPr>
          <w:trHeight w:val="340"/>
        </w:trPr>
        <w:tc>
          <w:tcPr>
            <w:tcW w:w="340" w:type="dxa"/>
            <w:tcBorders>
              <w:top w:val="nil"/>
              <w:left w:val="nil"/>
              <w:bottom w:val="nil"/>
              <w:right w:val="nil"/>
            </w:tcBorders>
            <w:shd w:val="clear" w:color="auto" w:fill="auto"/>
            <w:noWrap/>
            <w:vAlign w:val="bottom"/>
            <w:hideMark/>
          </w:tcPr>
          <w:p w14:paraId="1DFBD315" w14:textId="77777777" w:rsidR="00CF393F" w:rsidRPr="00CF393F" w:rsidRDefault="00CF393F" w:rsidP="00CF393F">
            <w:pPr>
              <w:spacing w:line="240" w:lineRule="auto"/>
              <w:rPr>
                <w:rFonts w:ascii="Calibri" w:hAnsi="Calibri" w:cs="Calibri"/>
                <w:b/>
                <w:bCs/>
                <w:color w:val="000000"/>
                <w:sz w:val="16"/>
                <w:szCs w:val="16"/>
              </w:rPr>
            </w:pPr>
            <w:r w:rsidRPr="00CF393F">
              <w:rPr>
                <w:rFonts w:ascii="Calibri" w:hAnsi="Calibri" w:cs="Calibri"/>
                <w:b/>
                <w:bCs/>
                <w:color w:val="000000"/>
                <w:sz w:val="16"/>
                <w:szCs w:val="16"/>
              </w:rPr>
              <w:t>c</w:t>
            </w:r>
          </w:p>
        </w:tc>
        <w:tc>
          <w:tcPr>
            <w:tcW w:w="1223" w:type="dxa"/>
            <w:tcBorders>
              <w:top w:val="nil"/>
              <w:left w:val="single" w:sz="4" w:space="0" w:color="auto"/>
              <w:bottom w:val="single" w:sz="8" w:space="0" w:color="auto"/>
              <w:right w:val="single" w:sz="4" w:space="0" w:color="auto"/>
            </w:tcBorders>
            <w:shd w:val="clear" w:color="auto" w:fill="auto"/>
            <w:noWrap/>
            <w:vAlign w:val="bottom"/>
            <w:hideMark/>
          </w:tcPr>
          <w:p w14:paraId="60DD83A0"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linear reconstruction</w:t>
            </w:r>
          </w:p>
        </w:tc>
        <w:tc>
          <w:tcPr>
            <w:tcW w:w="984" w:type="dxa"/>
            <w:tcBorders>
              <w:top w:val="nil"/>
              <w:left w:val="nil"/>
              <w:bottom w:val="single" w:sz="8" w:space="0" w:color="auto"/>
              <w:right w:val="single" w:sz="4" w:space="0" w:color="auto"/>
            </w:tcBorders>
            <w:shd w:val="clear" w:color="auto" w:fill="auto"/>
            <w:noWrap/>
            <w:vAlign w:val="bottom"/>
            <w:hideMark/>
          </w:tcPr>
          <w:p w14:paraId="2D0F7767"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minimum</w:t>
            </w:r>
          </w:p>
        </w:tc>
        <w:tc>
          <w:tcPr>
            <w:tcW w:w="1422" w:type="dxa"/>
            <w:tcBorders>
              <w:top w:val="nil"/>
              <w:left w:val="nil"/>
              <w:bottom w:val="single" w:sz="8" w:space="0" w:color="auto"/>
              <w:right w:val="single" w:sz="4" w:space="0" w:color="auto"/>
            </w:tcBorders>
            <w:shd w:val="clear" w:color="auto" w:fill="auto"/>
            <w:noWrap/>
            <w:vAlign w:val="center"/>
            <w:hideMark/>
          </w:tcPr>
          <w:p w14:paraId="456481EF" w14:textId="77777777" w:rsidR="00CF393F" w:rsidRPr="00CF393F" w:rsidRDefault="00CF393F" w:rsidP="00CF393F">
            <w:pPr>
              <w:spacing w:line="240" w:lineRule="auto"/>
              <w:jc w:val="right"/>
              <w:rPr>
                <w:rFonts w:ascii="Calibri" w:hAnsi="Calibri" w:cs="Calibri"/>
                <w:b/>
                <w:bCs/>
                <w:color w:val="000000"/>
                <w:sz w:val="16"/>
                <w:szCs w:val="16"/>
              </w:rPr>
            </w:pPr>
            <w:r w:rsidRPr="00CF393F">
              <w:rPr>
                <w:rFonts w:ascii="Calibri" w:hAnsi="Calibri" w:cs="Calibri"/>
                <w:b/>
                <w:bCs/>
                <w:color w:val="000000"/>
                <w:sz w:val="16"/>
                <w:szCs w:val="16"/>
              </w:rPr>
              <w:t>2</w:t>
            </w:r>
          </w:p>
        </w:tc>
        <w:tc>
          <w:tcPr>
            <w:tcW w:w="1134" w:type="dxa"/>
            <w:tcBorders>
              <w:top w:val="nil"/>
              <w:left w:val="nil"/>
              <w:bottom w:val="single" w:sz="8" w:space="0" w:color="auto"/>
              <w:right w:val="single" w:sz="4" w:space="0" w:color="auto"/>
            </w:tcBorders>
            <w:shd w:val="clear" w:color="auto" w:fill="auto"/>
            <w:noWrap/>
            <w:vAlign w:val="bottom"/>
            <w:hideMark/>
          </w:tcPr>
          <w:p w14:paraId="3BD98DA8"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source area</w:t>
            </w:r>
          </w:p>
        </w:tc>
        <w:tc>
          <w:tcPr>
            <w:tcW w:w="1276" w:type="dxa"/>
            <w:tcBorders>
              <w:top w:val="nil"/>
              <w:left w:val="nil"/>
              <w:bottom w:val="single" w:sz="8" w:space="0" w:color="auto"/>
              <w:right w:val="single" w:sz="4" w:space="0" w:color="auto"/>
            </w:tcBorders>
            <w:shd w:val="clear" w:color="auto" w:fill="auto"/>
            <w:noWrap/>
            <w:vAlign w:val="bottom"/>
            <w:hideMark/>
          </w:tcPr>
          <w:p w14:paraId="241C4C16"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seafloor (SFR)</w:t>
            </w:r>
          </w:p>
        </w:tc>
        <w:tc>
          <w:tcPr>
            <w:tcW w:w="1134" w:type="dxa"/>
            <w:tcBorders>
              <w:top w:val="nil"/>
              <w:left w:val="nil"/>
              <w:bottom w:val="single" w:sz="8" w:space="0" w:color="auto"/>
              <w:right w:val="single" w:sz="4" w:space="0" w:color="auto"/>
            </w:tcBorders>
            <w:shd w:val="clear" w:color="auto" w:fill="auto"/>
            <w:noWrap/>
            <w:vAlign w:val="bottom"/>
            <w:hideMark/>
          </w:tcPr>
          <w:p w14:paraId="6C9FAA9A"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w:t>
            </w:r>
          </w:p>
        </w:tc>
        <w:tc>
          <w:tcPr>
            <w:tcW w:w="1276" w:type="dxa"/>
            <w:tcBorders>
              <w:top w:val="nil"/>
              <w:left w:val="nil"/>
              <w:bottom w:val="single" w:sz="8" w:space="0" w:color="auto"/>
              <w:right w:val="single" w:sz="4" w:space="0" w:color="auto"/>
            </w:tcBorders>
            <w:shd w:val="clear" w:color="auto" w:fill="auto"/>
            <w:noWrap/>
            <w:vAlign w:val="bottom"/>
            <w:hideMark/>
          </w:tcPr>
          <w:p w14:paraId="4460C224" w14:textId="77777777" w:rsidR="00CF393F" w:rsidRPr="00CF393F" w:rsidRDefault="00CF393F" w:rsidP="00CF393F">
            <w:pPr>
              <w:spacing w:line="240" w:lineRule="auto"/>
              <w:rPr>
                <w:rFonts w:ascii="Calibri" w:hAnsi="Calibri" w:cs="Calibri"/>
                <w:b/>
                <w:bCs/>
                <w:color w:val="000000"/>
                <w:sz w:val="16"/>
                <w:szCs w:val="16"/>
              </w:rPr>
            </w:pPr>
            <w:r w:rsidRPr="00CF393F">
              <w:rPr>
                <w:rFonts w:ascii="Calibri" w:hAnsi="Calibri" w:cs="Calibri"/>
                <w:b/>
                <w:bCs/>
                <w:color w:val="000000"/>
                <w:sz w:val="16"/>
                <w:szCs w:val="16"/>
              </w:rPr>
              <w:t>0.027</w:t>
            </w:r>
          </w:p>
        </w:tc>
      </w:tr>
      <w:tr w:rsidR="00CF393F" w:rsidRPr="00CF393F" w14:paraId="483BFE30" w14:textId="77777777" w:rsidTr="00CF393F">
        <w:trPr>
          <w:trHeight w:val="320"/>
        </w:trPr>
        <w:tc>
          <w:tcPr>
            <w:tcW w:w="340" w:type="dxa"/>
            <w:tcBorders>
              <w:top w:val="nil"/>
              <w:left w:val="nil"/>
              <w:bottom w:val="nil"/>
              <w:right w:val="nil"/>
            </w:tcBorders>
            <w:shd w:val="clear" w:color="auto" w:fill="auto"/>
            <w:noWrap/>
            <w:vAlign w:val="bottom"/>
            <w:hideMark/>
          </w:tcPr>
          <w:p w14:paraId="04E04DE8" w14:textId="77777777" w:rsidR="00CF393F" w:rsidRPr="00CF393F" w:rsidRDefault="00CF393F" w:rsidP="00CF393F">
            <w:pPr>
              <w:spacing w:line="240" w:lineRule="auto"/>
              <w:rPr>
                <w:rFonts w:ascii="Calibri" w:hAnsi="Calibri" w:cs="Calibri"/>
                <w:b/>
                <w:bCs/>
                <w:color w:val="000000"/>
                <w:sz w:val="16"/>
                <w:szCs w:val="16"/>
              </w:rPr>
            </w:pPr>
            <w:r w:rsidRPr="00CF393F">
              <w:rPr>
                <w:rFonts w:ascii="Calibri" w:hAnsi="Calibri" w:cs="Calibri"/>
                <w:b/>
                <w:bCs/>
                <w:color w:val="000000"/>
                <w:sz w:val="16"/>
                <w:szCs w:val="16"/>
              </w:rPr>
              <w:t>d</w:t>
            </w:r>
          </w:p>
        </w:tc>
        <w:tc>
          <w:tcPr>
            <w:tcW w:w="1223" w:type="dxa"/>
            <w:tcBorders>
              <w:top w:val="nil"/>
              <w:left w:val="single" w:sz="4" w:space="0" w:color="auto"/>
              <w:bottom w:val="single" w:sz="4" w:space="0" w:color="auto"/>
              <w:right w:val="single" w:sz="4" w:space="0" w:color="auto"/>
            </w:tcBorders>
            <w:shd w:val="clear" w:color="auto" w:fill="auto"/>
            <w:noWrap/>
            <w:vAlign w:val="bottom"/>
            <w:hideMark/>
          </w:tcPr>
          <w:p w14:paraId="2C197435"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linear reconstruction</w:t>
            </w:r>
          </w:p>
        </w:tc>
        <w:tc>
          <w:tcPr>
            <w:tcW w:w="984" w:type="dxa"/>
            <w:tcBorders>
              <w:top w:val="nil"/>
              <w:left w:val="nil"/>
              <w:bottom w:val="single" w:sz="4" w:space="0" w:color="auto"/>
              <w:right w:val="single" w:sz="4" w:space="0" w:color="auto"/>
            </w:tcBorders>
            <w:shd w:val="clear" w:color="auto" w:fill="auto"/>
            <w:noWrap/>
            <w:vAlign w:val="bottom"/>
            <w:hideMark/>
          </w:tcPr>
          <w:p w14:paraId="678BCE33"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maximum</w:t>
            </w:r>
          </w:p>
        </w:tc>
        <w:tc>
          <w:tcPr>
            <w:tcW w:w="1422" w:type="dxa"/>
            <w:tcBorders>
              <w:top w:val="nil"/>
              <w:left w:val="nil"/>
              <w:bottom w:val="single" w:sz="4" w:space="0" w:color="auto"/>
              <w:right w:val="single" w:sz="4" w:space="0" w:color="auto"/>
            </w:tcBorders>
            <w:shd w:val="clear" w:color="auto" w:fill="auto"/>
            <w:noWrap/>
            <w:vAlign w:val="center"/>
            <w:hideMark/>
          </w:tcPr>
          <w:p w14:paraId="79725629" w14:textId="77777777" w:rsidR="00CF393F" w:rsidRPr="00CF393F" w:rsidRDefault="00CF393F" w:rsidP="00CF393F">
            <w:pPr>
              <w:spacing w:line="240" w:lineRule="auto"/>
              <w:jc w:val="right"/>
              <w:rPr>
                <w:rFonts w:ascii="Calibri" w:hAnsi="Calibri" w:cs="Calibri"/>
                <w:b/>
                <w:bCs/>
                <w:color w:val="000000"/>
                <w:sz w:val="16"/>
                <w:szCs w:val="16"/>
              </w:rPr>
            </w:pPr>
            <w:r w:rsidRPr="00CF393F">
              <w:rPr>
                <w:rFonts w:ascii="Calibri" w:hAnsi="Calibri" w:cs="Calibri"/>
                <w:b/>
                <w:bCs/>
                <w:color w:val="000000"/>
                <w:sz w:val="16"/>
                <w:szCs w:val="16"/>
              </w:rPr>
              <w:t>2</w:t>
            </w:r>
          </w:p>
        </w:tc>
        <w:tc>
          <w:tcPr>
            <w:tcW w:w="1134" w:type="dxa"/>
            <w:tcBorders>
              <w:top w:val="nil"/>
              <w:left w:val="nil"/>
              <w:bottom w:val="single" w:sz="4" w:space="0" w:color="auto"/>
              <w:right w:val="single" w:sz="4" w:space="0" w:color="auto"/>
            </w:tcBorders>
            <w:shd w:val="clear" w:color="auto" w:fill="auto"/>
            <w:noWrap/>
            <w:vAlign w:val="bottom"/>
            <w:hideMark/>
          </w:tcPr>
          <w:p w14:paraId="326068B8"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sink area</w:t>
            </w:r>
          </w:p>
        </w:tc>
        <w:tc>
          <w:tcPr>
            <w:tcW w:w="1276" w:type="dxa"/>
            <w:tcBorders>
              <w:top w:val="nil"/>
              <w:left w:val="nil"/>
              <w:bottom w:val="single" w:sz="4" w:space="0" w:color="auto"/>
              <w:right w:val="single" w:sz="4" w:space="0" w:color="auto"/>
            </w:tcBorders>
            <w:shd w:val="clear" w:color="auto" w:fill="auto"/>
            <w:noWrap/>
            <w:vAlign w:val="bottom"/>
            <w:hideMark/>
          </w:tcPr>
          <w:p w14:paraId="379E1E35"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w:t>
            </w:r>
          </w:p>
        </w:tc>
        <w:tc>
          <w:tcPr>
            <w:tcW w:w="1134" w:type="dxa"/>
            <w:tcBorders>
              <w:top w:val="nil"/>
              <w:left w:val="nil"/>
              <w:bottom w:val="single" w:sz="4" w:space="0" w:color="auto"/>
              <w:right w:val="single" w:sz="4" w:space="0" w:color="auto"/>
            </w:tcBorders>
            <w:shd w:val="clear" w:color="auto" w:fill="auto"/>
            <w:noWrap/>
            <w:vAlign w:val="bottom"/>
            <w:hideMark/>
          </w:tcPr>
          <w:p w14:paraId="47F9960B"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seafloor (SFR)</w:t>
            </w:r>
          </w:p>
        </w:tc>
        <w:tc>
          <w:tcPr>
            <w:tcW w:w="1276" w:type="dxa"/>
            <w:tcBorders>
              <w:top w:val="nil"/>
              <w:left w:val="nil"/>
              <w:bottom w:val="single" w:sz="4" w:space="0" w:color="auto"/>
              <w:right w:val="single" w:sz="4" w:space="0" w:color="auto"/>
            </w:tcBorders>
            <w:shd w:val="clear" w:color="auto" w:fill="auto"/>
            <w:noWrap/>
            <w:vAlign w:val="bottom"/>
            <w:hideMark/>
          </w:tcPr>
          <w:p w14:paraId="4CFE0614" w14:textId="77777777" w:rsidR="00CF393F" w:rsidRPr="00CF393F" w:rsidRDefault="00CF393F" w:rsidP="00CF393F">
            <w:pPr>
              <w:spacing w:line="240" w:lineRule="auto"/>
              <w:rPr>
                <w:rFonts w:ascii="Calibri" w:hAnsi="Calibri" w:cs="Calibri"/>
                <w:b/>
                <w:bCs/>
                <w:color w:val="000000"/>
                <w:sz w:val="16"/>
                <w:szCs w:val="16"/>
              </w:rPr>
            </w:pPr>
            <w:r w:rsidRPr="00CF393F">
              <w:rPr>
                <w:rFonts w:ascii="Calibri" w:hAnsi="Calibri" w:cs="Calibri"/>
                <w:b/>
                <w:bCs/>
                <w:color w:val="000000"/>
                <w:sz w:val="16"/>
                <w:szCs w:val="16"/>
              </w:rPr>
              <w:t>0.006</w:t>
            </w:r>
          </w:p>
        </w:tc>
      </w:tr>
      <w:tr w:rsidR="00CF393F" w:rsidRPr="00CF393F" w14:paraId="5A4ECAEF" w14:textId="77777777" w:rsidTr="00CF393F">
        <w:trPr>
          <w:trHeight w:val="320"/>
        </w:trPr>
        <w:tc>
          <w:tcPr>
            <w:tcW w:w="340" w:type="dxa"/>
            <w:tcBorders>
              <w:top w:val="nil"/>
              <w:left w:val="nil"/>
              <w:bottom w:val="nil"/>
              <w:right w:val="nil"/>
            </w:tcBorders>
            <w:shd w:val="clear" w:color="auto" w:fill="auto"/>
            <w:noWrap/>
            <w:vAlign w:val="bottom"/>
            <w:hideMark/>
          </w:tcPr>
          <w:p w14:paraId="409357DF" w14:textId="77777777" w:rsidR="00CF393F" w:rsidRPr="00CF393F" w:rsidRDefault="00CF393F" w:rsidP="00CF393F">
            <w:pPr>
              <w:spacing w:line="240" w:lineRule="auto"/>
              <w:rPr>
                <w:rFonts w:ascii="Calibri" w:hAnsi="Calibri" w:cs="Calibri"/>
                <w:b/>
                <w:bCs/>
                <w:color w:val="000000"/>
                <w:sz w:val="16"/>
                <w:szCs w:val="16"/>
              </w:rPr>
            </w:pPr>
            <w:r w:rsidRPr="00CF393F">
              <w:rPr>
                <w:rFonts w:ascii="Calibri" w:hAnsi="Calibri" w:cs="Calibri"/>
                <w:b/>
                <w:bCs/>
                <w:color w:val="000000"/>
                <w:sz w:val="16"/>
                <w:szCs w:val="16"/>
              </w:rPr>
              <w:t>e</w:t>
            </w:r>
          </w:p>
        </w:tc>
        <w:tc>
          <w:tcPr>
            <w:tcW w:w="1223" w:type="dxa"/>
            <w:tcBorders>
              <w:top w:val="nil"/>
              <w:left w:val="single" w:sz="4" w:space="0" w:color="auto"/>
              <w:bottom w:val="single" w:sz="4" w:space="0" w:color="auto"/>
              <w:right w:val="single" w:sz="4" w:space="0" w:color="auto"/>
            </w:tcBorders>
            <w:shd w:val="clear" w:color="auto" w:fill="auto"/>
            <w:noWrap/>
            <w:vAlign w:val="bottom"/>
            <w:hideMark/>
          </w:tcPr>
          <w:p w14:paraId="6F9ED715"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linear reconstruction</w:t>
            </w:r>
          </w:p>
        </w:tc>
        <w:tc>
          <w:tcPr>
            <w:tcW w:w="984" w:type="dxa"/>
            <w:tcBorders>
              <w:top w:val="nil"/>
              <w:left w:val="nil"/>
              <w:bottom w:val="single" w:sz="4" w:space="0" w:color="auto"/>
              <w:right w:val="single" w:sz="4" w:space="0" w:color="auto"/>
            </w:tcBorders>
            <w:shd w:val="clear" w:color="auto" w:fill="auto"/>
            <w:noWrap/>
            <w:vAlign w:val="bottom"/>
            <w:hideMark/>
          </w:tcPr>
          <w:p w14:paraId="3BAE2F00"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middle</w:t>
            </w:r>
          </w:p>
        </w:tc>
        <w:tc>
          <w:tcPr>
            <w:tcW w:w="1422" w:type="dxa"/>
            <w:tcBorders>
              <w:top w:val="nil"/>
              <w:left w:val="nil"/>
              <w:bottom w:val="single" w:sz="4" w:space="0" w:color="auto"/>
              <w:right w:val="single" w:sz="4" w:space="0" w:color="auto"/>
            </w:tcBorders>
            <w:shd w:val="clear" w:color="auto" w:fill="auto"/>
            <w:noWrap/>
            <w:vAlign w:val="center"/>
            <w:hideMark/>
          </w:tcPr>
          <w:p w14:paraId="244DDBE8" w14:textId="77777777" w:rsidR="00CF393F" w:rsidRPr="00CF393F" w:rsidRDefault="00CF393F" w:rsidP="00CF393F">
            <w:pPr>
              <w:spacing w:line="240" w:lineRule="auto"/>
              <w:jc w:val="right"/>
              <w:rPr>
                <w:rFonts w:ascii="Calibri" w:hAnsi="Calibri" w:cs="Calibri"/>
                <w:b/>
                <w:bCs/>
                <w:color w:val="000000"/>
                <w:sz w:val="16"/>
                <w:szCs w:val="16"/>
              </w:rPr>
            </w:pPr>
            <w:r w:rsidRPr="00CF393F">
              <w:rPr>
                <w:rFonts w:ascii="Calibri" w:hAnsi="Calibri" w:cs="Calibri"/>
                <w:b/>
                <w:bCs/>
                <w:color w:val="000000"/>
                <w:sz w:val="16"/>
                <w:szCs w:val="16"/>
              </w:rPr>
              <w:t>2</w:t>
            </w:r>
          </w:p>
        </w:tc>
        <w:tc>
          <w:tcPr>
            <w:tcW w:w="1134" w:type="dxa"/>
            <w:tcBorders>
              <w:top w:val="nil"/>
              <w:left w:val="nil"/>
              <w:bottom w:val="single" w:sz="4" w:space="0" w:color="auto"/>
              <w:right w:val="single" w:sz="4" w:space="0" w:color="auto"/>
            </w:tcBorders>
            <w:shd w:val="clear" w:color="auto" w:fill="auto"/>
            <w:noWrap/>
            <w:vAlign w:val="bottom"/>
            <w:hideMark/>
          </w:tcPr>
          <w:p w14:paraId="59FA2301"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sink area</w:t>
            </w:r>
          </w:p>
        </w:tc>
        <w:tc>
          <w:tcPr>
            <w:tcW w:w="1276" w:type="dxa"/>
            <w:tcBorders>
              <w:top w:val="nil"/>
              <w:left w:val="nil"/>
              <w:bottom w:val="single" w:sz="4" w:space="0" w:color="auto"/>
              <w:right w:val="single" w:sz="4" w:space="0" w:color="auto"/>
            </w:tcBorders>
            <w:shd w:val="clear" w:color="auto" w:fill="auto"/>
            <w:noWrap/>
            <w:vAlign w:val="bottom"/>
            <w:hideMark/>
          </w:tcPr>
          <w:p w14:paraId="6C1DC164"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w:t>
            </w:r>
          </w:p>
        </w:tc>
        <w:tc>
          <w:tcPr>
            <w:tcW w:w="1134" w:type="dxa"/>
            <w:tcBorders>
              <w:top w:val="nil"/>
              <w:left w:val="nil"/>
              <w:bottom w:val="single" w:sz="4" w:space="0" w:color="auto"/>
              <w:right w:val="single" w:sz="4" w:space="0" w:color="auto"/>
            </w:tcBorders>
            <w:shd w:val="clear" w:color="auto" w:fill="auto"/>
            <w:noWrap/>
            <w:vAlign w:val="bottom"/>
            <w:hideMark/>
          </w:tcPr>
          <w:p w14:paraId="4C9105F9"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seafloor (SFR)</w:t>
            </w:r>
          </w:p>
        </w:tc>
        <w:tc>
          <w:tcPr>
            <w:tcW w:w="1276" w:type="dxa"/>
            <w:tcBorders>
              <w:top w:val="nil"/>
              <w:left w:val="nil"/>
              <w:bottom w:val="single" w:sz="4" w:space="0" w:color="auto"/>
              <w:right w:val="single" w:sz="4" w:space="0" w:color="auto"/>
            </w:tcBorders>
            <w:shd w:val="clear" w:color="auto" w:fill="auto"/>
            <w:noWrap/>
            <w:vAlign w:val="bottom"/>
            <w:hideMark/>
          </w:tcPr>
          <w:p w14:paraId="729F09FB" w14:textId="77777777" w:rsidR="00CF393F" w:rsidRPr="00CF393F" w:rsidRDefault="00CF393F" w:rsidP="00CF393F">
            <w:pPr>
              <w:spacing w:line="240" w:lineRule="auto"/>
              <w:rPr>
                <w:rFonts w:ascii="Calibri" w:hAnsi="Calibri" w:cs="Calibri"/>
                <w:b/>
                <w:bCs/>
                <w:color w:val="000000"/>
                <w:sz w:val="16"/>
                <w:szCs w:val="16"/>
              </w:rPr>
            </w:pPr>
            <w:r w:rsidRPr="00CF393F">
              <w:rPr>
                <w:rFonts w:ascii="Calibri" w:hAnsi="Calibri" w:cs="Calibri"/>
                <w:b/>
                <w:bCs/>
                <w:color w:val="000000"/>
                <w:sz w:val="16"/>
                <w:szCs w:val="16"/>
              </w:rPr>
              <w:t>0.006</w:t>
            </w:r>
          </w:p>
        </w:tc>
      </w:tr>
      <w:tr w:rsidR="00CF393F" w:rsidRPr="00CF393F" w14:paraId="3C381E9B" w14:textId="77777777" w:rsidTr="00CF393F">
        <w:trPr>
          <w:trHeight w:val="340"/>
        </w:trPr>
        <w:tc>
          <w:tcPr>
            <w:tcW w:w="340" w:type="dxa"/>
            <w:tcBorders>
              <w:top w:val="nil"/>
              <w:left w:val="nil"/>
              <w:bottom w:val="nil"/>
              <w:right w:val="nil"/>
            </w:tcBorders>
            <w:shd w:val="clear" w:color="auto" w:fill="auto"/>
            <w:noWrap/>
            <w:vAlign w:val="bottom"/>
            <w:hideMark/>
          </w:tcPr>
          <w:p w14:paraId="1BCC0A45" w14:textId="77777777" w:rsidR="00CF393F" w:rsidRPr="00CF393F" w:rsidRDefault="00CF393F" w:rsidP="00CF393F">
            <w:pPr>
              <w:spacing w:line="240" w:lineRule="auto"/>
              <w:rPr>
                <w:rFonts w:ascii="Calibri" w:hAnsi="Calibri" w:cs="Calibri"/>
                <w:b/>
                <w:bCs/>
                <w:color w:val="000000"/>
                <w:sz w:val="16"/>
                <w:szCs w:val="16"/>
              </w:rPr>
            </w:pPr>
            <w:r w:rsidRPr="00CF393F">
              <w:rPr>
                <w:rFonts w:ascii="Calibri" w:hAnsi="Calibri" w:cs="Calibri"/>
                <w:b/>
                <w:bCs/>
                <w:color w:val="000000"/>
                <w:sz w:val="16"/>
                <w:szCs w:val="16"/>
              </w:rPr>
              <w:t>f</w:t>
            </w:r>
          </w:p>
        </w:tc>
        <w:tc>
          <w:tcPr>
            <w:tcW w:w="1223" w:type="dxa"/>
            <w:tcBorders>
              <w:top w:val="nil"/>
              <w:left w:val="single" w:sz="4" w:space="0" w:color="auto"/>
              <w:bottom w:val="single" w:sz="8" w:space="0" w:color="auto"/>
              <w:right w:val="single" w:sz="4" w:space="0" w:color="auto"/>
            </w:tcBorders>
            <w:shd w:val="clear" w:color="auto" w:fill="auto"/>
            <w:noWrap/>
            <w:vAlign w:val="bottom"/>
            <w:hideMark/>
          </w:tcPr>
          <w:p w14:paraId="7DB2AB91"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linear reconstruction</w:t>
            </w:r>
          </w:p>
        </w:tc>
        <w:tc>
          <w:tcPr>
            <w:tcW w:w="984" w:type="dxa"/>
            <w:tcBorders>
              <w:top w:val="nil"/>
              <w:left w:val="nil"/>
              <w:bottom w:val="single" w:sz="8" w:space="0" w:color="auto"/>
              <w:right w:val="single" w:sz="4" w:space="0" w:color="auto"/>
            </w:tcBorders>
            <w:shd w:val="clear" w:color="auto" w:fill="auto"/>
            <w:noWrap/>
            <w:vAlign w:val="bottom"/>
            <w:hideMark/>
          </w:tcPr>
          <w:p w14:paraId="4A6CC3D9"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minimum</w:t>
            </w:r>
          </w:p>
        </w:tc>
        <w:tc>
          <w:tcPr>
            <w:tcW w:w="1422" w:type="dxa"/>
            <w:tcBorders>
              <w:top w:val="nil"/>
              <w:left w:val="nil"/>
              <w:bottom w:val="single" w:sz="8" w:space="0" w:color="auto"/>
              <w:right w:val="single" w:sz="4" w:space="0" w:color="auto"/>
            </w:tcBorders>
            <w:shd w:val="clear" w:color="auto" w:fill="auto"/>
            <w:noWrap/>
            <w:vAlign w:val="center"/>
            <w:hideMark/>
          </w:tcPr>
          <w:p w14:paraId="49A24482" w14:textId="77777777" w:rsidR="00CF393F" w:rsidRPr="00CF393F" w:rsidRDefault="00CF393F" w:rsidP="00CF393F">
            <w:pPr>
              <w:spacing w:line="240" w:lineRule="auto"/>
              <w:jc w:val="right"/>
              <w:rPr>
                <w:rFonts w:ascii="Calibri" w:hAnsi="Calibri" w:cs="Calibri"/>
                <w:b/>
                <w:bCs/>
                <w:color w:val="000000"/>
                <w:sz w:val="16"/>
                <w:szCs w:val="16"/>
              </w:rPr>
            </w:pPr>
            <w:r w:rsidRPr="00CF393F">
              <w:rPr>
                <w:rFonts w:ascii="Calibri" w:hAnsi="Calibri" w:cs="Calibri"/>
                <w:b/>
                <w:bCs/>
                <w:color w:val="000000"/>
                <w:sz w:val="16"/>
                <w:szCs w:val="16"/>
              </w:rPr>
              <w:t>2</w:t>
            </w:r>
          </w:p>
        </w:tc>
        <w:tc>
          <w:tcPr>
            <w:tcW w:w="1134" w:type="dxa"/>
            <w:tcBorders>
              <w:top w:val="nil"/>
              <w:left w:val="nil"/>
              <w:bottom w:val="single" w:sz="8" w:space="0" w:color="auto"/>
              <w:right w:val="single" w:sz="4" w:space="0" w:color="auto"/>
            </w:tcBorders>
            <w:shd w:val="clear" w:color="auto" w:fill="auto"/>
            <w:noWrap/>
            <w:vAlign w:val="bottom"/>
            <w:hideMark/>
          </w:tcPr>
          <w:p w14:paraId="712AFF8C"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sink area</w:t>
            </w:r>
          </w:p>
        </w:tc>
        <w:tc>
          <w:tcPr>
            <w:tcW w:w="1276" w:type="dxa"/>
            <w:tcBorders>
              <w:top w:val="nil"/>
              <w:left w:val="nil"/>
              <w:bottom w:val="single" w:sz="8" w:space="0" w:color="auto"/>
              <w:right w:val="single" w:sz="4" w:space="0" w:color="auto"/>
            </w:tcBorders>
            <w:shd w:val="clear" w:color="auto" w:fill="auto"/>
            <w:noWrap/>
            <w:vAlign w:val="bottom"/>
            <w:hideMark/>
          </w:tcPr>
          <w:p w14:paraId="199A9346"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w:t>
            </w:r>
          </w:p>
        </w:tc>
        <w:tc>
          <w:tcPr>
            <w:tcW w:w="1134" w:type="dxa"/>
            <w:tcBorders>
              <w:top w:val="nil"/>
              <w:left w:val="nil"/>
              <w:bottom w:val="single" w:sz="8" w:space="0" w:color="auto"/>
              <w:right w:val="single" w:sz="4" w:space="0" w:color="auto"/>
            </w:tcBorders>
            <w:shd w:val="clear" w:color="auto" w:fill="auto"/>
            <w:noWrap/>
            <w:vAlign w:val="bottom"/>
            <w:hideMark/>
          </w:tcPr>
          <w:p w14:paraId="5A10B02E"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seafloor (SFR)</w:t>
            </w:r>
          </w:p>
        </w:tc>
        <w:tc>
          <w:tcPr>
            <w:tcW w:w="1276" w:type="dxa"/>
            <w:tcBorders>
              <w:top w:val="nil"/>
              <w:left w:val="nil"/>
              <w:bottom w:val="single" w:sz="8" w:space="0" w:color="auto"/>
              <w:right w:val="single" w:sz="4" w:space="0" w:color="auto"/>
            </w:tcBorders>
            <w:shd w:val="clear" w:color="auto" w:fill="auto"/>
            <w:noWrap/>
            <w:vAlign w:val="bottom"/>
            <w:hideMark/>
          </w:tcPr>
          <w:p w14:paraId="4D43C70D" w14:textId="77777777" w:rsidR="00CF393F" w:rsidRPr="00CF393F" w:rsidRDefault="00CF393F" w:rsidP="00CF393F">
            <w:pPr>
              <w:spacing w:line="240" w:lineRule="auto"/>
              <w:rPr>
                <w:rFonts w:ascii="Calibri" w:hAnsi="Calibri" w:cs="Calibri"/>
                <w:b/>
                <w:bCs/>
                <w:color w:val="000000"/>
                <w:sz w:val="16"/>
                <w:szCs w:val="16"/>
              </w:rPr>
            </w:pPr>
            <w:r w:rsidRPr="00CF393F">
              <w:rPr>
                <w:rFonts w:ascii="Calibri" w:hAnsi="Calibri" w:cs="Calibri"/>
                <w:b/>
                <w:bCs/>
                <w:color w:val="000000"/>
                <w:sz w:val="16"/>
                <w:szCs w:val="16"/>
              </w:rPr>
              <w:t>0.006</w:t>
            </w:r>
          </w:p>
        </w:tc>
      </w:tr>
      <w:tr w:rsidR="00CF393F" w:rsidRPr="00CF393F" w14:paraId="3BAAD492" w14:textId="77777777" w:rsidTr="00CF393F">
        <w:trPr>
          <w:trHeight w:val="340"/>
        </w:trPr>
        <w:tc>
          <w:tcPr>
            <w:tcW w:w="340" w:type="dxa"/>
            <w:tcBorders>
              <w:top w:val="nil"/>
              <w:left w:val="nil"/>
              <w:bottom w:val="nil"/>
              <w:right w:val="nil"/>
            </w:tcBorders>
            <w:shd w:val="clear" w:color="auto" w:fill="auto"/>
            <w:noWrap/>
            <w:vAlign w:val="bottom"/>
            <w:hideMark/>
          </w:tcPr>
          <w:p w14:paraId="4FFAF4D4" w14:textId="77777777" w:rsidR="00CF393F" w:rsidRPr="00CF393F" w:rsidRDefault="00CF393F" w:rsidP="00CF393F">
            <w:pPr>
              <w:spacing w:line="240" w:lineRule="auto"/>
              <w:rPr>
                <w:rFonts w:ascii="Calibri" w:hAnsi="Calibri" w:cs="Calibri"/>
                <w:b/>
                <w:bCs/>
                <w:color w:val="000000"/>
                <w:sz w:val="16"/>
                <w:szCs w:val="16"/>
              </w:rPr>
            </w:pPr>
            <w:r w:rsidRPr="00CF393F">
              <w:rPr>
                <w:rFonts w:ascii="Calibri" w:hAnsi="Calibri" w:cs="Calibri"/>
                <w:b/>
                <w:bCs/>
                <w:color w:val="000000"/>
                <w:sz w:val="16"/>
                <w:szCs w:val="16"/>
              </w:rPr>
              <w:t>g</w:t>
            </w:r>
          </w:p>
        </w:tc>
        <w:tc>
          <w:tcPr>
            <w:tcW w:w="1223" w:type="dxa"/>
            <w:tcBorders>
              <w:top w:val="nil"/>
              <w:left w:val="single" w:sz="4" w:space="0" w:color="auto"/>
              <w:bottom w:val="single" w:sz="8" w:space="0" w:color="auto"/>
              <w:right w:val="single" w:sz="4" w:space="0" w:color="auto"/>
            </w:tcBorders>
            <w:shd w:val="clear" w:color="auto" w:fill="auto"/>
            <w:noWrap/>
            <w:vAlign w:val="bottom"/>
            <w:hideMark/>
          </w:tcPr>
          <w:p w14:paraId="698F3EA8"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manual reconstruction</w:t>
            </w:r>
          </w:p>
        </w:tc>
        <w:tc>
          <w:tcPr>
            <w:tcW w:w="984" w:type="dxa"/>
            <w:tcBorders>
              <w:top w:val="nil"/>
              <w:left w:val="nil"/>
              <w:bottom w:val="single" w:sz="8" w:space="0" w:color="auto"/>
              <w:right w:val="single" w:sz="4" w:space="0" w:color="auto"/>
            </w:tcBorders>
            <w:shd w:val="clear" w:color="auto" w:fill="auto"/>
            <w:noWrap/>
            <w:vAlign w:val="bottom"/>
            <w:hideMark/>
          </w:tcPr>
          <w:p w14:paraId="3763A479" w14:textId="7FB15FE2" w:rsidR="00CF393F" w:rsidRPr="00CF393F" w:rsidRDefault="00CF393F" w:rsidP="00CF393F">
            <w:pPr>
              <w:spacing w:line="240" w:lineRule="auto"/>
              <w:rPr>
                <w:rFonts w:ascii="Calibri" w:hAnsi="Calibri" w:cs="Calibri"/>
                <w:color w:val="000000"/>
                <w:sz w:val="16"/>
                <w:szCs w:val="16"/>
              </w:rPr>
            </w:pPr>
            <w:r>
              <w:rPr>
                <w:rFonts w:ascii="Calibri" w:hAnsi="Calibri" w:cs="Calibri"/>
                <w:color w:val="000000"/>
                <w:sz w:val="16"/>
                <w:szCs w:val="16"/>
              </w:rPr>
              <w:t>-</w:t>
            </w:r>
          </w:p>
        </w:tc>
        <w:tc>
          <w:tcPr>
            <w:tcW w:w="1422" w:type="dxa"/>
            <w:tcBorders>
              <w:top w:val="nil"/>
              <w:left w:val="nil"/>
              <w:bottom w:val="single" w:sz="8" w:space="0" w:color="auto"/>
              <w:right w:val="single" w:sz="4" w:space="0" w:color="auto"/>
            </w:tcBorders>
            <w:shd w:val="clear" w:color="auto" w:fill="auto"/>
            <w:noWrap/>
            <w:vAlign w:val="center"/>
            <w:hideMark/>
          </w:tcPr>
          <w:p w14:paraId="04A98FF3" w14:textId="77777777" w:rsidR="00CF393F" w:rsidRPr="00CF393F" w:rsidRDefault="00CF393F" w:rsidP="00CF393F">
            <w:pPr>
              <w:spacing w:line="240" w:lineRule="auto"/>
              <w:jc w:val="right"/>
              <w:rPr>
                <w:rFonts w:ascii="Calibri" w:hAnsi="Calibri" w:cs="Calibri"/>
                <w:b/>
                <w:bCs/>
                <w:color w:val="000000"/>
                <w:sz w:val="16"/>
                <w:szCs w:val="16"/>
              </w:rPr>
            </w:pPr>
            <w:r w:rsidRPr="00CF393F">
              <w:rPr>
                <w:rFonts w:ascii="Calibri" w:hAnsi="Calibri" w:cs="Calibri"/>
                <w:b/>
                <w:bCs/>
                <w:color w:val="000000"/>
                <w:sz w:val="16"/>
                <w:szCs w:val="16"/>
              </w:rPr>
              <w:t>3</w:t>
            </w:r>
          </w:p>
        </w:tc>
        <w:tc>
          <w:tcPr>
            <w:tcW w:w="1134" w:type="dxa"/>
            <w:tcBorders>
              <w:top w:val="nil"/>
              <w:left w:val="nil"/>
              <w:bottom w:val="single" w:sz="8" w:space="0" w:color="auto"/>
              <w:right w:val="single" w:sz="4" w:space="0" w:color="auto"/>
            </w:tcBorders>
            <w:shd w:val="clear" w:color="auto" w:fill="auto"/>
            <w:noWrap/>
            <w:vAlign w:val="bottom"/>
            <w:hideMark/>
          </w:tcPr>
          <w:p w14:paraId="78041685"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source area</w:t>
            </w:r>
          </w:p>
        </w:tc>
        <w:tc>
          <w:tcPr>
            <w:tcW w:w="1276" w:type="dxa"/>
            <w:tcBorders>
              <w:top w:val="nil"/>
              <w:left w:val="nil"/>
              <w:bottom w:val="single" w:sz="8" w:space="0" w:color="auto"/>
              <w:right w:val="single" w:sz="4" w:space="0" w:color="auto"/>
            </w:tcBorders>
            <w:shd w:val="clear" w:color="auto" w:fill="auto"/>
            <w:noWrap/>
            <w:vAlign w:val="bottom"/>
            <w:hideMark/>
          </w:tcPr>
          <w:p w14:paraId="4FE0E3D4"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seafloor (SFR)</w:t>
            </w:r>
          </w:p>
        </w:tc>
        <w:tc>
          <w:tcPr>
            <w:tcW w:w="1134" w:type="dxa"/>
            <w:tcBorders>
              <w:top w:val="nil"/>
              <w:left w:val="nil"/>
              <w:bottom w:val="single" w:sz="8" w:space="0" w:color="auto"/>
              <w:right w:val="single" w:sz="4" w:space="0" w:color="auto"/>
            </w:tcBorders>
            <w:shd w:val="clear" w:color="auto" w:fill="auto"/>
            <w:noWrap/>
            <w:vAlign w:val="bottom"/>
            <w:hideMark/>
          </w:tcPr>
          <w:p w14:paraId="01910B12"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w:t>
            </w:r>
          </w:p>
        </w:tc>
        <w:tc>
          <w:tcPr>
            <w:tcW w:w="1276" w:type="dxa"/>
            <w:tcBorders>
              <w:top w:val="nil"/>
              <w:left w:val="nil"/>
              <w:bottom w:val="single" w:sz="8" w:space="0" w:color="auto"/>
              <w:right w:val="single" w:sz="4" w:space="0" w:color="auto"/>
            </w:tcBorders>
            <w:shd w:val="clear" w:color="auto" w:fill="auto"/>
            <w:noWrap/>
            <w:vAlign w:val="bottom"/>
            <w:hideMark/>
          </w:tcPr>
          <w:p w14:paraId="346256DB" w14:textId="77777777" w:rsidR="00CF393F" w:rsidRPr="00CF393F" w:rsidRDefault="00CF393F" w:rsidP="00CF393F">
            <w:pPr>
              <w:spacing w:line="240" w:lineRule="auto"/>
              <w:rPr>
                <w:rFonts w:ascii="Calibri" w:hAnsi="Calibri" w:cs="Calibri"/>
                <w:b/>
                <w:bCs/>
                <w:color w:val="000000"/>
                <w:sz w:val="16"/>
                <w:szCs w:val="16"/>
              </w:rPr>
            </w:pPr>
            <w:r w:rsidRPr="00CF393F">
              <w:rPr>
                <w:rFonts w:ascii="Calibri" w:hAnsi="Calibri" w:cs="Calibri"/>
                <w:b/>
                <w:bCs/>
                <w:color w:val="000000"/>
                <w:sz w:val="16"/>
                <w:szCs w:val="16"/>
              </w:rPr>
              <w:t>0.016</w:t>
            </w:r>
          </w:p>
        </w:tc>
      </w:tr>
      <w:tr w:rsidR="00CF393F" w:rsidRPr="00CF393F" w14:paraId="5A84C2D2" w14:textId="77777777" w:rsidTr="00CF393F">
        <w:trPr>
          <w:trHeight w:val="340"/>
        </w:trPr>
        <w:tc>
          <w:tcPr>
            <w:tcW w:w="340" w:type="dxa"/>
            <w:tcBorders>
              <w:top w:val="nil"/>
              <w:left w:val="nil"/>
              <w:bottom w:val="nil"/>
              <w:right w:val="nil"/>
            </w:tcBorders>
            <w:shd w:val="clear" w:color="auto" w:fill="auto"/>
            <w:noWrap/>
            <w:vAlign w:val="bottom"/>
            <w:hideMark/>
          </w:tcPr>
          <w:p w14:paraId="23A9AF2F" w14:textId="77777777" w:rsidR="00CF393F" w:rsidRPr="00CF393F" w:rsidRDefault="00CF393F" w:rsidP="00CF393F">
            <w:pPr>
              <w:spacing w:line="240" w:lineRule="auto"/>
              <w:rPr>
                <w:rFonts w:ascii="Calibri" w:hAnsi="Calibri" w:cs="Calibri"/>
                <w:b/>
                <w:bCs/>
                <w:color w:val="000000"/>
                <w:sz w:val="16"/>
                <w:szCs w:val="16"/>
              </w:rPr>
            </w:pPr>
            <w:r w:rsidRPr="00CF393F">
              <w:rPr>
                <w:rFonts w:ascii="Calibri" w:hAnsi="Calibri" w:cs="Calibri"/>
                <w:b/>
                <w:bCs/>
                <w:color w:val="000000"/>
                <w:sz w:val="16"/>
                <w:szCs w:val="16"/>
              </w:rPr>
              <w:t>h</w:t>
            </w:r>
          </w:p>
        </w:tc>
        <w:tc>
          <w:tcPr>
            <w:tcW w:w="1223" w:type="dxa"/>
            <w:tcBorders>
              <w:top w:val="nil"/>
              <w:left w:val="single" w:sz="4" w:space="0" w:color="auto"/>
              <w:bottom w:val="single" w:sz="8" w:space="0" w:color="auto"/>
              <w:right w:val="single" w:sz="4" w:space="0" w:color="auto"/>
            </w:tcBorders>
            <w:shd w:val="clear" w:color="auto" w:fill="auto"/>
            <w:noWrap/>
            <w:vAlign w:val="bottom"/>
            <w:hideMark/>
          </w:tcPr>
          <w:p w14:paraId="3FB25A77"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horizon-flattening</w:t>
            </w:r>
          </w:p>
        </w:tc>
        <w:tc>
          <w:tcPr>
            <w:tcW w:w="984" w:type="dxa"/>
            <w:tcBorders>
              <w:top w:val="nil"/>
              <w:left w:val="nil"/>
              <w:bottom w:val="single" w:sz="8" w:space="0" w:color="auto"/>
              <w:right w:val="single" w:sz="4" w:space="0" w:color="auto"/>
            </w:tcBorders>
            <w:shd w:val="clear" w:color="auto" w:fill="auto"/>
            <w:noWrap/>
            <w:vAlign w:val="bottom"/>
            <w:hideMark/>
          </w:tcPr>
          <w:p w14:paraId="38457081" w14:textId="0EE4EEFF" w:rsidR="00CF393F" w:rsidRPr="00CF393F" w:rsidRDefault="00CF393F" w:rsidP="00CF393F">
            <w:pPr>
              <w:spacing w:line="240" w:lineRule="auto"/>
              <w:rPr>
                <w:rFonts w:ascii="Calibri" w:hAnsi="Calibri" w:cs="Calibri"/>
                <w:color w:val="000000"/>
                <w:sz w:val="16"/>
                <w:szCs w:val="16"/>
              </w:rPr>
            </w:pPr>
            <w:r>
              <w:rPr>
                <w:rFonts w:ascii="Calibri" w:hAnsi="Calibri" w:cs="Calibri"/>
                <w:color w:val="000000"/>
                <w:sz w:val="16"/>
                <w:szCs w:val="16"/>
              </w:rPr>
              <w:t>-</w:t>
            </w:r>
          </w:p>
        </w:tc>
        <w:tc>
          <w:tcPr>
            <w:tcW w:w="1422" w:type="dxa"/>
            <w:tcBorders>
              <w:top w:val="nil"/>
              <w:left w:val="nil"/>
              <w:bottom w:val="single" w:sz="8" w:space="0" w:color="auto"/>
              <w:right w:val="single" w:sz="4" w:space="0" w:color="auto"/>
            </w:tcBorders>
            <w:shd w:val="clear" w:color="auto" w:fill="auto"/>
            <w:noWrap/>
            <w:vAlign w:val="center"/>
            <w:hideMark/>
          </w:tcPr>
          <w:p w14:paraId="5AF9E692" w14:textId="77777777" w:rsidR="00CF393F" w:rsidRPr="00CF393F" w:rsidRDefault="00CF393F" w:rsidP="00CF393F">
            <w:pPr>
              <w:spacing w:line="240" w:lineRule="auto"/>
              <w:jc w:val="right"/>
              <w:rPr>
                <w:rFonts w:ascii="Calibri" w:hAnsi="Calibri" w:cs="Calibri"/>
                <w:b/>
                <w:bCs/>
                <w:color w:val="000000"/>
                <w:sz w:val="16"/>
                <w:szCs w:val="16"/>
              </w:rPr>
            </w:pPr>
            <w:r w:rsidRPr="00CF393F">
              <w:rPr>
                <w:rFonts w:ascii="Calibri" w:hAnsi="Calibri" w:cs="Calibri"/>
                <w:b/>
                <w:bCs/>
                <w:color w:val="000000"/>
                <w:sz w:val="16"/>
                <w:szCs w:val="16"/>
              </w:rPr>
              <w:t>4 and 5</w:t>
            </w:r>
          </w:p>
        </w:tc>
        <w:tc>
          <w:tcPr>
            <w:tcW w:w="1134" w:type="dxa"/>
            <w:tcBorders>
              <w:top w:val="nil"/>
              <w:left w:val="nil"/>
              <w:bottom w:val="single" w:sz="8" w:space="0" w:color="auto"/>
              <w:right w:val="single" w:sz="4" w:space="0" w:color="auto"/>
            </w:tcBorders>
            <w:shd w:val="clear" w:color="auto" w:fill="auto"/>
            <w:noWrap/>
            <w:vAlign w:val="bottom"/>
            <w:hideMark/>
          </w:tcPr>
          <w:p w14:paraId="400F437C"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sink area</w:t>
            </w:r>
          </w:p>
        </w:tc>
        <w:tc>
          <w:tcPr>
            <w:tcW w:w="1276" w:type="dxa"/>
            <w:tcBorders>
              <w:top w:val="nil"/>
              <w:left w:val="nil"/>
              <w:bottom w:val="single" w:sz="8" w:space="0" w:color="auto"/>
              <w:right w:val="single" w:sz="4" w:space="0" w:color="auto"/>
            </w:tcBorders>
            <w:shd w:val="clear" w:color="auto" w:fill="auto"/>
            <w:noWrap/>
            <w:vAlign w:val="bottom"/>
            <w:hideMark/>
          </w:tcPr>
          <w:p w14:paraId="249CBAB9"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w:t>
            </w:r>
          </w:p>
        </w:tc>
        <w:tc>
          <w:tcPr>
            <w:tcW w:w="1134" w:type="dxa"/>
            <w:tcBorders>
              <w:top w:val="nil"/>
              <w:left w:val="nil"/>
              <w:bottom w:val="single" w:sz="8" w:space="0" w:color="auto"/>
              <w:right w:val="single" w:sz="4" w:space="0" w:color="auto"/>
            </w:tcBorders>
            <w:shd w:val="clear" w:color="auto" w:fill="auto"/>
            <w:noWrap/>
            <w:vAlign w:val="bottom"/>
            <w:hideMark/>
          </w:tcPr>
          <w:p w14:paraId="2BB41A68"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seafloor (SFR)</w:t>
            </w:r>
          </w:p>
        </w:tc>
        <w:tc>
          <w:tcPr>
            <w:tcW w:w="1276" w:type="dxa"/>
            <w:tcBorders>
              <w:top w:val="nil"/>
              <w:left w:val="nil"/>
              <w:bottom w:val="single" w:sz="8" w:space="0" w:color="auto"/>
              <w:right w:val="single" w:sz="4" w:space="0" w:color="auto"/>
            </w:tcBorders>
            <w:shd w:val="clear" w:color="auto" w:fill="auto"/>
            <w:noWrap/>
            <w:vAlign w:val="bottom"/>
            <w:hideMark/>
          </w:tcPr>
          <w:p w14:paraId="3765E165" w14:textId="77777777" w:rsidR="00CF393F" w:rsidRPr="00CF393F" w:rsidRDefault="00CF393F" w:rsidP="00CF393F">
            <w:pPr>
              <w:spacing w:line="240" w:lineRule="auto"/>
              <w:rPr>
                <w:rFonts w:ascii="Calibri" w:hAnsi="Calibri" w:cs="Calibri"/>
                <w:b/>
                <w:bCs/>
                <w:color w:val="000000"/>
                <w:sz w:val="16"/>
                <w:szCs w:val="16"/>
              </w:rPr>
            </w:pPr>
            <w:r w:rsidRPr="00CF393F">
              <w:rPr>
                <w:rFonts w:ascii="Calibri" w:hAnsi="Calibri" w:cs="Calibri"/>
                <w:b/>
                <w:bCs/>
                <w:color w:val="000000"/>
                <w:sz w:val="16"/>
                <w:szCs w:val="16"/>
              </w:rPr>
              <w:t>0.016</w:t>
            </w:r>
          </w:p>
        </w:tc>
      </w:tr>
      <w:tr w:rsidR="00CF393F" w:rsidRPr="00CF393F" w14:paraId="7464B708" w14:textId="77777777" w:rsidTr="00CF393F">
        <w:trPr>
          <w:trHeight w:val="320"/>
        </w:trPr>
        <w:tc>
          <w:tcPr>
            <w:tcW w:w="340" w:type="dxa"/>
            <w:tcBorders>
              <w:top w:val="nil"/>
              <w:left w:val="nil"/>
              <w:bottom w:val="nil"/>
              <w:right w:val="nil"/>
            </w:tcBorders>
            <w:shd w:val="clear" w:color="auto" w:fill="auto"/>
            <w:noWrap/>
            <w:vAlign w:val="bottom"/>
            <w:hideMark/>
          </w:tcPr>
          <w:p w14:paraId="3232D80B" w14:textId="77777777" w:rsidR="00CF393F" w:rsidRPr="00CF393F" w:rsidRDefault="00CF393F" w:rsidP="00CF393F">
            <w:pPr>
              <w:spacing w:line="240" w:lineRule="auto"/>
              <w:rPr>
                <w:rFonts w:ascii="Calibri" w:hAnsi="Calibri" w:cs="Calibri"/>
                <w:b/>
                <w:bCs/>
                <w:color w:val="000000"/>
                <w:sz w:val="16"/>
                <w:szCs w:val="16"/>
              </w:rPr>
            </w:pPr>
            <w:proofErr w:type="spellStart"/>
            <w:r w:rsidRPr="00CF393F">
              <w:rPr>
                <w:rFonts w:ascii="Calibri" w:hAnsi="Calibri" w:cs="Calibri"/>
                <w:b/>
                <w:bCs/>
                <w:color w:val="000000"/>
                <w:sz w:val="16"/>
                <w:szCs w:val="16"/>
              </w:rPr>
              <w:t>i</w:t>
            </w:r>
            <w:proofErr w:type="spellEnd"/>
          </w:p>
        </w:tc>
        <w:tc>
          <w:tcPr>
            <w:tcW w:w="1223" w:type="dxa"/>
            <w:tcBorders>
              <w:top w:val="nil"/>
              <w:left w:val="single" w:sz="4" w:space="0" w:color="auto"/>
              <w:bottom w:val="single" w:sz="4" w:space="0" w:color="auto"/>
              <w:right w:val="single" w:sz="4" w:space="0" w:color="auto"/>
            </w:tcBorders>
            <w:shd w:val="clear" w:color="auto" w:fill="auto"/>
            <w:noWrap/>
            <w:vAlign w:val="bottom"/>
            <w:hideMark/>
          </w:tcPr>
          <w:p w14:paraId="6396EB18"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manual reconstruction</w:t>
            </w:r>
          </w:p>
        </w:tc>
        <w:tc>
          <w:tcPr>
            <w:tcW w:w="984" w:type="dxa"/>
            <w:tcBorders>
              <w:top w:val="nil"/>
              <w:left w:val="nil"/>
              <w:bottom w:val="single" w:sz="4" w:space="0" w:color="auto"/>
              <w:right w:val="single" w:sz="4" w:space="0" w:color="auto"/>
            </w:tcBorders>
            <w:shd w:val="clear" w:color="auto" w:fill="auto"/>
            <w:noWrap/>
            <w:vAlign w:val="bottom"/>
            <w:hideMark/>
          </w:tcPr>
          <w:p w14:paraId="2FC5F467" w14:textId="33B3AC47" w:rsidR="00CF393F" w:rsidRPr="00CF393F" w:rsidRDefault="00CF393F" w:rsidP="00CF393F">
            <w:pPr>
              <w:spacing w:line="240" w:lineRule="auto"/>
              <w:rPr>
                <w:rFonts w:ascii="Calibri" w:hAnsi="Calibri" w:cs="Calibri"/>
                <w:color w:val="000000"/>
                <w:sz w:val="16"/>
                <w:szCs w:val="16"/>
              </w:rPr>
            </w:pPr>
            <w:r>
              <w:rPr>
                <w:rFonts w:ascii="Calibri" w:hAnsi="Calibri" w:cs="Calibri"/>
                <w:color w:val="000000"/>
                <w:sz w:val="16"/>
                <w:szCs w:val="16"/>
              </w:rPr>
              <w:t>-</w:t>
            </w:r>
          </w:p>
        </w:tc>
        <w:tc>
          <w:tcPr>
            <w:tcW w:w="1422" w:type="dxa"/>
            <w:tcBorders>
              <w:top w:val="nil"/>
              <w:left w:val="nil"/>
              <w:bottom w:val="single" w:sz="4" w:space="0" w:color="auto"/>
              <w:right w:val="single" w:sz="4" w:space="0" w:color="auto"/>
            </w:tcBorders>
            <w:shd w:val="clear" w:color="auto" w:fill="auto"/>
            <w:noWrap/>
            <w:vAlign w:val="center"/>
            <w:hideMark/>
          </w:tcPr>
          <w:p w14:paraId="583DD07C" w14:textId="09C55247" w:rsidR="00CF393F" w:rsidRPr="00CF393F" w:rsidRDefault="00CF393F" w:rsidP="00CF393F">
            <w:pPr>
              <w:spacing w:line="240" w:lineRule="auto"/>
              <w:jc w:val="right"/>
              <w:rPr>
                <w:rFonts w:ascii="Calibri" w:hAnsi="Calibri" w:cs="Calibri"/>
                <w:b/>
                <w:bCs/>
                <w:color w:val="000000"/>
                <w:sz w:val="16"/>
                <w:szCs w:val="16"/>
              </w:rPr>
            </w:pPr>
            <w:r>
              <w:rPr>
                <w:rFonts w:ascii="Calibri" w:hAnsi="Calibri" w:cs="Calibri"/>
                <w:b/>
                <w:bCs/>
                <w:color w:val="000000"/>
                <w:sz w:val="16"/>
                <w:szCs w:val="16"/>
              </w:rPr>
              <w:t>-</w:t>
            </w:r>
            <w:r w:rsidRPr="00CF393F">
              <w:rPr>
                <w:rFonts w:ascii="Calibri" w:hAnsi="Calibri" w:cs="Calibri"/>
                <w:b/>
                <w:bCs/>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5674004F"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source area</w:t>
            </w:r>
          </w:p>
        </w:tc>
        <w:tc>
          <w:tcPr>
            <w:tcW w:w="1276" w:type="dxa"/>
            <w:tcBorders>
              <w:top w:val="nil"/>
              <w:left w:val="nil"/>
              <w:bottom w:val="single" w:sz="4" w:space="0" w:color="auto"/>
              <w:right w:val="single" w:sz="4" w:space="0" w:color="auto"/>
            </w:tcBorders>
            <w:shd w:val="clear" w:color="auto" w:fill="auto"/>
            <w:noWrap/>
            <w:vAlign w:val="bottom"/>
            <w:hideMark/>
          </w:tcPr>
          <w:p w14:paraId="3B3CB9AE"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reference (Ref)</w:t>
            </w:r>
          </w:p>
        </w:tc>
        <w:tc>
          <w:tcPr>
            <w:tcW w:w="1134" w:type="dxa"/>
            <w:tcBorders>
              <w:top w:val="nil"/>
              <w:left w:val="nil"/>
              <w:bottom w:val="single" w:sz="4" w:space="0" w:color="auto"/>
              <w:right w:val="nil"/>
            </w:tcBorders>
            <w:shd w:val="clear" w:color="auto" w:fill="auto"/>
            <w:noWrap/>
            <w:vAlign w:val="bottom"/>
            <w:hideMark/>
          </w:tcPr>
          <w:p w14:paraId="23AC2007" w14:textId="6C46BF09"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manual reconstruction</w:t>
            </w:r>
          </w:p>
        </w:tc>
        <w:tc>
          <w:tcPr>
            <w:tcW w:w="1276" w:type="dxa"/>
            <w:tcBorders>
              <w:top w:val="nil"/>
              <w:left w:val="single" w:sz="8" w:space="0" w:color="auto"/>
              <w:bottom w:val="single" w:sz="4" w:space="0" w:color="auto"/>
              <w:right w:val="single" w:sz="8" w:space="0" w:color="auto"/>
            </w:tcBorders>
            <w:shd w:val="clear" w:color="auto" w:fill="auto"/>
            <w:noWrap/>
            <w:vAlign w:val="bottom"/>
            <w:hideMark/>
          </w:tcPr>
          <w:p w14:paraId="1D5581E4" w14:textId="77777777" w:rsidR="00CF393F" w:rsidRPr="00CF393F" w:rsidRDefault="00CF393F" w:rsidP="00CF393F">
            <w:pPr>
              <w:spacing w:line="240" w:lineRule="auto"/>
              <w:rPr>
                <w:rFonts w:ascii="Calibri" w:hAnsi="Calibri" w:cs="Calibri"/>
                <w:b/>
                <w:bCs/>
                <w:color w:val="000000"/>
                <w:sz w:val="16"/>
                <w:szCs w:val="16"/>
              </w:rPr>
            </w:pPr>
            <w:r w:rsidRPr="00CF393F">
              <w:rPr>
                <w:rFonts w:ascii="Calibri" w:hAnsi="Calibri" w:cs="Calibri"/>
                <w:b/>
                <w:bCs/>
                <w:color w:val="000000"/>
                <w:sz w:val="16"/>
                <w:szCs w:val="16"/>
              </w:rPr>
              <w:t>0.040</w:t>
            </w:r>
          </w:p>
        </w:tc>
      </w:tr>
      <w:tr w:rsidR="00CF393F" w:rsidRPr="00CF393F" w14:paraId="44F11BE4" w14:textId="77777777" w:rsidTr="00CF393F">
        <w:trPr>
          <w:trHeight w:val="320"/>
        </w:trPr>
        <w:tc>
          <w:tcPr>
            <w:tcW w:w="340" w:type="dxa"/>
            <w:tcBorders>
              <w:top w:val="nil"/>
              <w:left w:val="nil"/>
              <w:bottom w:val="nil"/>
              <w:right w:val="nil"/>
            </w:tcBorders>
            <w:shd w:val="clear" w:color="auto" w:fill="auto"/>
            <w:noWrap/>
            <w:vAlign w:val="bottom"/>
            <w:hideMark/>
          </w:tcPr>
          <w:p w14:paraId="56CE9861" w14:textId="77777777" w:rsidR="00CF393F" w:rsidRPr="00CF393F" w:rsidRDefault="00CF393F" w:rsidP="00CF393F">
            <w:pPr>
              <w:spacing w:line="240" w:lineRule="auto"/>
              <w:rPr>
                <w:rFonts w:ascii="Calibri" w:hAnsi="Calibri" w:cs="Calibri"/>
                <w:b/>
                <w:bCs/>
                <w:color w:val="000000"/>
                <w:sz w:val="16"/>
                <w:szCs w:val="16"/>
              </w:rPr>
            </w:pPr>
            <w:r w:rsidRPr="00CF393F">
              <w:rPr>
                <w:rFonts w:ascii="Calibri" w:hAnsi="Calibri" w:cs="Calibri"/>
                <w:b/>
                <w:bCs/>
                <w:color w:val="000000"/>
                <w:sz w:val="16"/>
                <w:szCs w:val="16"/>
              </w:rPr>
              <w:t>j</w:t>
            </w:r>
          </w:p>
        </w:tc>
        <w:tc>
          <w:tcPr>
            <w:tcW w:w="1223" w:type="dxa"/>
            <w:tcBorders>
              <w:top w:val="nil"/>
              <w:left w:val="single" w:sz="4" w:space="0" w:color="auto"/>
              <w:bottom w:val="single" w:sz="4" w:space="0" w:color="auto"/>
              <w:right w:val="single" w:sz="4" w:space="0" w:color="auto"/>
            </w:tcBorders>
            <w:shd w:val="clear" w:color="auto" w:fill="auto"/>
            <w:noWrap/>
            <w:vAlign w:val="bottom"/>
            <w:hideMark/>
          </w:tcPr>
          <w:p w14:paraId="4EB89F6C"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seafloor (SFR)</w:t>
            </w:r>
          </w:p>
        </w:tc>
        <w:tc>
          <w:tcPr>
            <w:tcW w:w="984" w:type="dxa"/>
            <w:tcBorders>
              <w:top w:val="nil"/>
              <w:left w:val="nil"/>
              <w:bottom w:val="single" w:sz="4" w:space="0" w:color="auto"/>
              <w:right w:val="single" w:sz="4" w:space="0" w:color="auto"/>
            </w:tcBorders>
            <w:shd w:val="clear" w:color="auto" w:fill="auto"/>
            <w:noWrap/>
            <w:vAlign w:val="bottom"/>
            <w:hideMark/>
          </w:tcPr>
          <w:p w14:paraId="1BC8D870" w14:textId="0DECFAB1" w:rsidR="00CF393F" w:rsidRPr="00CF393F" w:rsidRDefault="00CF393F" w:rsidP="00CF393F">
            <w:pPr>
              <w:spacing w:line="240" w:lineRule="auto"/>
              <w:rPr>
                <w:rFonts w:ascii="Calibri" w:hAnsi="Calibri" w:cs="Calibri"/>
                <w:color w:val="000000"/>
                <w:sz w:val="16"/>
                <w:szCs w:val="16"/>
              </w:rPr>
            </w:pPr>
            <w:r>
              <w:rPr>
                <w:rFonts w:ascii="Calibri" w:hAnsi="Calibri" w:cs="Calibri"/>
                <w:color w:val="000000"/>
                <w:sz w:val="16"/>
                <w:szCs w:val="16"/>
              </w:rPr>
              <w:t>-</w:t>
            </w:r>
            <w:r w:rsidRPr="00CF393F">
              <w:rPr>
                <w:rFonts w:ascii="Calibri" w:hAnsi="Calibri" w:cs="Calibri"/>
                <w:color w:val="000000"/>
                <w:sz w:val="16"/>
                <w:szCs w:val="16"/>
              </w:rPr>
              <w:t> </w:t>
            </w:r>
          </w:p>
        </w:tc>
        <w:tc>
          <w:tcPr>
            <w:tcW w:w="1422" w:type="dxa"/>
            <w:tcBorders>
              <w:top w:val="nil"/>
              <w:left w:val="nil"/>
              <w:bottom w:val="single" w:sz="4" w:space="0" w:color="auto"/>
              <w:right w:val="single" w:sz="4" w:space="0" w:color="auto"/>
            </w:tcBorders>
            <w:shd w:val="clear" w:color="auto" w:fill="auto"/>
            <w:noWrap/>
            <w:vAlign w:val="center"/>
            <w:hideMark/>
          </w:tcPr>
          <w:p w14:paraId="0324113D" w14:textId="71F235B9" w:rsidR="00CF393F" w:rsidRPr="00CF393F" w:rsidRDefault="00CF393F" w:rsidP="00CF393F">
            <w:pPr>
              <w:spacing w:line="240" w:lineRule="auto"/>
              <w:jc w:val="right"/>
              <w:rPr>
                <w:rFonts w:ascii="Calibri" w:hAnsi="Calibri" w:cs="Calibri"/>
                <w:b/>
                <w:bCs/>
                <w:color w:val="000000"/>
                <w:sz w:val="16"/>
                <w:szCs w:val="16"/>
              </w:rPr>
            </w:pPr>
            <w:r>
              <w:rPr>
                <w:rFonts w:ascii="Calibri" w:hAnsi="Calibri" w:cs="Calibri"/>
                <w:b/>
                <w:bCs/>
                <w:color w:val="000000"/>
                <w:sz w:val="16"/>
                <w:szCs w:val="16"/>
              </w:rPr>
              <w:t>-</w:t>
            </w:r>
            <w:r w:rsidRPr="00CF393F">
              <w:rPr>
                <w:rFonts w:ascii="Calibri" w:hAnsi="Calibri" w:cs="Calibri"/>
                <w:b/>
                <w:bCs/>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19B60EC1"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by-pass zone</w:t>
            </w:r>
          </w:p>
        </w:tc>
        <w:tc>
          <w:tcPr>
            <w:tcW w:w="1276" w:type="dxa"/>
            <w:tcBorders>
              <w:top w:val="nil"/>
              <w:left w:val="nil"/>
              <w:bottom w:val="single" w:sz="4" w:space="0" w:color="auto"/>
              <w:right w:val="single" w:sz="4" w:space="0" w:color="auto"/>
            </w:tcBorders>
            <w:shd w:val="clear" w:color="auto" w:fill="auto"/>
            <w:noWrap/>
            <w:vAlign w:val="bottom"/>
            <w:hideMark/>
          </w:tcPr>
          <w:p w14:paraId="7860C16D"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reference (Ref)</w:t>
            </w:r>
          </w:p>
        </w:tc>
        <w:tc>
          <w:tcPr>
            <w:tcW w:w="1134" w:type="dxa"/>
            <w:tcBorders>
              <w:top w:val="nil"/>
              <w:left w:val="nil"/>
              <w:bottom w:val="single" w:sz="4" w:space="0" w:color="auto"/>
              <w:right w:val="nil"/>
            </w:tcBorders>
            <w:shd w:val="clear" w:color="auto" w:fill="auto"/>
            <w:noWrap/>
            <w:vAlign w:val="bottom"/>
            <w:hideMark/>
          </w:tcPr>
          <w:p w14:paraId="32E97619"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seafloor (SFR)</w:t>
            </w:r>
          </w:p>
        </w:tc>
        <w:tc>
          <w:tcPr>
            <w:tcW w:w="1276" w:type="dxa"/>
            <w:tcBorders>
              <w:top w:val="nil"/>
              <w:left w:val="single" w:sz="8" w:space="0" w:color="auto"/>
              <w:bottom w:val="single" w:sz="4" w:space="0" w:color="auto"/>
              <w:right w:val="single" w:sz="8" w:space="0" w:color="auto"/>
            </w:tcBorders>
            <w:shd w:val="clear" w:color="auto" w:fill="auto"/>
            <w:noWrap/>
            <w:vAlign w:val="bottom"/>
            <w:hideMark/>
          </w:tcPr>
          <w:p w14:paraId="41646E88" w14:textId="77777777" w:rsidR="00CF393F" w:rsidRPr="00CF393F" w:rsidRDefault="00CF393F" w:rsidP="00CF393F">
            <w:pPr>
              <w:spacing w:line="240" w:lineRule="auto"/>
              <w:rPr>
                <w:rFonts w:ascii="Calibri" w:hAnsi="Calibri" w:cs="Calibri"/>
                <w:b/>
                <w:bCs/>
                <w:color w:val="000000"/>
                <w:sz w:val="16"/>
                <w:szCs w:val="16"/>
              </w:rPr>
            </w:pPr>
            <w:r w:rsidRPr="00CF393F">
              <w:rPr>
                <w:rFonts w:ascii="Calibri" w:hAnsi="Calibri" w:cs="Calibri"/>
                <w:b/>
                <w:bCs/>
                <w:color w:val="000000"/>
                <w:sz w:val="16"/>
                <w:szCs w:val="16"/>
              </w:rPr>
              <w:t>0.012</w:t>
            </w:r>
          </w:p>
        </w:tc>
      </w:tr>
      <w:tr w:rsidR="00CF393F" w:rsidRPr="00CF393F" w14:paraId="42A4D3AF" w14:textId="77777777" w:rsidTr="00CF393F">
        <w:trPr>
          <w:trHeight w:val="340"/>
        </w:trPr>
        <w:tc>
          <w:tcPr>
            <w:tcW w:w="340" w:type="dxa"/>
            <w:tcBorders>
              <w:top w:val="nil"/>
              <w:left w:val="nil"/>
              <w:bottom w:val="nil"/>
              <w:right w:val="nil"/>
            </w:tcBorders>
            <w:shd w:val="clear" w:color="auto" w:fill="auto"/>
            <w:noWrap/>
            <w:vAlign w:val="bottom"/>
            <w:hideMark/>
          </w:tcPr>
          <w:p w14:paraId="70C7D46A" w14:textId="77777777" w:rsidR="00CF393F" w:rsidRPr="00CF393F" w:rsidRDefault="00CF393F" w:rsidP="00CF393F">
            <w:pPr>
              <w:spacing w:line="240" w:lineRule="auto"/>
              <w:rPr>
                <w:rFonts w:ascii="Calibri" w:hAnsi="Calibri" w:cs="Calibri"/>
                <w:b/>
                <w:bCs/>
                <w:color w:val="000000"/>
                <w:sz w:val="16"/>
                <w:szCs w:val="16"/>
              </w:rPr>
            </w:pPr>
            <w:r w:rsidRPr="00CF393F">
              <w:rPr>
                <w:rFonts w:ascii="Calibri" w:hAnsi="Calibri" w:cs="Calibri"/>
                <w:b/>
                <w:bCs/>
                <w:color w:val="000000"/>
                <w:sz w:val="16"/>
                <w:szCs w:val="16"/>
              </w:rPr>
              <w:t>k</w:t>
            </w:r>
          </w:p>
        </w:tc>
        <w:tc>
          <w:tcPr>
            <w:tcW w:w="1223" w:type="dxa"/>
            <w:tcBorders>
              <w:top w:val="nil"/>
              <w:left w:val="single" w:sz="4" w:space="0" w:color="auto"/>
              <w:bottom w:val="single" w:sz="8" w:space="0" w:color="auto"/>
              <w:right w:val="single" w:sz="4" w:space="0" w:color="auto"/>
            </w:tcBorders>
            <w:shd w:val="clear" w:color="auto" w:fill="auto"/>
            <w:noWrap/>
            <w:vAlign w:val="bottom"/>
            <w:hideMark/>
          </w:tcPr>
          <w:p w14:paraId="3D2CD780"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horizon-flattening</w:t>
            </w:r>
          </w:p>
        </w:tc>
        <w:tc>
          <w:tcPr>
            <w:tcW w:w="984" w:type="dxa"/>
            <w:tcBorders>
              <w:top w:val="nil"/>
              <w:left w:val="nil"/>
              <w:bottom w:val="single" w:sz="8" w:space="0" w:color="auto"/>
              <w:right w:val="single" w:sz="4" w:space="0" w:color="auto"/>
            </w:tcBorders>
            <w:shd w:val="clear" w:color="auto" w:fill="auto"/>
            <w:noWrap/>
            <w:vAlign w:val="bottom"/>
            <w:hideMark/>
          </w:tcPr>
          <w:p w14:paraId="7C54200A" w14:textId="575A0661" w:rsidR="00CF393F" w:rsidRPr="00CF393F" w:rsidRDefault="00CF393F" w:rsidP="00CF393F">
            <w:pPr>
              <w:spacing w:line="240" w:lineRule="auto"/>
              <w:rPr>
                <w:rFonts w:ascii="Calibri" w:hAnsi="Calibri" w:cs="Calibri"/>
                <w:color w:val="000000"/>
                <w:sz w:val="16"/>
                <w:szCs w:val="16"/>
              </w:rPr>
            </w:pPr>
            <w:r>
              <w:rPr>
                <w:rFonts w:ascii="Calibri" w:hAnsi="Calibri" w:cs="Calibri"/>
                <w:color w:val="000000"/>
                <w:sz w:val="16"/>
                <w:szCs w:val="16"/>
              </w:rPr>
              <w:t>-</w:t>
            </w:r>
          </w:p>
        </w:tc>
        <w:tc>
          <w:tcPr>
            <w:tcW w:w="1422" w:type="dxa"/>
            <w:tcBorders>
              <w:top w:val="nil"/>
              <w:left w:val="nil"/>
              <w:bottom w:val="single" w:sz="8" w:space="0" w:color="auto"/>
              <w:right w:val="single" w:sz="4" w:space="0" w:color="auto"/>
            </w:tcBorders>
            <w:shd w:val="clear" w:color="auto" w:fill="auto"/>
            <w:noWrap/>
            <w:vAlign w:val="center"/>
            <w:hideMark/>
          </w:tcPr>
          <w:p w14:paraId="425E17F8" w14:textId="7403E26E" w:rsidR="00CF393F" w:rsidRPr="00CF393F" w:rsidRDefault="00CF393F" w:rsidP="00CF393F">
            <w:pPr>
              <w:spacing w:line="240" w:lineRule="auto"/>
              <w:jc w:val="right"/>
              <w:rPr>
                <w:rFonts w:ascii="Calibri" w:hAnsi="Calibri" w:cs="Calibri"/>
                <w:b/>
                <w:bCs/>
                <w:color w:val="000000"/>
                <w:sz w:val="16"/>
                <w:szCs w:val="16"/>
              </w:rPr>
            </w:pPr>
            <w:r>
              <w:rPr>
                <w:rFonts w:ascii="Calibri" w:hAnsi="Calibri" w:cs="Calibri"/>
                <w:b/>
                <w:bCs/>
                <w:color w:val="000000"/>
                <w:sz w:val="16"/>
                <w:szCs w:val="16"/>
              </w:rPr>
              <w:t>-</w:t>
            </w:r>
            <w:r w:rsidRPr="00CF393F">
              <w:rPr>
                <w:rFonts w:ascii="Calibri" w:hAnsi="Calibri" w:cs="Calibri"/>
                <w:b/>
                <w:bCs/>
                <w:color w:val="000000"/>
                <w:sz w:val="16"/>
                <w:szCs w:val="16"/>
              </w:rPr>
              <w:t> </w:t>
            </w:r>
          </w:p>
        </w:tc>
        <w:tc>
          <w:tcPr>
            <w:tcW w:w="1134" w:type="dxa"/>
            <w:tcBorders>
              <w:top w:val="nil"/>
              <w:left w:val="nil"/>
              <w:bottom w:val="single" w:sz="8" w:space="0" w:color="auto"/>
              <w:right w:val="single" w:sz="4" w:space="0" w:color="auto"/>
            </w:tcBorders>
            <w:shd w:val="clear" w:color="auto" w:fill="auto"/>
            <w:noWrap/>
            <w:vAlign w:val="bottom"/>
            <w:hideMark/>
          </w:tcPr>
          <w:p w14:paraId="2ECA5425"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sink area</w:t>
            </w:r>
          </w:p>
        </w:tc>
        <w:tc>
          <w:tcPr>
            <w:tcW w:w="1276" w:type="dxa"/>
            <w:tcBorders>
              <w:top w:val="nil"/>
              <w:left w:val="nil"/>
              <w:bottom w:val="single" w:sz="8" w:space="0" w:color="auto"/>
              <w:right w:val="single" w:sz="4" w:space="0" w:color="auto"/>
            </w:tcBorders>
            <w:shd w:val="clear" w:color="auto" w:fill="auto"/>
            <w:noWrap/>
            <w:vAlign w:val="bottom"/>
            <w:hideMark/>
          </w:tcPr>
          <w:p w14:paraId="230ADB1F"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reference (Ref)</w:t>
            </w:r>
          </w:p>
        </w:tc>
        <w:tc>
          <w:tcPr>
            <w:tcW w:w="1134" w:type="dxa"/>
            <w:tcBorders>
              <w:top w:val="nil"/>
              <w:left w:val="nil"/>
              <w:bottom w:val="single" w:sz="8" w:space="0" w:color="auto"/>
              <w:right w:val="single" w:sz="8" w:space="0" w:color="auto"/>
            </w:tcBorders>
            <w:shd w:val="clear" w:color="auto" w:fill="auto"/>
            <w:noWrap/>
            <w:vAlign w:val="bottom"/>
            <w:hideMark/>
          </w:tcPr>
          <w:p w14:paraId="7284F945" w14:textId="77777777" w:rsidR="00CF393F" w:rsidRPr="00CF393F" w:rsidRDefault="00CF393F" w:rsidP="00CF393F">
            <w:pPr>
              <w:spacing w:line="240" w:lineRule="auto"/>
              <w:rPr>
                <w:rFonts w:ascii="Calibri" w:hAnsi="Calibri" w:cs="Calibri"/>
                <w:color w:val="000000"/>
                <w:sz w:val="16"/>
                <w:szCs w:val="16"/>
              </w:rPr>
            </w:pPr>
            <w:r w:rsidRPr="00CF393F">
              <w:rPr>
                <w:rFonts w:ascii="Calibri" w:hAnsi="Calibri" w:cs="Calibri"/>
                <w:color w:val="000000"/>
                <w:sz w:val="16"/>
                <w:szCs w:val="16"/>
              </w:rPr>
              <w:t>horizon-flattening</w:t>
            </w:r>
          </w:p>
        </w:tc>
        <w:tc>
          <w:tcPr>
            <w:tcW w:w="1276" w:type="dxa"/>
            <w:tcBorders>
              <w:top w:val="nil"/>
              <w:left w:val="nil"/>
              <w:bottom w:val="nil"/>
              <w:right w:val="single" w:sz="8" w:space="0" w:color="auto"/>
            </w:tcBorders>
            <w:shd w:val="clear" w:color="auto" w:fill="auto"/>
            <w:noWrap/>
            <w:vAlign w:val="bottom"/>
            <w:hideMark/>
          </w:tcPr>
          <w:p w14:paraId="725BB111" w14:textId="77777777" w:rsidR="00CF393F" w:rsidRPr="00CF393F" w:rsidRDefault="00CF393F" w:rsidP="00CF393F">
            <w:pPr>
              <w:spacing w:line="240" w:lineRule="auto"/>
              <w:rPr>
                <w:rFonts w:ascii="Calibri" w:hAnsi="Calibri" w:cs="Calibri"/>
                <w:b/>
                <w:bCs/>
                <w:color w:val="000000"/>
                <w:sz w:val="16"/>
                <w:szCs w:val="16"/>
              </w:rPr>
            </w:pPr>
            <w:r w:rsidRPr="00CF393F">
              <w:rPr>
                <w:rFonts w:ascii="Calibri" w:hAnsi="Calibri" w:cs="Calibri"/>
                <w:b/>
                <w:bCs/>
                <w:color w:val="000000"/>
                <w:sz w:val="16"/>
                <w:szCs w:val="16"/>
              </w:rPr>
              <w:t>0.068</w:t>
            </w:r>
          </w:p>
        </w:tc>
      </w:tr>
      <w:tr w:rsidR="00CF393F" w:rsidRPr="00CF393F" w14:paraId="05B542B6" w14:textId="77777777" w:rsidTr="00CF393F">
        <w:trPr>
          <w:trHeight w:val="340"/>
        </w:trPr>
        <w:tc>
          <w:tcPr>
            <w:tcW w:w="340" w:type="dxa"/>
            <w:tcBorders>
              <w:top w:val="nil"/>
              <w:left w:val="nil"/>
              <w:bottom w:val="nil"/>
              <w:right w:val="nil"/>
            </w:tcBorders>
            <w:shd w:val="clear" w:color="auto" w:fill="auto"/>
            <w:noWrap/>
            <w:vAlign w:val="bottom"/>
            <w:hideMark/>
          </w:tcPr>
          <w:p w14:paraId="4859B9D0" w14:textId="77777777" w:rsidR="00CF393F" w:rsidRPr="00CF393F" w:rsidRDefault="00CF393F" w:rsidP="00CF393F">
            <w:pPr>
              <w:spacing w:line="240" w:lineRule="auto"/>
              <w:rPr>
                <w:rFonts w:ascii="Calibri" w:hAnsi="Calibri" w:cs="Calibri"/>
                <w:b/>
                <w:bCs/>
                <w:color w:val="000000"/>
                <w:sz w:val="16"/>
                <w:szCs w:val="16"/>
              </w:rPr>
            </w:pPr>
            <w:r w:rsidRPr="00CF393F">
              <w:rPr>
                <w:rFonts w:ascii="Calibri" w:hAnsi="Calibri" w:cs="Calibri"/>
                <w:b/>
                <w:bCs/>
                <w:color w:val="000000"/>
                <w:sz w:val="16"/>
                <w:szCs w:val="16"/>
              </w:rPr>
              <w:t>l</w:t>
            </w:r>
          </w:p>
        </w:tc>
        <w:tc>
          <w:tcPr>
            <w:tcW w:w="1223" w:type="dxa"/>
            <w:tcBorders>
              <w:top w:val="nil"/>
              <w:left w:val="nil"/>
              <w:bottom w:val="nil"/>
              <w:right w:val="nil"/>
            </w:tcBorders>
            <w:shd w:val="clear" w:color="auto" w:fill="auto"/>
            <w:noWrap/>
            <w:vAlign w:val="bottom"/>
            <w:hideMark/>
          </w:tcPr>
          <w:p w14:paraId="353A4737" w14:textId="77777777" w:rsidR="00CF393F" w:rsidRPr="00CF393F" w:rsidRDefault="00CF393F" w:rsidP="00CF393F">
            <w:pPr>
              <w:spacing w:line="240" w:lineRule="auto"/>
              <w:rPr>
                <w:rFonts w:ascii="Calibri" w:hAnsi="Calibri" w:cs="Calibri"/>
                <w:b/>
                <w:bCs/>
                <w:color w:val="000000"/>
                <w:sz w:val="16"/>
                <w:szCs w:val="16"/>
              </w:rPr>
            </w:pPr>
          </w:p>
        </w:tc>
        <w:tc>
          <w:tcPr>
            <w:tcW w:w="984" w:type="dxa"/>
            <w:tcBorders>
              <w:top w:val="nil"/>
              <w:left w:val="nil"/>
              <w:bottom w:val="nil"/>
              <w:right w:val="nil"/>
            </w:tcBorders>
            <w:shd w:val="clear" w:color="auto" w:fill="auto"/>
            <w:noWrap/>
            <w:vAlign w:val="bottom"/>
            <w:hideMark/>
          </w:tcPr>
          <w:p w14:paraId="17CADCFA" w14:textId="77777777" w:rsidR="00CF393F" w:rsidRPr="00CF393F" w:rsidRDefault="00CF393F" w:rsidP="00CF393F">
            <w:pPr>
              <w:spacing w:line="240" w:lineRule="auto"/>
              <w:rPr>
                <w:sz w:val="16"/>
                <w:szCs w:val="16"/>
              </w:rPr>
            </w:pPr>
          </w:p>
        </w:tc>
        <w:tc>
          <w:tcPr>
            <w:tcW w:w="1422" w:type="dxa"/>
            <w:tcBorders>
              <w:top w:val="nil"/>
              <w:left w:val="nil"/>
              <w:bottom w:val="nil"/>
              <w:right w:val="nil"/>
            </w:tcBorders>
            <w:shd w:val="clear" w:color="auto" w:fill="auto"/>
            <w:noWrap/>
            <w:vAlign w:val="bottom"/>
            <w:hideMark/>
          </w:tcPr>
          <w:p w14:paraId="5C8C2E0C" w14:textId="77777777" w:rsidR="00CF393F" w:rsidRPr="00CF393F" w:rsidRDefault="00CF393F" w:rsidP="00CF393F">
            <w:pPr>
              <w:spacing w:line="240" w:lineRule="auto"/>
              <w:rPr>
                <w:sz w:val="16"/>
                <w:szCs w:val="16"/>
              </w:rPr>
            </w:pPr>
          </w:p>
        </w:tc>
        <w:tc>
          <w:tcPr>
            <w:tcW w:w="1134" w:type="dxa"/>
            <w:tcBorders>
              <w:top w:val="nil"/>
              <w:left w:val="nil"/>
              <w:bottom w:val="nil"/>
              <w:right w:val="nil"/>
            </w:tcBorders>
            <w:shd w:val="clear" w:color="auto" w:fill="auto"/>
            <w:noWrap/>
            <w:vAlign w:val="bottom"/>
            <w:hideMark/>
          </w:tcPr>
          <w:p w14:paraId="08CF6A4A" w14:textId="77777777" w:rsidR="00CF393F" w:rsidRPr="00CF393F" w:rsidRDefault="00CF393F" w:rsidP="00CF393F">
            <w:pPr>
              <w:spacing w:line="240" w:lineRule="auto"/>
              <w:jc w:val="right"/>
              <w:rPr>
                <w:sz w:val="16"/>
                <w:szCs w:val="16"/>
              </w:rPr>
            </w:pPr>
          </w:p>
        </w:tc>
        <w:tc>
          <w:tcPr>
            <w:tcW w:w="1276" w:type="dxa"/>
            <w:tcBorders>
              <w:top w:val="nil"/>
              <w:left w:val="nil"/>
              <w:bottom w:val="nil"/>
              <w:right w:val="nil"/>
            </w:tcBorders>
            <w:shd w:val="clear" w:color="auto" w:fill="auto"/>
            <w:noWrap/>
            <w:vAlign w:val="bottom"/>
            <w:hideMark/>
          </w:tcPr>
          <w:p w14:paraId="182D49E4" w14:textId="77777777" w:rsidR="00CF393F" w:rsidRPr="00CF393F" w:rsidRDefault="00CF393F" w:rsidP="00CF393F">
            <w:pPr>
              <w:spacing w:line="240" w:lineRule="auto"/>
              <w:rPr>
                <w:sz w:val="16"/>
                <w:szCs w:val="16"/>
              </w:rPr>
            </w:pPr>
          </w:p>
        </w:tc>
        <w:tc>
          <w:tcPr>
            <w:tcW w:w="1134" w:type="dxa"/>
            <w:tcBorders>
              <w:top w:val="nil"/>
              <w:left w:val="nil"/>
              <w:bottom w:val="nil"/>
              <w:right w:val="nil"/>
            </w:tcBorders>
            <w:shd w:val="clear" w:color="auto" w:fill="auto"/>
            <w:noWrap/>
            <w:vAlign w:val="bottom"/>
            <w:hideMark/>
          </w:tcPr>
          <w:p w14:paraId="1C785B5D" w14:textId="77777777" w:rsidR="00CF393F" w:rsidRPr="00CF393F" w:rsidRDefault="00CF393F" w:rsidP="00CF393F">
            <w:pPr>
              <w:spacing w:line="240" w:lineRule="auto"/>
              <w:rPr>
                <w:sz w:val="16"/>
                <w:szCs w:val="16"/>
              </w:rPr>
            </w:pPr>
          </w:p>
        </w:tc>
        <w:tc>
          <w:tcPr>
            <w:tcW w:w="12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055C6B7" w14:textId="77777777" w:rsidR="00CF393F" w:rsidRPr="00CF393F" w:rsidRDefault="00CF393F" w:rsidP="00CF393F">
            <w:pPr>
              <w:spacing w:line="240" w:lineRule="auto"/>
              <w:rPr>
                <w:rFonts w:ascii="Calibri" w:hAnsi="Calibri" w:cs="Calibri"/>
                <w:b/>
                <w:bCs/>
                <w:color w:val="000000"/>
                <w:sz w:val="16"/>
                <w:szCs w:val="16"/>
              </w:rPr>
            </w:pPr>
            <w:r w:rsidRPr="00CF393F">
              <w:rPr>
                <w:rFonts w:ascii="Calibri" w:hAnsi="Calibri" w:cs="Calibri"/>
                <w:b/>
                <w:bCs/>
                <w:color w:val="000000"/>
                <w:sz w:val="16"/>
                <w:szCs w:val="16"/>
              </w:rPr>
              <w:t>0.120</w:t>
            </w:r>
          </w:p>
        </w:tc>
      </w:tr>
    </w:tbl>
    <w:p w14:paraId="3E74EE95" w14:textId="77777777" w:rsidR="00CF393F" w:rsidRPr="00CF393F" w:rsidRDefault="00CF393F" w:rsidP="002D4C35"/>
    <w:p w14:paraId="3C10176A" w14:textId="77777777" w:rsidR="00CF393F" w:rsidRDefault="00F15C06" w:rsidP="00CF393F">
      <w:pPr>
        <w:pStyle w:val="Caption"/>
        <w:spacing w:after="360" w:line="240" w:lineRule="auto"/>
      </w:pPr>
      <w:r w:rsidRPr="00CF393F">
        <w:rPr>
          <w:b/>
          <w:bCs/>
          <w:i w:val="0"/>
          <w:iCs w:val="0"/>
          <w:color w:val="000000" w:themeColor="text1"/>
        </w:rPr>
        <w:t>Table 2:</w:t>
      </w:r>
      <w:r w:rsidRPr="00CF393F">
        <w:rPr>
          <w:i w:val="0"/>
          <w:iCs w:val="0"/>
          <w:color w:val="000000" w:themeColor="text1"/>
        </w:rPr>
        <w:t xml:space="preserve"> Results from volume estimation between a lower and upper bounding surface from several means of pre-failure seafloor reconstruction.</w:t>
      </w:r>
      <w:r w:rsidR="00CF393F">
        <w:rPr>
          <w:i w:val="0"/>
          <w:iCs w:val="0"/>
          <w:color w:val="000000" w:themeColor="text1"/>
        </w:rPr>
        <w:t xml:space="preserve"> The polygon marks the area inside of which Ve and Va are estimated. Surfaces marked by – represent the input seafloor generated by the reconstruction approach stated. The preferred pre-failure seafloor used to estimate Ve is presented in g while that of Va is presented in h. </w:t>
      </w:r>
    </w:p>
    <w:p w14:paraId="66BDA3D8" w14:textId="2CE72F58" w:rsidR="003B7488" w:rsidRPr="00CF393F" w:rsidRDefault="00CE7A9D" w:rsidP="00CF393F">
      <w:pPr>
        <w:pStyle w:val="Heading1"/>
        <w:rPr>
          <w:color w:val="000000"/>
        </w:rPr>
      </w:pPr>
      <w:r w:rsidRPr="00CF393F">
        <w:t xml:space="preserve">Errors and uncertainties of volume calculation  </w:t>
      </w:r>
    </w:p>
    <w:p w14:paraId="14437C20" w14:textId="654B7D4E" w:rsidR="003B7488" w:rsidRPr="00CF393F" w:rsidRDefault="00E716D2">
      <w:pPr>
        <w:rPr>
          <w:rFonts w:eastAsiaTheme="majorEastAsia"/>
          <w:shd w:val="clear" w:color="auto" w:fill="FFFFFF"/>
        </w:rPr>
      </w:pPr>
      <w:r w:rsidRPr="00CF393F">
        <w:rPr>
          <w:rFonts w:eastAsiaTheme="majorEastAsia"/>
          <w:shd w:val="clear" w:color="auto" w:fill="FFFFFF"/>
        </w:rPr>
        <w:t xml:space="preserve">Here, we list in detail all individual uncertainties related to volume estimates for Ana Slide and how they sum up to the overall uncertainties that are given in the manuscript (in % of the total volume). </w:t>
      </w:r>
      <w:r w:rsidR="00EF1EA2" w:rsidRPr="00CF393F">
        <w:rPr>
          <w:rFonts w:eastAsiaTheme="majorEastAsia"/>
          <w:shd w:val="clear" w:color="auto" w:fill="FFFFFF"/>
        </w:rPr>
        <w:t xml:space="preserve">Note that because all volumes for Ana Slide were derived from the 3D </w:t>
      </w:r>
      <w:r w:rsidR="00904CCD" w:rsidRPr="00CF393F">
        <w:rPr>
          <w:rFonts w:eastAsiaTheme="majorEastAsia"/>
          <w:shd w:val="clear" w:color="auto" w:fill="FFFFFF"/>
        </w:rPr>
        <w:t xml:space="preserve">reflection </w:t>
      </w:r>
      <w:r w:rsidR="00EF1EA2" w:rsidRPr="00CF393F">
        <w:rPr>
          <w:rFonts w:eastAsiaTheme="majorEastAsia"/>
          <w:shd w:val="clear" w:color="auto" w:fill="FFFFFF"/>
        </w:rPr>
        <w:t xml:space="preserve">seismic </w:t>
      </w:r>
      <w:r w:rsidR="00904CCD" w:rsidRPr="00CF393F">
        <w:rPr>
          <w:rFonts w:eastAsiaTheme="majorEastAsia"/>
          <w:shd w:val="clear" w:color="auto" w:fill="FFFFFF"/>
        </w:rPr>
        <w:t>data</w:t>
      </w:r>
      <w:r w:rsidR="00EF1EA2" w:rsidRPr="00CF393F">
        <w:rPr>
          <w:rFonts w:eastAsiaTheme="majorEastAsia"/>
          <w:shd w:val="clear" w:color="auto" w:fill="FFFFFF"/>
        </w:rPr>
        <w:t xml:space="preserve">, we here </w:t>
      </w:r>
      <w:proofErr w:type="gramStart"/>
      <w:r w:rsidR="00EF1EA2" w:rsidRPr="00CF393F">
        <w:rPr>
          <w:rFonts w:eastAsiaTheme="majorEastAsia"/>
          <w:shd w:val="clear" w:color="auto" w:fill="FFFFFF"/>
        </w:rPr>
        <w:t>have to</w:t>
      </w:r>
      <w:proofErr w:type="gramEnd"/>
      <w:r w:rsidR="00EF1EA2" w:rsidRPr="00CF393F">
        <w:rPr>
          <w:rFonts w:eastAsiaTheme="majorEastAsia"/>
          <w:shd w:val="clear" w:color="auto" w:fill="FFFFFF"/>
        </w:rPr>
        <w:t xml:space="preserve"> also consider uncertainties related to </w:t>
      </w:r>
      <w:r w:rsidR="00CE5C82">
        <w:rPr>
          <w:rFonts w:eastAsiaTheme="majorEastAsia"/>
          <w:shd w:val="clear" w:color="auto" w:fill="FFFFFF"/>
        </w:rPr>
        <w:t xml:space="preserve">the reflection </w:t>
      </w:r>
      <w:r w:rsidR="00EF1EA2" w:rsidRPr="00CF393F">
        <w:rPr>
          <w:rFonts w:eastAsiaTheme="majorEastAsia"/>
          <w:shd w:val="clear" w:color="auto" w:fill="FFFFFF"/>
        </w:rPr>
        <w:t xml:space="preserve">seismic </w:t>
      </w:r>
      <w:r w:rsidR="00CE5C82">
        <w:rPr>
          <w:rFonts w:eastAsiaTheme="majorEastAsia"/>
          <w:shd w:val="clear" w:color="auto" w:fill="FFFFFF"/>
        </w:rPr>
        <w:t xml:space="preserve">method and </w:t>
      </w:r>
      <w:r w:rsidR="00EF1EA2" w:rsidRPr="00CF393F">
        <w:rPr>
          <w:rFonts w:eastAsiaTheme="majorEastAsia"/>
          <w:shd w:val="clear" w:color="auto" w:fill="FFFFFF"/>
        </w:rPr>
        <w:t xml:space="preserve">data. </w:t>
      </w:r>
      <w:r w:rsidR="009465EA" w:rsidRPr="00CF393F">
        <w:rPr>
          <w:rFonts w:eastAsiaTheme="majorEastAsia"/>
          <w:shd w:val="clear" w:color="auto" w:fill="FFFFFF"/>
        </w:rPr>
        <w:t>The uncertainties will be different for other case studies and where volumes are derived from bathymetric data</w:t>
      </w:r>
      <w:r w:rsidR="00904CCD" w:rsidRPr="00CF393F">
        <w:rPr>
          <w:rFonts w:eastAsiaTheme="majorEastAsia"/>
          <w:shd w:val="clear" w:color="auto" w:fill="FFFFFF"/>
        </w:rPr>
        <w:t xml:space="preserve"> alone</w:t>
      </w:r>
      <w:r w:rsidR="00CE5C82">
        <w:rPr>
          <w:rFonts w:eastAsiaTheme="majorEastAsia"/>
          <w:shd w:val="clear" w:color="auto" w:fill="FFFFFF"/>
        </w:rPr>
        <w:t>:</w:t>
      </w:r>
      <w:r w:rsidR="009465EA" w:rsidRPr="00CF393F">
        <w:rPr>
          <w:rFonts w:eastAsiaTheme="majorEastAsia"/>
          <w:shd w:val="clear" w:color="auto" w:fill="FFFFFF"/>
        </w:rPr>
        <w:t xml:space="preserve"> </w:t>
      </w:r>
    </w:p>
    <w:p w14:paraId="2529D986" w14:textId="734E148F" w:rsidR="00100EC0" w:rsidRPr="00CF393F" w:rsidRDefault="00CE7A9D" w:rsidP="005F4678">
      <w:pPr>
        <w:pStyle w:val="ListParagraph"/>
        <w:numPr>
          <w:ilvl w:val="0"/>
          <w:numId w:val="18"/>
        </w:numPr>
        <w:spacing w:before="120" w:after="120"/>
      </w:pPr>
      <w:r w:rsidRPr="00CF393F">
        <w:rPr>
          <w:rFonts w:eastAsiaTheme="majorEastAsia"/>
          <w:shd w:val="clear" w:color="auto" w:fill="FFFFFF"/>
        </w:rPr>
        <w:t>Positive seismic velocity anomalies have previously been observed in</w:t>
      </w:r>
      <w:r w:rsidR="00904CCD" w:rsidRPr="00CF393F">
        <w:rPr>
          <w:rFonts w:eastAsiaTheme="majorEastAsia"/>
          <w:shd w:val="clear" w:color="auto" w:fill="FFFFFF"/>
        </w:rPr>
        <w:t>side of</w:t>
      </w:r>
      <w:r w:rsidRPr="00CF393F">
        <w:rPr>
          <w:rFonts w:eastAsiaTheme="majorEastAsia"/>
          <w:shd w:val="clear" w:color="auto" w:fill="FFFFFF"/>
        </w:rPr>
        <w:t xml:space="preserve"> submarine landslide</w:t>
      </w:r>
      <w:r w:rsidR="00904CCD" w:rsidRPr="00CF393F">
        <w:rPr>
          <w:rFonts w:eastAsiaTheme="majorEastAsia"/>
          <w:shd w:val="clear" w:color="auto" w:fill="FFFFFF"/>
        </w:rPr>
        <w:t>s</w:t>
      </w:r>
      <w:r w:rsidRPr="00CF393F">
        <w:rPr>
          <w:rFonts w:eastAsiaTheme="majorEastAsia"/>
          <w:shd w:val="clear" w:color="auto" w:fill="FFFFFF"/>
        </w:rPr>
        <w:t xml:space="preserve"> compared to un-deformed background sediments (e.g., </w:t>
      </w:r>
      <w:r w:rsidRPr="00CF393F">
        <w:rPr>
          <w:rFonts w:eastAsiaTheme="majorEastAsia"/>
          <w:color w:val="4472C4" w:themeColor="accent1"/>
          <w:shd w:val="clear" w:color="auto" w:fill="FFFFFF"/>
        </w:rPr>
        <w:fldChar w:fldCharType="begin"/>
      </w:r>
      <w:r w:rsidRPr="00CF393F">
        <w:rPr>
          <w:rFonts w:eastAsiaTheme="majorEastAsia"/>
          <w:color w:val="4472C4" w:themeColor="accent1"/>
          <w:shd w:val="clear" w:color="auto" w:fill="FFFFFF"/>
        </w:rPr>
        <w:instrText xml:space="preserve"> ADDIN ZOTERO_ITEM CSL_CITATION {"citationID":"LdltfIjY","properties":{"formattedCitation":"(Sun &amp; Alves, 2020)","plainCitation":"(Sun &amp; Alves, 2020)","dontUpdate":true,"noteIndex":0},"citationItems":[{"id":922,"uris":["http://zotero.org/users/local/2G46dtX8/items/KLMVRS7D"],"itemData":{"id":922,"type":"article-journal","abstract":"Submarine slope failures and their products occur at variable scales on continental margins and island ﬂanks. Here, we review the petrophysics of ﬁne-grained mass-transport deposits (MTDs) from three representative regions: the Ulleung Basin from oﬀshore Korea, the Ursa Region in the Gulf of Mexico, and the Amazon Fan in the Equatorial Brazil. This study shows that ﬁne-grained MTDs comprise a ‘main body’ and a ‘basal shear zone’. Compared to undeformed ‘background’ hemipelagic sediments, the main bodies of all studied MTDs are characterised by their: (1) higher resistivity, density, velocity and shear strength, and (2) lower water content, porosity and permeability. These properties indicate that MTDs are more consolidated than ‘background’ undeformed strata due marked dewatering and shear compaction during their emplacement, thus enhancing the sealing competence of such strata. However, the basal shear zones show contrasting petrophysical trends, recording an increase in porosity when compared to the main MTD bodies. This suggests that the fractured basal shear zones of MTDs serve as main ﬂuid paths, and ﬂuids can accumulate within or laterally migrate along them. This study ends by postulating that dipping strata on continental slopes can likely fail under its own gravity, with fractured, gas-charged basal shear zones at the base of MTDs comprising weak layers for further slope instability.","container-title":"Journal of Asian Earth Sciences","DOI":"10.1016/j.jseaes.2020.104291","ISSN":"13679120","journalAbbreviation":"Journal of Asian Earth Sciences","language":"en","page":"104291","source":"DOI.org (Crossref)","title":"Petrophysics of fine-grained mass-transport deposits: A critical review","title-short":"Petrophysics of fine-grained mass-transport deposits","URL":"https://linkinghub.elsevier.com/retrieve/pii/S1367912020300729","volume":"192","author":[{"family":"Sun","given":"Qiliang"},{"family":"Alves","given":"Tiago"}],"accessed":{"date-parts":[["2022",2,18]]},"issued":{"date-parts":[["2020",5]]},"citation-key":"sun2020"}}],"schema":"https://github.com/citation-style-language/schema/raw/master/csl-citation.json"} </w:instrText>
      </w:r>
      <w:r w:rsidRPr="00CF393F">
        <w:rPr>
          <w:rFonts w:eastAsiaTheme="majorEastAsia"/>
          <w:color w:val="4472C4" w:themeColor="accent1"/>
          <w:shd w:val="clear" w:color="auto" w:fill="FFFFFF"/>
        </w:rPr>
        <w:fldChar w:fldCharType="separate"/>
      </w:r>
      <w:r w:rsidRPr="00CF393F">
        <w:rPr>
          <w:rFonts w:eastAsiaTheme="majorEastAsia"/>
          <w:color w:val="4472C4" w:themeColor="accent1"/>
          <w:shd w:val="clear" w:color="auto" w:fill="FFFFFF"/>
        </w:rPr>
        <w:t>Sun &amp; Alves, 2020</w:t>
      </w:r>
      <w:r w:rsidRPr="00CF393F">
        <w:rPr>
          <w:rFonts w:eastAsiaTheme="majorEastAsia"/>
          <w:color w:val="4472C4" w:themeColor="accent1"/>
          <w:shd w:val="clear" w:color="auto" w:fill="FFFFFF"/>
        </w:rPr>
        <w:fldChar w:fldCharType="end"/>
      </w:r>
      <w:r w:rsidRPr="00CF393F">
        <w:rPr>
          <w:rFonts w:eastAsiaTheme="majorEastAsia"/>
          <w:shd w:val="clear" w:color="auto" w:fill="FFFFFF"/>
        </w:rPr>
        <w:t xml:space="preserve">). The seismic velocity is increased due to a coupled response of the seafloor immediately beneath accumulated landslide </w:t>
      </w:r>
      <w:r w:rsidRPr="00CF393F">
        <w:rPr>
          <w:rFonts w:eastAsiaTheme="majorEastAsia"/>
          <w:shd w:val="clear" w:color="auto" w:fill="FFFFFF"/>
        </w:rPr>
        <w:lastRenderedPageBreak/>
        <w:t xml:space="preserve">material from compaction, loading, and de-watering. </w:t>
      </w:r>
      <w:r w:rsidR="00904CCD" w:rsidRPr="00CF393F">
        <w:rPr>
          <w:rFonts w:eastAsiaTheme="majorEastAsia"/>
          <w:shd w:val="clear" w:color="auto" w:fill="FFFFFF"/>
        </w:rPr>
        <w:t>T</w:t>
      </w:r>
      <w:r w:rsidRPr="00CF393F">
        <w:rPr>
          <w:rFonts w:eastAsiaTheme="majorEastAsia"/>
          <w:shd w:val="clear" w:color="auto" w:fill="FFFFFF"/>
        </w:rPr>
        <w:t xml:space="preserve">his uncertainty primarily affects volume calculation performed inside the sink area (Va) </w:t>
      </w:r>
      <w:r w:rsidR="00904CCD" w:rsidRPr="00CF393F">
        <w:rPr>
          <w:rFonts w:eastAsiaTheme="majorEastAsia"/>
          <w:shd w:val="clear" w:color="auto" w:fill="FFFFFF"/>
        </w:rPr>
        <w:t>which</w:t>
      </w:r>
      <w:r w:rsidRPr="00CF393F">
        <w:rPr>
          <w:rFonts w:eastAsiaTheme="majorEastAsia"/>
          <w:shd w:val="clear" w:color="auto" w:fill="FFFFFF"/>
        </w:rPr>
        <w:t xml:space="preserve"> is underestimated by up to </w:t>
      </w:r>
      <w:r w:rsidR="006F11FA" w:rsidRPr="00CF393F">
        <w:rPr>
          <w:rFonts w:eastAsiaTheme="majorEastAsia"/>
          <w:shd w:val="clear" w:color="auto" w:fill="FFFFFF"/>
        </w:rPr>
        <w:t>5</w:t>
      </w:r>
      <w:r w:rsidRPr="00CF393F">
        <w:rPr>
          <w:rFonts w:eastAsiaTheme="majorEastAsia"/>
          <w:shd w:val="clear" w:color="auto" w:fill="FFFFFF"/>
        </w:rPr>
        <w:t>%</w:t>
      </w:r>
      <w:r w:rsidR="004F2362" w:rsidRPr="00CF393F">
        <w:rPr>
          <w:rFonts w:eastAsiaTheme="majorEastAsia"/>
          <w:shd w:val="clear" w:color="auto" w:fill="FFFFFF"/>
        </w:rPr>
        <w:t xml:space="preserve"> (</w:t>
      </w:r>
      <w:r w:rsidR="004F2362" w:rsidRPr="00CF393F">
        <w:rPr>
          <w:rFonts w:eastAsiaTheme="majorEastAsia"/>
          <w:color w:val="ED7D31" w:themeColor="accent2"/>
          <w:shd w:val="clear" w:color="auto" w:fill="FFFFFF"/>
        </w:rPr>
        <w:t>Tab</w:t>
      </w:r>
      <w:r w:rsidR="00CE5C82">
        <w:rPr>
          <w:rFonts w:eastAsiaTheme="majorEastAsia"/>
          <w:color w:val="ED7D31" w:themeColor="accent2"/>
          <w:shd w:val="clear" w:color="auto" w:fill="FFFFFF"/>
        </w:rPr>
        <w:t>le</w:t>
      </w:r>
      <w:r w:rsidR="004F2362" w:rsidRPr="00CF393F">
        <w:rPr>
          <w:rFonts w:eastAsiaTheme="majorEastAsia"/>
          <w:color w:val="ED7D31" w:themeColor="accent2"/>
          <w:shd w:val="clear" w:color="auto" w:fill="FFFFFF"/>
        </w:rPr>
        <w:t xml:space="preserve"> </w:t>
      </w:r>
      <w:r w:rsidR="00416598">
        <w:rPr>
          <w:rFonts w:eastAsiaTheme="majorEastAsia"/>
          <w:color w:val="ED7D31" w:themeColor="accent2"/>
          <w:shd w:val="clear" w:color="auto" w:fill="FFFFFF"/>
        </w:rPr>
        <w:t>2</w:t>
      </w:r>
      <w:r w:rsidR="004F2362" w:rsidRPr="00CF393F">
        <w:rPr>
          <w:rFonts w:eastAsiaTheme="majorEastAsia"/>
          <w:color w:val="ED7D31" w:themeColor="accent2"/>
          <w:shd w:val="clear" w:color="auto" w:fill="FFFFFF"/>
        </w:rPr>
        <w:t>a</w:t>
      </w:r>
      <w:r w:rsidR="004F2362" w:rsidRPr="00CF393F">
        <w:rPr>
          <w:rFonts w:eastAsiaTheme="majorEastAsia"/>
          <w:shd w:val="clear" w:color="auto" w:fill="FFFFFF"/>
        </w:rPr>
        <w:t>).</w:t>
      </w:r>
    </w:p>
    <w:p w14:paraId="628BF644" w14:textId="0E9F7A9E" w:rsidR="00100EC0" w:rsidRPr="00CF393F" w:rsidRDefault="00CE7A9D" w:rsidP="00100EC0">
      <w:pPr>
        <w:pStyle w:val="ListParagraph"/>
        <w:numPr>
          <w:ilvl w:val="0"/>
          <w:numId w:val="18"/>
        </w:numPr>
        <w:spacing w:before="120" w:after="120"/>
        <w:rPr>
          <w:rFonts w:eastAsiaTheme="majorEastAsia"/>
          <w:shd w:val="clear" w:color="auto" w:fill="FFFFFF"/>
        </w:rPr>
      </w:pPr>
      <w:r w:rsidRPr="00CF393F">
        <w:rPr>
          <w:rFonts w:eastAsiaTheme="majorEastAsia"/>
          <w:shd w:val="clear" w:color="auto" w:fill="FFFFFF"/>
        </w:rPr>
        <w:t xml:space="preserve">Picking errors related to the vertical seismic resolution and those related to the horizontal resolution are affected by the data quality and processing. The vertical seismic resolution introduces uncertainties that are proportional to the thickness of a submarine landslide while the </w:t>
      </w:r>
      <w:r w:rsidR="009465EA" w:rsidRPr="00CF393F">
        <w:rPr>
          <w:rFonts w:eastAsiaTheme="majorEastAsia"/>
          <w:shd w:val="clear" w:color="auto" w:fill="FFFFFF"/>
        </w:rPr>
        <w:t>h</w:t>
      </w:r>
      <w:r w:rsidRPr="00CF393F">
        <w:rPr>
          <w:rFonts w:eastAsiaTheme="majorEastAsia"/>
          <w:shd w:val="clear" w:color="auto" w:fill="FFFFFF"/>
        </w:rPr>
        <w:t>orizontal resolution is inversely proportional to the areal extent of submarine landslides.</w:t>
      </w:r>
      <w:r w:rsidR="00100EC0" w:rsidRPr="00CF393F">
        <w:rPr>
          <w:rFonts w:eastAsiaTheme="majorEastAsia"/>
          <w:shd w:val="clear" w:color="auto" w:fill="FFFFFF"/>
        </w:rPr>
        <w:t xml:space="preserve"> In general, the picking of seismic reflectors is related to the size and thickness of a landslide and the acquisition of reflection seismic data, for Ana Slide this uncertainty is up to </w:t>
      </w:r>
      <w:r w:rsidR="006F11FA" w:rsidRPr="00CF393F">
        <w:rPr>
          <w:rFonts w:eastAsiaTheme="majorEastAsia"/>
          <w:shd w:val="clear" w:color="auto" w:fill="FFFFFF"/>
        </w:rPr>
        <w:t>5</w:t>
      </w:r>
      <w:r w:rsidR="00100EC0" w:rsidRPr="00CF393F">
        <w:rPr>
          <w:rFonts w:eastAsiaTheme="majorEastAsia"/>
          <w:shd w:val="clear" w:color="auto" w:fill="FFFFFF"/>
        </w:rPr>
        <w:t>%</w:t>
      </w:r>
      <w:r w:rsidR="004F2362" w:rsidRPr="00CF393F">
        <w:rPr>
          <w:rFonts w:eastAsiaTheme="majorEastAsia"/>
          <w:shd w:val="clear" w:color="auto" w:fill="FFFFFF"/>
        </w:rPr>
        <w:t xml:space="preserve"> (</w:t>
      </w:r>
      <w:r w:rsidR="004F2362" w:rsidRPr="00CF393F">
        <w:rPr>
          <w:rFonts w:eastAsiaTheme="majorEastAsia"/>
          <w:color w:val="ED7D31" w:themeColor="accent2"/>
          <w:shd w:val="clear" w:color="auto" w:fill="FFFFFF"/>
        </w:rPr>
        <w:t>Tab</w:t>
      </w:r>
      <w:r w:rsidR="00CE5C82">
        <w:rPr>
          <w:rFonts w:eastAsiaTheme="majorEastAsia"/>
          <w:color w:val="ED7D31" w:themeColor="accent2"/>
          <w:shd w:val="clear" w:color="auto" w:fill="FFFFFF"/>
        </w:rPr>
        <w:t>le</w:t>
      </w:r>
      <w:r w:rsidR="004F2362" w:rsidRPr="00CF393F">
        <w:rPr>
          <w:rFonts w:eastAsiaTheme="majorEastAsia"/>
          <w:color w:val="ED7D31" w:themeColor="accent2"/>
          <w:shd w:val="clear" w:color="auto" w:fill="FFFFFF"/>
        </w:rPr>
        <w:t xml:space="preserve"> </w:t>
      </w:r>
      <w:r w:rsidR="00416598">
        <w:rPr>
          <w:rFonts w:eastAsiaTheme="majorEastAsia"/>
          <w:color w:val="ED7D31" w:themeColor="accent2"/>
          <w:shd w:val="clear" w:color="auto" w:fill="FFFFFF"/>
        </w:rPr>
        <w:t>2</w:t>
      </w:r>
      <w:r w:rsidR="004F2362" w:rsidRPr="00CF393F">
        <w:rPr>
          <w:rFonts w:eastAsiaTheme="majorEastAsia"/>
          <w:color w:val="ED7D31" w:themeColor="accent2"/>
          <w:shd w:val="clear" w:color="auto" w:fill="FFFFFF"/>
        </w:rPr>
        <w:t>b</w:t>
      </w:r>
      <w:r w:rsidR="004F2362" w:rsidRPr="00CF393F">
        <w:rPr>
          <w:rFonts w:eastAsiaTheme="majorEastAsia"/>
          <w:shd w:val="clear" w:color="auto" w:fill="FFFFFF"/>
        </w:rPr>
        <w:t>)</w:t>
      </w:r>
      <w:r w:rsidR="00100EC0" w:rsidRPr="00CF393F">
        <w:rPr>
          <w:rFonts w:eastAsiaTheme="majorEastAsia"/>
          <w:shd w:val="clear" w:color="auto" w:fill="FFFFFF"/>
        </w:rPr>
        <w:t xml:space="preserve">. Related to the horizontal resolution of the reflection seismic dataset, an uncertainty of </w:t>
      </w:r>
      <w:r w:rsidR="006F11FA" w:rsidRPr="00CF393F">
        <w:rPr>
          <w:rFonts w:eastAsiaTheme="majorEastAsia"/>
          <w:shd w:val="clear" w:color="auto" w:fill="FFFFFF"/>
        </w:rPr>
        <w:t>2</w:t>
      </w:r>
      <w:r w:rsidR="00100EC0" w:rsidRPr="00CF393F">
        <w:rPr>
          <w:rFonts w:eastAsiaTheme="majorEastAsia"/>
          <w:shd w:val="clear" w:color="auto" w:fill="FFFFFF"/>
        </w:rPr>
        <w:t>% is introduced (</w:t>
      </w:r>
      <w:r w:rsidR="00100EC0" w:rsidRPr="00CF393F">
        <w:rPr>
          <w:rFonts w:eastAsiaTheme="majorEastAsia"/>
          <w:color w:val="ED7D31" w:themeColor="accent2"/>
          <w:shd w:val="clear" w:color="auto" w:fill="FFFFFF"/>
        </w:rPr>
        <w:t>Tab</w:t>
      </w:r>
      <w:r w:rsidR="00CE5C82">
        <w:rPr>
          <w:rFonts w:eastAsiaTheme="majorEastAsia"/>
          <w:color w:val="ED7D31" w:themeColor="accent2"/>
          <w:shd w:val="clear" w:color="auto" w:fill="FFFFFF"/>
        </w:rPr>
        <w:t>le</w:t>
      </w:r>
      <w:r w:rsidR="00100EC0" w:rsidRPr="00CF393F">
        <w:rPr>
          <w:rFonts w:eastAsiaTheme="majorEastAsia"/>
          <w:color w:val="ED7D31" w:themeColor="accent2"/>
          <w:shd w:val="clear" w:color="auto" w:fill="FFFFFF"/>
        </w:rPr>
        <w:t xml:space="preserve"> </w:t>
      </w:r>
      <w:r w:rsidR="00416598">
        <w:rPr>
          <w:rFonts w:eastAsiaTheme="majorEastAsia"/>
          <w:color w:val="ED7D31" w:themeColor="accent2"/>
          <w:shd w:val="clear" w:color="auto" w:fill="FFFFFF"/>
        </w:rPr>
        <w:t>2</w:t>
      </w:r>
      <w:r w:rsidR="004F2362" w:rsidRPr="00CF393F">
        <w:rPr>
          <w:rFonts w:eastAsiaTheme="majorEastAsia"/>
          <w:color w:val="ED7D31" w:themeColor="accent2"/>
          <w:shd w:val="clear" w:color="auto" w:fill="FFFFFF"/>
        </w:rPr>
        <w:t>c</w:t>
      </w:r>
      <w:r w:rsidR="00100EC0" w:rsidRPr="00CF393F">
        <w:rPr>
          <w:rFonts w:eastAsiaTheme="majorEastAsia"/>
          <w:shd w:val="clear" w:color="auto" w:fill="FFFFFF"/>
        </w:rPr>
        <w:t xml:space="preserve">). </w:t>
      </w:r>
    </w:p>
    <w:p w14:paraId="44CA31BD" w14:textId="3EE63E61" w:rsidR="003B7488" w:rsidRPr="00CF393F" w:rsidRDefault="009465EA">
      <w:pPr>
        <w:pStyle w:val="ListParagraph"/>
        <w:numPr>
          <w:ilvl w:val="0"/>
          <w:numId w:val="18"/>
        </w:numPr>
        <w:spacing w:before="120" w:after="120"/>
        <w:rPr>
          <w:rFonts w:eastAsiaTheme="majorEastAsia"/>
          <w:shd w:val="clear" w:color="auto" w:fill="FFFFFF"/>
        </w:rPr>
      </w:pPr>
      <w:r w:rsidRPr="00CF393F">
        <w:rPr>
          <w:rFonts w:eastAsiaTheme="majorEastAsia"/>
          <w:shd w:val="clear" w:color="auto" w:fill="FFFFFF"/>
        </w:rPr>
        <w:t xml:space="preserve">The pre-failure seafloor for </w:t>
      </w:r>
      <w:r w:rsidR="00904CCD" w:rsidRPr="00CF393F">
        <w:rPr>
          <w:rFonts w:eastAsiaTheme="majorEastAsia"/>
          <w:shd w:val="clear" w:color="auto" w:fill="FFFFFF"/>
        </w:rPr>
        <w:t xml:space="preserve">the source area (Ve) of </w:t>
      </w:r>
      <w:r w:rsidR="00CE7A9D" w:rsidRPr="00CF393F">
        <w:rPr>
          <w:rFonts w:eastAsiaTheme="majorEastAsia"/>
          <w:shd w:val="clear" w:color="auto" w:fill="FFFFFF"/>
        </w:rPr>
        <w:t xml:space="preserve">Ana Slide </w:t>
      </w:r>
      <w:r w:rsidR="00044796" w:rsidRPr="00CF393F">
        <w:rPr>
          <w:rFonts w:eastAsiaTheme="majorEastAsia"/>
          <w:shd w:val="clear" w:color="auto" w:fill="FFFFFF"/>
        </w:rPr>
        <w:t xml:space="preserve">is reconstructed </w:t>
      </w:r>
      <w:r w:rsidR="00904CCD" w:rsidRPr="00CF393F">
        <w:rPr>
          <w:rFonts w:eastAsiaTheme="majorEastAsia"/>
          <w:shd w:val="clear" w:color="auto" w:fill="FFFFFF"/>
        </w:rPr>
        <w:t xml:space="preserve">from the trend of local </w:t>
      </w:r>
      <w:r w:rsidR="00CE7A9D" w:rsidRPr="00CF393F">
        <w:rPr>
          <w:rFonts w:eastAsiaTheme="majorEastAsia"/>
          <w:shd w:val="clear" w:color="auto" w:fill="FFFFFF"/>
        </w:rPr>
        <w:t xml:space="preserve">contour-lines that follow the regional trend. </w:t>
      </w:r>
      <w:r w:rsidR="00044796" w:rsidRPr="00CF393F">
        <w:rPr>
          <w:rFonts w:eastAsiaTheme="majorEastAsia"/>
          <w:shd w:val="clear" w:color="auto" w:fill="FFFFFF"/>
        </w:rPr>
        <w:t>This pre-failure seafloor, however, could have been locally modified by the presence of an underlying older landslide</w:t>
      </w:r>
      <w:r w:rsidR="00CE7A9D" w:rsidRPr="00CF393F">
        <w:rPr>
          <w:rFonts w:eastAsiaTheme="majorEastAsia"/>
          <w:shd w:val="clear" w:color="auto" w:fill="FFFFFF"/>
        </w:rPr>
        <w:t xml:space="preserve">. </w:t>
      </w:r>
      <w:r w:rsidR="00044796" w:rsidRPr="00CF393F">
        <w:rPr>
          <w:rFonts w:eastAsiaTheme="majorEastAsia"/>
          <w:shd w:val="clear" w:color="auto" w:fill="FFFFFF"/>
        </w:rPr>
        <w:t>S</w:t>
      </w:r>
      <w:r w:rsidR="00CE7A9D" w:rsidRPr="00CF393F">
        <w:rPr>
          <w:rFonts w:eastAsiaTheme="majorEastAsia"/>
          <w:shd w:val="clear" w:color="auto" w:fill="FFFFFF"/>
        </w:rPr>
        <w:t xml:space="preserve">ubsequent deposition of slope sediments </w:t>
      </w:r>
      <w:r w:rsidR="00044796" w:rsidRPr="00CF393F">
        <w:rPr>
          <w:rFonts w:eastAsiaTheme="majorEastAsia"/>
          <w:shd w:val="clear" w:color="auto" w:fill="FFFFFF"/>
        </w:rPr>
        <w:t xml:space="preserve">may have </w:t>
      </w:r>
      <w:r w:rsidR="00CE7A9D" w:rsidRPr="00CF393F">
        <w:rPr>
          <w:rFonts w:eastAsiaTheme="majorEastAsia"/>
          <w:shd w:val="clear" w:color="auto" w:fill="FFFFFF"/>
        </w:rPr>
        <w:t xml:space="preserve">infilled the source area but </w:t>
      </w:r>
      <w:r w:rsidR="00044796" w:rsidRPr="00CF393F">
        <w:rPr>
          <w:rFonts w:eastAsiaTheme="majorEastAsia"/>
          <w:shd w:val="clear" w:color="auto" w:fill="FFFFFF"/>
        </w:rPr>
        <w:t>possibly</w:t>
      </w:r>
      <w:r w:rsidR="00CE7A9D" w:rsidRPr="00CF393F">
        <w:rPr>
          <w:rFonts w:eastAsiaTheme="majorEastAsia"/>
          <w:shd w:val="clear" w:color="auto" w:fill="FFFFFF"/>
        </w:rPr>
        <w:t xml:space="preserve"> not </w:t>
      </w:r>
      <w:r w:rsidR="00044796" w:rsidRPr="00CF393F">
        <w:rPr>
          <w:rFonts w:eastAsiaTheme="majorEastAsia"/>
          <w:shd w:val="clear" w:color="auto" w:fill="FFFFFF"/>
        </w:rPr>
        <w:t>to an extent to even out compared to the non-failed neighbouring area</w:t>
      </w:r>
      <w:r w:rsidR="00CE7A9D" w:rsidRPr="00CF393F">
        <w:rPr>
          <w:rFonts w:eastAsiaTheme="majorEastAsia"/>
          <w:shd w:val="clear" w:color="auto" w:fill="FFFFFF"/>
        </w:rPr>
        <w:t>. Th</w:t>
      </w:r>
      <w:r w:rsidR="00044796" w:rsidRPr="00CF393F">
        <w:rPr>
          <w:rFonts w:eastAsiaTheme="majorEastAsia"/>
          <w:shd w:val="clear" w:color="auto" w:fill="FFFFFF"/>
        </w:rPr>
        <w:t>e exact uncertainty is impossible to quantify but we suggest a potential</w:t>
      </w:r>
      <w:r w:rsidR="00CE7A9D" w:rsidRPr="00CF393F">
        <w:rPr>
          <w:rFonts w:eastAsiaTheme="majorEastAsia"/>
          <w:shd w:val="clear" w:color="auto" w:fill="FFFFFF"/>
        </w:rPr>
        <w:t xml:space="preserve"> overestimation for the calculation Ve of up to 10%</w:t>
      </w:r>
      <w:r w:rsidR="004F2362" w:rsidRPr="00CF393F">
        <w:rPr>
          <w:rFonts w:eastAsiaTheme="majorEastAsia"/>
          <w:shd w:val="clear" w:color="auto" w:fill="FFFFFF"/>
        </w:rPr>
        <w:t xml:space="preserve"> (</w:t>
      </w:r>
      <w:r w:rsidR="004F2362" w:rsidRPr="00CF393F">
        <w:rPr>
          <w:rFonts w:eastAsiaTheme="majorEastAsia"/>
          <w:color w:val="ED7D31" w:themeColor="accent2"/>
          <w:shd w:val="clear" w:color="auto" w:fill="FFFFFF"/>
        </w:rPr>
        <w:t>Tab</w:t>
      </w:r>
      <w:r w:rsidR="00CE5C82">
        <w:rPr>
          <w:rFonts w:eastAsiaTheme="majorEastAsia"/>
          <w:color w:val="ED7D31" w:themeColor="accent2"/>
          <w:shd w:val="clear" w:color="auto" w:fill="FFFFFF"/>
        </w:rPr>
        <w:t>le</w:t>
      </w:r>
      <w:r w:rsidR="004F2362" w:rsidRPr="00CF393F">
        <w:rPr>
          <w:rFonts w:eastAsiaTheme="majorEastAsia"/>
          <w:color w:val="ED7D31" w:themeColor="accent2"/>
          <w:shd w:val="clear" w:color="auto" w:fill="FFFFFF"/>
        </w:rPr>
        <w:t xml:space="preserve"> </w:t>
      </w:r>
      <w:r w:rsidR="00416598">
        <w:rPr>
          <w:rFonts w:eastAsiaTheme="majorEastAsia"/>
          <w:color w:val="ED7D31" w:themeColor="accent2"/>
          <w:shd w:val="clear" w:color="auto" w:fill="FFFFFF"/>
        </w:rPr>
        <w:t>2</w:t>
      </w:r>
      <w:r w:rsidR="004F2362" w:rsidRPr="00CF393F">
        <w:rPr>
          <w:rFonts w:eastAsiaTheme="majorEastAsia"/>
          <w:color w:val="ED7D31" w:themeColor="accent2"/>
          <w:shd w:val="clear" w:color="auto" w:fill="FFFFFF"/>
        </w:rPr>
        <w:t>d</w:t>
      </w:r>
      <w:r w:rsidR="004F2362" w:rsidRPr="00CF393F">
        <w:rPr>
          <w:rFonts w:eastAsiaTheme="majorEastAsia"/>
          <w:shd w:val="clear" w:color="auto" w:fill="FFFFFF"/>
        </w:rPr>
        <w:t>)</w:t>
      </w:r>
      <w:r w:rsidR="00CE7A9D" w:rsidRPr="00CF393F">
        <w:rPr>
          <w:rFonts w:eastAsiaTheme="majorEastAsia"/>
          <w:shd w:val="clear" w:color="auto" w:fill="FFFFFF"/>
        </w:rPr>
        <w:t>.</w:t>
      </w:r>
    </w:p>
    <w:p w14:paraId="3F403423" w14:textId="0A6B28E1" w:rsidR="006F11FA" w:rsidRPr="00CF393F" w:rsidRDefault="006F11FA" w:rsidP="00416598">
      <w:pPr>
        <w:pStyle w:val="ListParagraph"/>
        <w:numPr>
          <w:ilvl w:val="0"/>
          <w:numId w:val="18"/>
        </w:numPr>
        <w:spacing w:before="120" w:after="120"/>
      </w:pPr>
      <w:r w:rsidRPr="00CF393F">
        <w:t>The manual reconstruction of the pre-failure seafloor performed inside the source area</w:t>
      </w:r>
      <w:r w:rsidR="00904CCD" w:rsidRPr="00CF393F">
        <w:t xml:space="preserve"> (Ve)</w:t>
      </w:r>
      <w:r w:rsidRPr="00CF393F">
        <w:t xml:space="preserve"> is inherently subjective. For Ana Slide this approach introduces </w:t>
      </w:r>
      <w:r w:rsidR="00904CCD" w:rsidRPr="00CF393F">
        <w:t xml:space="preserve">both </w:t>
      </w:r>
      <w:r w:rsidRPr="00CF393F">
        <w:t>a positive and negative uncertainty of up to 10%</w:t>
      </w:r>
      <w:r w:rsidR="004F2362" w:rsidRPr="00CF393F">
        <w:t xml:space="preserve"> (</w:t>
      </w:r>
      <w:r w:rsidR="004F2362" w:rsidRPr="00CF393F">
        <w:rPr>
          <w:color w:val="ED7D31" w:themeColor="accent2"/>
        </w:rPr>
        <w:t>Tab</w:t>
      </w:r>
      <w:r w:rsidR="00CE5C82">
        <w:rPr>
          <w:color w:val="ED7D31" w:themeColor="accent2"/>
        </w:rPr>
        <w:t>le</w:t>
      </w:r>
      <w:r w:rsidR="004F2362" w:rsidRPr="00CF393F">
        <w:rPr>
          <w:color w:val="ED7D31" w:themeColor="accent2"/>
        </w:rPr>
        <w:t xml:space="preserve"> </w:t>
      </w:r>
      <w:r w:rsidR="00416598">
        <w:rPr>
          <w:color w:val="ED7D31" w:themeColor="accent2"/>
        </w:rPr>
        <w:t>2</w:t>
      </w:r>
      <w:r w:rsidR="004F2362" w:rsidRPr="00CF393F">
        <w:rPr>
          <w:color w:val="ED7D31" w:themeColor="accent2"/>
        </w:rPr>
        <w:t>e</w:t>
      </w:r>
      <w:r w:rsidR="004F2362" w:rsidRPr="00CF393F">
        <w:t>)</w:t>
      </w:r>
      <w:r w:rsidRPr="00CF393F">
        <w:t xml:space="preserve">. </w:t>
      </w:r>
    </w:p>
    <w:p w14:paraId="6B9C0B6A" w14:textId="074854AC" w:rsidR="003B7488" w:rsidRPr="00CF393F" w:rsidRDefault="009465EA" w:rsidP="006F1410">
      <w:r w:rsidRPr="00CF393F">
        <w:rPr>
          <w:rFonts w:eastAsiaTheme="majorEastAsia"/>
          <w:shd w:val="clear" w:color="auto" w:fill="FFFFFF"/>
        </w:rPr>
        <w:t xml:space="preserve">Further </w:t>
      </w:r>
      <w:r w:rsidR="00904CCD" w:rsidRPr="00CF393F">
        <w:rPr>
          <w:rFonts w:eastAsiaTheme="majorEastAsia"/>
          <w:shd w:val="clear" w:color="auto" w:fill="FFFFFF"/>
        </w:rPr>
        <w:t xml:space="preserve">insignificant </w:t>
      </w:r>
      <w:r w:rsidRPr="00CF393F">
        <w:rPr>
          <w:rFonts w:eastAsiaTheme="majorEastAsia"/>
          <w:shd w:val="clear" w:color="auto" w:fill="FFFFFF"/>
        </w:rPr>
        <w:t xml:space="preserve">uncertainties </w:t>
      </w:r>
      <w:r w:rsidR="00904CCD" w:rsidRPr="00CF393F">
        <w:rPr>
          <w:rFonts w:eastAsiaTheme="majorEastAsia"/>
          <w:shd w:val="clear" w:color="auto" w:fill="FFFFFF"/>
        </w:rPr>
        <w:t>may</w:t>
      </w:r>
      <w:r w:rsidRPr="00CF393F">
        <w:rPr>
          <w:rFonts w:eastAsiaTheme="majorEastAsia"/>
          <w:shd w:val="clear" w:color="auto" w:fill="FFFFFF"/>
        </w:rPr>
        <w:t xml:space="preserve"> be introduced by </w:t>
      </w:r>
      <w:r w:rsidR="004F2362" w:rsidRPr="00CF393F">
        <w:rPr>
          <w:rFonts w:eastAsiaTheme="majorEastAsia"/>
          <w:shd w:val="clear" w:color="auto" w:fill="FFFFFF"/>
        </w:rPr>
        <w:t>1</w:t>
      </w:r>
      <w:r w:rsidRPr="00CF393F">
        <w:rPr>
          <w:rFonts w:eastAsiaTheme="majorEastAsia"/>
          <w:shd w:val="clear" w:color="auto" w:fill="FFFFFF"/>
        </w:rPr>
        <w:t>) basal erosion and/or entrainment of seafloor sediment that can incorporate</w:t>
      </w:r>
      <w:r w:rsidR="00904CCD" w:rsidRPr="00CF393F">
        <w:rPr>
          <w:rFonts w:eastAsiaTheme="majorEastAsia"/>
          <w:shd w:val="clear" w:color="auto" w:fill="FFFFFF"/>
        </w:rPr>
        <w:t>d</w:t>
      </w:r>
      <w:r w:rsidRPr="00CF393F">
        <w:rPr>
          <w:rFonts w:eastAsiaTheme="majorEastAsia"/>
          <w:shd w:val="clear" w:color="auto" w:fill="FFFFFF"/>
        </w:rPr>
        <w:t xml:space="preserve"> into the landslide and increase the volume of accumulated landslide material inside the sink area (Va) (e.g., </w:t>
      </w:r>
      <w:r w:rsidRPr="00CF393F">
        <w:rPr>
          <w:rFonts w:eastAsiaTheme="majorEastAsia"/>
          <w:color w:val="4472C4" w:themeColor="accent1"/>
          <w:shd w:val="clear" w:color="auto" w:fill="FFFFFF"/>
        </w:rPr>
        <w:fldChar w:fldCharType="begin"/>
      </w:r>
      <w:r w:rsidRPr="00CF393F">
        <w:rPr>
          <w:rFonts w:eastAsiaTheme="majorEastAsia"/>
          <w:color w:val="4472C4" w:themeColor="accent1"/>
          <w:shd w:val="clear" w:color="auto" w:fill="FFFFFF"/>
        </w:rPr>
        <w:instrText xml:space="preserve"> ADDIN ZOTERO_ITEM CSL_CITATION {"citationID":"JLchhpdd","properties":{"formattedCitation":"(Nugraha et al., 2022; Sobiesiak et al., 2018)","plainCitation":"(Nugraha et al., 2022; Sobiesiak et al., 2018)","dontUpdate":true,"noteIndex":0},"citationItems":[{"id":1113,"uris":["http://zotero.org/users/local/2G46dtX8/items/ZSDHTPK3"],"itemData":{"id":1113,"type":"article-journal","abstract":"Submarine slides (including slides, slumps, and debris flows) pose major geohazards by triggering tsunami and damaging essential submarine infrastructure. Slide volume, a key parameter in hazard assessments, can increase markedly through substrate and/or water entrainment. However, the erosive potential of slides is uncertain. We quantified slide erosivity by determining the ratio of deposited (Vd) to initially evacuated (Ve) sediment volumes; i.e., slides that gain volume through erosion have a Vd/Ve ratio &gt;1. We applied this method to the Gorgon slide, a large (500 km3), seismically imaged slide offshore northwestern Australia, and reviewed Vd/Ve ratios for 11 other large slides worldwide. Nine of the 11 slides have Vd/Ve &gt; 1 (median value = 2), showing emplaced volumes increased after initial failure. The Gorgon slide is the most erosive slide currently documented (Vd/Ve = 13), possibly reflecting its passage across a highly erodible carbonate ooze substrate. Our new approach to quantifying erosion is important for hazard assessments given substrate-flow interactions control slide speed and runout distance. The variations in slide volume also have important implications for submarine infrastructure impact assessments, including more robust tsunami modeling.","container-title":"Geology","DOI":"10.1130/G50164.1","ISSN":"0091-7613, 1943-2682","issue":"10","language":"en","page":"1130-1134","source":"DOI.org (Crossref)","title":"Extreme erosion by submarine slides","URL":"https://pubs.geoscienceworld.org/geology/article/50/10/1130/615405/Extreme-erosion-by-submarine-slides","volume":"50","author":[{"family":"Nugraha","given":"Harya D."},{"family":"Jackson","given":"Christopher A.-L."},{"family":"Johnson","given":"Howard D."},{"family":"Hodgson","given":"David M."},{"family":"Clare","given":"Michael A."}],"accessed":{"date-parts":[["2022",9,27]]},"issued":{"date-parts":[["2022",10,1]]},"citation-key":"nugraha2022"}},{"id":909,"uris":["http://zotero.org/users/local/2G46dtX8/items/2H4SQWRG"],"itemData":{"id":909,"type":"article-journal","container-title":"Marine and Petroleum Geology","DOI":"10.1016/j.marpetgeo.2018.08.028","ISSN":"02648172","journalAbbreviation":"Marine and Petroleum Geology","language":"en","page":"629-639","source":"DOI.org (Crossref)","title":"Styles of basal interaction beneath mass transport deposits","URL":"https://linkinghub.elsevier.com/retrieve/pii/S0264817218303520","volume":"98","author":[{"family":"Sobiesiak","given":"Matheus S."},{"family":"Kneller","given":"Ben"},{"family":"Alsop","given":"G. Ian"},{"family":"Milana","given":"Juan Pablo"}],"accessed":{"date-parts":[["2022",2,18]]},"issued":{"date-parts":[["2018",12]]},"citation-key":"sobiesiak2018"}}],"schema":"https://github.com/citation-style-language/schema/raw/master/csl-citation.json"} </w:instrText>
      </w:r>
      <w:r w:rsidRPr="00CF393F">
        <w:rPr>
          <w:rFonts w:eastAsiaTheme="majorEastAsia"/>
          <w:color w:val="4472C4" w:themeColor="accent1"/>
          <w:shd w:val="clear" w:color="auto" w:fill="FFFFFF"/>
        </w:rPr>
        <w:fldChar w:fldCharType="separate"/>
      </w:r>
      <w:r w:rsidRPr="00CF393F">
        <w:rPr>
          <w:rFonts w:eastAsiaTheme="majorEastAsia"/>
          <w:color w:val="4472C4" w:themeColor="accent1"/>
          <w:shd w:val="clear" w:color="auto" w:fill="FFFFFF"/>
        </w:rPr>
        <w:t>Nugraha et al., 2022; Sobiesiak et al., 2018</w:t>
      </w:r>
      <w:r w:rsidRPr="00CF393F">
        <w:rPr>
          <w:rFonts w:eastAsiaTheme="majorEastAsia"/>
          <w:color w:val="4472C4" w:themeColor="accent1"/>
          <w:shd w:val="clear" w:color="auto" w:fill="FFFFFF"/>
        </w:rPr>
        <w:fldChar w:fldCharType="end"/>
      </w:r>
      <w:r w:rsidRPr="00CF393F">
        <w:rPr>
          <w:rFonts w:eastAsiaTheme="majorEastAsia"/>
          <w:color w:val="000000" w:themeColor="text1"/>
          <w:shd w:val="clear" w:color="auto" w:fill="FFFFFF"/>
        </w:rPr>
        <w:t>)</w:t>
      </w:r>
      <w:r w:rsidR="00C5365F" w:rsidRPr="00CF393F">
        <w:rPr>
          <w:rFonts w:eastAsiaTheme="majorEastAsia"/>
          <w:color w:val="000000" w:themeColor="text1"/>
          <w:shd w:val="clear" w:color="auto" w:fill="FFFFFF"/>
        </w:rPr>
        <w:t xml:space="preserve"> and</w:t>
      </w:r>
      <w:r w:rsidRPr="00CF393F">
        <w:rPr>
          <w:rFonts w:eastAsiaTheme="majorEastAsia"/>
          <w:color w:val="000000" w:themeColor="text1"/>
          <w:shd w:val="clear" w:color="auto" w:fill="FFFFFF"/>
        </w:rPr>
        <w:t xml:space="preserve"> </w:t>
      </w:r>
      <w:r w:rsidR="004F2362" w:rsidRPr="00CF393F">
        <w:rPr>
          <w:rFonts w:eastAsiaTheme="majorEastAsia"/>
          <w:color w:val="000000" w:themeColor="text1"/>
          <w:shd w:val="clear" w:color="auto" w:fill="FFFFFF"/>
        </w:rPr>
        <w:t>2</w:t>
      </w:r>
      <w:r w:rsidRPr="00CF393F">
        <w:rPr>
          <w:rFonts w:eastAsiaTheme="majorEastAsia"/>
          <w:color w:val="000000" w:themeColor="text1"/>
          <w:shd w:val="clear" w:color="auto" w:fill="FFFFFF"/>
        </w:rPr>
        <w:t xml:space="preserve">) </w:t>
      </w:r>
      <w:r w:rsidR="00C5365F" w:rsidRPr="00CF393F">
        <w:rPr>
          <w:rFonts w:eastAsiaTheme="majorEastAsia"/>
          <w:color w:val="000000" w:themeColor="text1"/>
          <w:shd w:val="clear" w:color="auto" w:fill="FFFFFF"/>
        </w:rPr>
        <w:t xml:space="preserve">lateral </w:t>
      </w:r>
      <w:r w:rsidR="00904CCD" w:rsidRPr="00CF393F">
        <w:rPr>
          <w:rFonts w:eastAsiaTheme="majorEastAsia"/>
          <w:color w:val="000000" w:themeColor="text1"/>
          <w:shd w:val="clear" w:color="auto" w:fill="FFFFFF"/>
        </w:rPr>
        <w:t xml:space="preserve">variations </w:t>
      </w:r>
      <w:r w:rsidRPr="00CF393F">
        <w:rPr>
          <w:rFonts w:eastAsiaTheme="majorEastAsia"/>
          <w:color w:val="000000" w:themeColor="text1"/>
          <w:shd w:val="clear" w:color="auto" w:fill="FFFFFF"/>
        </w:rPr>
        <w:t>in seismic velocities</w:t>
      </w:r>
      <w:r w:rsidR="00C5365F" w:rsidRPr="00CF393F">
        <w:rPr>
          <w:rFonts w:eastAsiaTheme="majorEastAsia"/>
          <w:color w:val="000000" w:themeColor="text1"/>
          <w:shd w:val="clear" w:color="auto" w:fill="FFFFFF"/>
        </w:rPr>
        <w:t xml:space="preserve"> </w:t>
      </w:r>
      <w:r w:rsidR="00904CCD" w:rsidRPr="00CF393F">
        <w:rPr>
          <w:rFonts w:eastAsiaTheme="majorEastAsia"/>
          <w:color w:val="000000" w:themeColor="text1"/>
          <w:shd w:val="clear" w:color="auto" w:fill="FFFFFF"/>
        </w:rPr>
        <w:t xml:space="preserve">which are </w:t>
      </w:r>
      <w:r w:rsidR="00C5365F" w:rsidRPr="00CF393F">
        <w:rPr>
          <w:rFonts w:eastAsiaTheme="majorEastAsia"/>
          <w:color w:val="000000" w:themeColor="text1"/>
          <w:shd w:val="clear" w:color="auto" w:fill="FFFFFF"/>
        </w:rPr>
        <w:t>expected for large submarine landslides</w:t>
      </w:r>
      <w:r w:rsidRPr="00CF393F">
        <w:rPr>
          <w:rFonts w:eastAsiaTheme="majorEastAsia"/>
          <w:shd w:val="clear" w:color="auto" w:fill="FFFFFF"/>
        </w:rPr>
        <w:t xml:space="preserve">. The effect of </w:t>
      </w:r>
      <w:r w:rsidR="00C5365F" w:rsidRPr="00CF393F">
        <w:rPr>
          <w:rFonts w:eastAsiaTheme="majorEastAsia"/>
          <w:shd w:val="clear" w:color="auto" w:fill="FFFFFF"/>
        </w:rPr>
        <w:t xml:space="preserve">these </w:t>
      </w:r>
      <w:r w:rsidRPr="00CF393F">
        <w:rPr>
          <w:rFonts w:eastAsiaTheme="majorEastAsia"/>
          <w:shd w:val="clear" w:color="auto" w:fill="FFFFFF"/>
        </w:rPr>
        <w:t xml:space="preserve">processes could be significant but are neglected here because of the excellent knowledge of the </w:t>
      </w:r>
      <w:r w:rsidRPr="00CF393F">
        <w:rPr>
          <w:rFonts w:eastAsiaTheme="majorEastAsia"/>
          <w:shd w:val="clear" w:color="auto" w:fill="FFFFFF"/>
        </w:rPr>
        <w:lastRenderedPageBreak/>
        <w:t>emplacement processes of Ana Slide derived from the data in a previous publication (</w:t>
      </w:r>
      <w:r w:rsidR="00416598" w:rsidRPr="00416598">
        <w:rPr>
          <w:rFonts w:eastAsiaTheme="majorEastAsia"/>
          <w:color w:val="4472C4" w:themeColor="accent1"/>
          <w:shd w:val="clear" w:color="auto" w:fill="FFFFFF"/>
        </w:rPr>
        <w:fldChar w:fldCharType="begin"/>
      </w:r>
      <w:r w:rsidR="00416598" w:rsidRPr="00416598">
        <w:rPr>
          <w:rFonts w:eastAsiaTheme="majorEastAsia"/>
          <w:color w:val="4472C4" w:themeColor="accent1"/>
          <w:shd w:val="clear" w:color="auto" w:fill="FFFFFF"/>
        </w:rPr>
        <w:instrText xml:space="preserve"> ADDIN ZOTERO_ITEM CSL_CITATION {"citationID":"2tZgxBOh","properties":{"formattedCitation":"(Sager et al., 2022)","plainCitation":"(Sager et al., 2022)","noteIndex":0},"citationItems":[{"id":1118,"uris":["http://zotero.org/users/local/2G46dtX8/items/Q45LGU7G"],"itemData":{"id":1118,"type":"article-journal","abstract":"Submarine landslides can destroy seafloor infrastructures and generate devastating tsunamis. In spite of decades of research into the functioning of submarine landslides there are still numerous open questions, in particular how different phases of sliding influence each other. Here, we re-analyze Ana Slide—a relatively small (&lt;1 km 3) landslide offshore the Balearic Islands, which is unique in the published literature because it is completely imaged by high-resolution 3D reflection seismic data. Ana Slide comprises three domains: (a) a source area that is almost completely evacuated with evidence of headscarp retrogression, (b) an adjacent downslope translational domain representing a by-pass zone for the material that was mobilized in the source area, and (c) the deposit formed by the mobilized material, which accumulated downslope in a sink area and deformed slope sediment. Isochron maps show deep chaotic seismic units underneath the thickest deposits. We infer that the rapid deposition of the landslide material deformed the underlying sediments. A thin stratified sediment unit between three lobes suggests that Ana Slide evolved in two failure stages separated by several tens of thousands of years. This illustrates the problem of over-estimating the volume of mobilized material and under-estimating the complexity even of relatively simple slope failures without high-quality 3D reflection seismic data.","container-title":"Geochemistry, Geophysics, Geosystems","DOI":"10.1029/2022GC010469","ISSN":"1525-2027, 1525-2027","issue":"11","journalAbbreviation":"Geochem Geophys Geosyst","language":"en","source":"DOI.org (Crossref)","title":"Development and Emplacement of Ana Slide, Eivissa Channel, Western Mediterranean Sea","URL":"https://onlinelibrary.wiley.com/doi/10.1029/2022GC010469","volume":"23","author":[{"family":"Sager","given":"Thore F."},{"family":"Urlaub","given":"Morelia"},{"family":"Kaminski","given":"Pauline"},{"family":"Papenberg","given":"Cord"},{"family":"Lastras","given":"Galderic"},{"family":"Canals","given":"Miquel"},{"family":"Berndt","given":"Christian"}],"accessed":{"date-parts":[["2022",11,22]]},"issued":{"date-parts":[["2022",11]]},"citation-key":"sager2022"}}],"schema":"https://github.com/citation-style-language/schema/raw/master/csl-citation.json"} </w:instrText>
      </w:r>
      <w:r w:rsidR="00416598" w:rsidRPr="00416598">
        <w:rPr>
          <w:rFonts w:eastAsiaTheme="majorEastAsia"/>
          <w:color w:val="4472C4" w:themeColor="accent1"/>
          <w:shd w:val="clear" w:color="auto" w:fill="FFFFFF"/>
        </w:rPr>
        <w:fldChar w:fldCharType="separate"/>
      </w:r>
      <w:r w:rsidR="00416598" w:rsidRPr="00416598">
        <w:rPr>
          <w:rFonts w:eastAsiaTheme="majorEastAsia"/>
          <w:noProof/>
          <w:color w:val="4472C4" w:themeColor="accent1"/>
          <w:shd w:val="clear" w:color="auto" w:fill="FFFFFF"/>
        </w:rPr>
        <w:t>Sager et al., 2022</w:t>
      </w:r>
      <w:r w:rsidR="00416598" w:rsidRPr="00416598">
        <w:rPr>
          <w:rFonts w:eastAsiaTheme="majorEastAsia"/>
          <w:color w:val="4472C4" w:themeColor="accent1"/>
          <w:shd w:val="clear" w:color="auto" w:fill="FFFFFF"/>
        </w:rPr>
        <w:fldChar w:fldCharType="end"/>
      </w:r>
      <w:r w:rsidRPr="00CF393F">
        <w:rPr>
          <w:rFonts w:eastAsiaTheme="majorEastAsia"/>
          <w:shd w:val="clear" w:color="auto" w:fill="FFFFFF"/>
        </w:rPr>
        <w:t xml:space="preserve">) and because of the relatively small area in which the Ana Slide occurred. </w:t>
      </w:r>
      <w:r w:rsidR="006F1410" w:rsidRPr="00CF393F">
        <w:rPr>
          <w:rFonts w:eastAsiaTheme="majorEastAsia"/>
          <w:shd w:val="clear" w:color="auto" w:fill="FFFFFF"/>
        </w:rPr>
        <w:t>T</w:t>
      </w:r>
      <w:r w:rsidR="00CE7A9D" w:rsidRPr="00CF393F">
        <w:t xml:space="preserve">he ghost-artefacts have no influence on the volume-calculation as they cancel out throughout the 3D reflection seismic data because positive and negative variations are the same. </w:t>
      </w:r>
      <w:r w:rsidR="00C5365F" w:rsidRPr="00CF393F">
        <w:t>The horizon-flattening pre-failure seafloor reconstruction</w:t>
      </w:r>
      <w:r w:rsidR="00904CCD" w:rsidRPr="00CF393F">
        <w:t xml:space="preserve"> performed inside the sink area</w:t>
      </w:r>
      <w:r w:rsidR="00C5365F" w:rsidRPr="00CF393F">
        <w:t xml:space="preserve"> is </w:t>
      </w:r>
      <w:r w:rsidR="006F11FA" w:rsidRPr="00CF393F">
        <w:t>primarily</w:t>
      </w:r>
      <w:r w:rsidR="00C5365F" w:rsidRPr="00CF393F">
        <w:t xml:space="preserve"> affected by the ghost-artefacts that contribute no uncertainty.</w:t>
      </w:r>
    </w:p>
    <w:p w14:paraId="5EC064BA" w14:textId="57B89A49" w:rsidR="003B7488" w:rsidRPr="00CF393F" w:rsidRDefault="00CE7A9D" w:rsidP="00416598">
      <w:pPr>
        <w:spacing w:before="120"/>
      </w:pPr>
      <w:r w:rsidRPr="00CF393F">
        <w:t xml:space="preserve">The resulting uncertainties affected the volume calculation of evacuated landslide material from the source are from </w:t>
      </w:r>
      <w:r w:rsidR="00904CCD" w:rsidRPr="00CF393F">
        <w:t xml:space="preserve">Ve = </w:t>
      </w:r>
      <w:r w:rsidRPr="00CF393F">
        <w:t>0,016 km</w:t>
      </w:r>
      <w:r w:rsidRPr="00CF393F">
        <w:rPr>
          <w:vertAlign w:val="superscript"/>
        </w:rPr>
        <w:t>3</w:t>
      </w:r>
      <w:r w:rsidRPr="00CF393F">
        <w:t xml:space="preserve"> to a maximum of 0.02</w:t>
      </w:r>
      <w:r w:rsidR="00D72C37" w:rsidRPr="00CF393F">
        <w:t>1</w:t>
      </w:r>
      <w:r w:rsidRPr="00CF393F">
        <w:t xml:space="preserve"> km</w:t>
      </w:r>
      <w:r w:rsidRPr="00CF393F">
        <w:rPr>
          <w:vertAlign w:val="superscript"/>
        </w:rPr>
        <w:t>3</w:t>
      </w:r>
      <w:r w:rsidRPr="00CF393F">
        <w:t xml:space="preserve"> and minimum of 0.01</w:t>
      </w:r>
      <w:r w:rsidR="00D72C37" w:rsidRPr="00CF393F">
        <w:t>3</w:t>
      </w:r>
      <w:r w:rsidRPr="00CF393F">
        <w:t xml:space="preserve"> km</w:t>
      </w:r>
      <w:r w:rsidRPr="00CF393F">
        <w:rPr>
          <w:vertAlign w:val="superscript"/>
        </w:rPr>
        <w:t>3</w:t>
      </w:r>
      <w:r w:rsidRPr="00CF393F">
        <w:t>, thus the uncertainty is +</w:t>
      </w:r>
      <w:r w:rsidR="00D72C37" w:rsidRPr="00CF393F">
        <w:t>30</w:t>
      </w:r>
      <w:r w:rsidRPr="00CF393F">
        <w:t>% and -</w:t>
      </w:r>
      <w:r w:rsidR="00D72C37" w:rsidRPr="00CF393F">
        <w:t>16</w:t>
      </w:r>
      <w:r w:rsidRPr="00CF393F">
        <w:t>%. For accumulated landslide mate</w:t>
      </w:r>
      <w:r w:rsidR="00904CCD" w:rsidRPr="00CF393F">
        <w:t xml:space="preserve">rial Va = </w:t>
      </w:r>
      <w:r w:rsidRPr="00CF393F">
        <w:t>0.016 km</w:t>
      </w:r>
      <w:r w:rsidRPr="00CF393F">
        <w:rPr>
          <w:vertAlign w:val="superscript"/>
        </w:rPr>
        <w:t>3</w:t>
      </w:r>
      <w:r w:rsidRPr="00CF393F">
        <w:t xml:space="preserve"> the maximum deviation due to the uncertainties sums to</w:t>
      </w:r>
      <w:r w:rsidR="00904CCD" w:rsidRPr="00CF393F">
        <w:t xml:space="preserve"> a maximum of</w:t>
      </w:r>
      <w:r w:rsidRPr="00CF393F">
        <w:t xml:space="preserve"> 0.0</w:t>
      </w:r>
      <w:r w:rsidR="00D72C37" w:rsidRPr="00CF393F">
        <w:t>18</w:t>
      </w:r>
      <w:r w:rsidRPr="00CF393F">
        <w:t xml:space="preserve"> km</w:t>
      </w:r>
      <w:r w:rsidRPr="00CF393F">
        <w:rPr>
          <w:vertAlign w:val="superscript"/>
        </w:rPr>
        <w:t>3</w:t>
      </w:r>
      <w:r w:rsidRPr="00CF393F">
        <w:t xml:space="preserve"> and minimum of 0.01</w:t>
      </w:r>
      <w:r w:rsidR="00D72C37" w:rsidRPr="00CF393F">
        <w:t>5</w:t>
      </w:r>
      <w:r w:rsidRPr="00CF393F">
        <w:t xml:space="preserve"> km</w:t>
      </w:r>
      <w:r w:rsidRPr="00CF393F">
        <w:rPr>
          <w:vertAlign w:val="superscript"/>
        </w:rPr>
        <w:t>3</w:t>
      </w:r>
      <w:r w:rsidRPr="00CF393F">
        <w:t>, thus +</w:t>
      </w:r>
      <w:r w:rsidR="00D72C37" w:rsidRPr="00CF393F">
        <w:t>12</w:t>
      </w:r>
      <w:r w:rsidRPr="00CF393F">
        <w:t>% and -</w:t>
      </w:r>
      <w:r w:rsidR="00D72C37" w:rsidRPr="00CF393F">
        <w:t>7</w:t>
      </w:r>
      <w:r w:rsidRPr="00CF393F">
        <w:t xml:space="preserve">%. </w:t>
      </w:r>
      <w:r w:rsidR="00A80622" w:rsidRPr="00CF393F">
        <w:t xml:space="preserve">See </w:t>
      </w:r>
      <w:r w:rsidR="00A80622" w:rsidRPr="00CF393F">
        <w:rPr>
          <w:color w:val="ED7D31" w:themeColor="accent2"/>
        </w:rPr>
        <w:t xml:space="preserve">Table </w:t>
      </w:r>
      <w:r w:rsidR="00416598">
        <w:rPr>
          <w:color w:val="ED7D31" w:themeColor="accent2"/>
        </w:rPr>
        <w:t>2</w:t>
      </w:r>
      <w:r w:rsidR="00A80622" w:rsidRPr="00CF393F">
        <w:t xml:space="preserve"> for an overview. </w:t>
      </w:r>
    </w:p>
    <w:tbl>
      <w:tblPr>
        <w:tblW w:w="9360" w:type="dxa"/>
        <w:tblLook w:val="04A0" w:firstRow="1" w:lastRow="0" w:firstColumn="1" w:lastColumn="0" w:noHBand="0" w:noVBand="1"/>
      </w:tblPr>
      <w:tblGrid>
        <w:gridCol w:w="728"/>
        <w:gridCol w:w="2876"/>
        <w:gridCol w:w="1386"/>
        <w:gridCol w:w="1106"/>
        <w:gridCol w:w="850"/>
        <w:gridCol w:w="745"/>
        <w:gridCol w:w="834"/>
        <w:gridCol w:w="835"/>
      </w:tblGrid>
      <w:tr w:rsidR="003B7488" w:rsidRPr="00CF393F" w14:paraId="2F4B109D" w14:textId="77777777" w:rsidTr="006F11FA">
        <w:trPr>
          <w:trHeight w:val="340"/>
        </w:trPr>
        <w:tc>
          <w:tcPr>
            <w:tcW w:w="72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5E52EE8" w14:textId="77777777" w:rsidR="003B7488" w:rsidRPr="00CF393F" w:rsidRDefault="003B7488"/>
        </w:tc>
        <w:tc>
          <w:tcPr>
            <w:tcW w:w="2876" w:type="dxa"/>
            <w:tcBorders>
              <w:top w:val="none" w:sz="4" w:space="0" w:color="000000"/>
              <w:left w:val="none" w:sz="4" w:space="0" w:color="000000"/>
              <w:bottom w:val="single" w:sz="8" w:space="0" w:color="auto"/>
              <w:right w:val="none" w:sz="4" w:space="0" w:color="000000"/>
            </w:tcBorders>
            <w:shd w:val="clear" w:color="auto" w:fill="auto"/>
            <w:noWrap/>
            <w:vAlign w:val="bottom"/>
          </w:tcPr>
          <w:p w14:paraId="14452D03" w14:textId="77777777" w:rsidR="003B7488" w:rsidRPr="00CF393F" w:rsidRDefault="00CE7A9D">
            <w:pPr>
              <w:rPr>
                <w:b/>
                <w:bCs/>
                <w:sz w:val="16"/>
                <w:szCs w:val="16"/>
              </w:rPr>
            </w:pPr>
            <w:r w:rsidRPr="00CF393F">
              <w:rPr>
                <w:b/>
                <w:bCs/>
                <w:sz w:val="16"/>
                <w:szCs w:val="16"/>
              </w:rPr>
              <w:t>Error Description</w:t>
            </w:r>
          </w:p>
        </w:tc>
        <w:tc>
          <w:tcPr>
            <w:tcW w:w="1386" w:type="dxa"/>
            <w:tcBorders>
              <w:top w:val="none" w:sz="4" w:space="0" w:color="000000"/>
              <w:left w:val="none" w:sz="4" w:space="0" w:color="000000"/>
              <w:bottom w:val="single" w:sz="8" w:space="0" w:color="auto"/>
              <w:right w:val="none" w:sz="4" w:space="0" w:color="000000"/>
            </w:tcBorders>
            <w:shd w:val="clear" w:color="auto" w:fill="auto"/>
            <w:noWrap/>
            <w:vAlign w:val="bottom"/>
          </w:tcPr>
          <w:p w14:paraId="3CDC7E71" w14:textId="77777777" w:rsidR="003B7488" w:rsidRPr="00CF393F" w:rsidRDefault="00CE7A9D">
            <w:pPr>
              <w:rPr>
                <w:b/>
                <w:bCs/>
                <w:sz w:val="16"/>
                <w:szCs w:val="16"/>
              </w:rPr>
            </w:pPr>
            <w:r w:rsidRPr="00CF393F">
              <w:rPr>
                <w:b/>
                <w:bCs/>
                <w:sz w:val="16"/>
                <w:szCs w:val="16"/>
              </w:rPr>
              <w:t>Type of Error</w:t>
            </w:r>
          </w:p>
        </w:tc>
        <w:tc>
          <w:tcPr>
            <w:tcW w:w="1106" w:type="dxa"/>
            <w:tcBorders>
              <w:top w:val="none" w:sz="4" w:space="0" w:color="000000"/>
              <w:left w:val="none" w:sz="4" w:space="0" w:color="000000"/>
              <w:bottom w:val="single" w:sz="8" w:space="0" w:color="auto"/>
              <w:right w:val="none" w:sz="4" w:space="0" w:color="000000"/>
            </w:tcBorders>
            <w:shd w:val="clear" w:color="auto" w:fill="auto"/>
            <w:noWrap/>
            <w:vAlign w:val="bottom"/>
          </w:tcPr>
          <w:p w14:paraId="71EB9149" w14:textId="77777777" w:rsidR="003B7488" w:rsidRPr="00CF393F" w:rsidRDefault="00CE7A9D">
            <w:pPr>
              <w:rPr>
                <w:b/>
                <w:bCs/>
                <w:sz w:val="16"/>
                <w:szCs w:val="16"/>
              </w:rPr>
            </w:pPr>
            <w:r w:rsidRPr="00CF393F">
              <w:rPr>
                <w:b/>
                <w:bCs/>
                <w:sz w:val="16"/>
                <w:szCs w:val="16"/>
              </w:rPr>
              <w:t>Uncertainty</w:t>
            </w:r>
          </w:p>
        </w:tc>
        <w:tc>
          <w:tcPr>
            <w:tcW w:w="850" w:type="dxa"/>
            <w:tcBorders>
              <w:top w:val="none" w:sz="4" w:space="0" w:color="000000"/>
              <w:left w:val="none" w:sz="4" w:space="0" w:color="000000"/>
              <w:bottom w:val="single" w:sz="8" w:space="0" w:color="auto"/>
              <w:right w:val="none" w:sz="4" w:space="0" w:color="000000"/>
            </w:tcBorders>
            <w:shd w:val="clear" w:color="auto" w:fill="auto"/>
            <w:noWrap/>
            <w:vAlign w:val="bottom"/>
          </w:tcPr>
          <w:p w14:paraId="75318E5C" w14:textId="77777777" w:rsidR="003B7488" w:rsidRPr="00CF393F" w:rsidRDefault="00CE7A9D">
            <w:pPr>
              <w:rPr>
                <w:b/>
                <w:bCs/>
                <w:sz w:val="16"/>
                <w:szCs w:val="16"/>
              </w:rPr>
            </w:pPr>
            <w:r w:rsidRPr="00CF393F">
              <w:rPr>
                <w:b/>
                <w:bCs/>
                <w:sz w:val="16"/>
                <w:szCs w:val="16"/>
              </w:rPr>
              <w:t xml:space="preserve">Source </w:t>
            </w:r>
          </w:p>
          <w:p w14:paraId="092F4E8B" w14:textId="77777777" w:rsidR="003B7488" w:rsidRPr="00CF393F" w:rsidRDefault="00CE7A9D">
            <w:pPr>
              <w:rPr>
                <w:b/>
                <w:bCs/>
                <w:sz w:val="16"/>
                <w:szCs w:val="16"/>
              </w:rPr>
            </w:pPr>
            <w:r w:rsidRPr="00CF393F">
              <w:rPr>
                <w:b/>
                <w:bCs/>
                <w:sz w:val="16"/>
                <w:szCs w:val="16"/>
              </w:rPr>
              <w:t>max (+)</w:t>
            </w:r>
          </w:p>
        </w:tc>
        <w:tc>
          <w:tcPr>
            <w:tcW w:w="745" w:type="dxa"/>
            <w:tcBorders>
              <w:top w:val="none" w:sz="4" w:space="0" w:color="000000"/>
              <w:left w:val="none" w:sz="4" w:space="0" w:color="000000"/>
              <w:bottom w:val="single" w:sz="8" w:space="0" w:color="auto"/>
              <w:right w:val="none" w:sz="4" w:space="0" w:color="000000"/>
            </w:tcBorders>
            <w:shd w:val="clear" w:color="auto" w:fill="auto"/>
            <w:noWrap/>
            <w:vAlign w:val="bottom"/>
          </w:tcPr>
          <w:p w14:paraId="76E4EC5B" w14:textId="77777777" w:rsidR="003B7488" w:rsidRPr="00CF393F" w:rsidRDefault="00CE7A9D">
            <w:pPr>
              <w:rPr>
                <w:b/>
                <w:bCs/>
                <w:sz w:val="16"/>
                <w:szCs w:val="15"/>
              </w:rPr>
            </w:pPr>
            <w:r w:rsidRPr="00CF393F">
              <w:rPr>
                <w:b/>
                <w:bCs/>
                <w:sz w:val="16"/>
                <w:szCs w:val="15"/>
              </w:rPr>
              <w:t>min (-)</w:t>
            </w:r>
          </w:p>
        </w:tc>
        <w:tc>
          <w:tcPr>
            <w:tcW w:w="834" w:type="dxa"/>
            <w:tcBorders>
              <w:top w:val="none" w:sz="4" w:space="0" w:color="000000"/>
              <w:left w:val="none" w:sz="4" w:space="0" w:color="000000"/>
              <w:bottom w:val="single" w:sz="8" w:space="0" w:color="auto"/>
              <w:right w:val="none" w:sz="4" w:space="0" w:color="000000"/>
            </w:tcBorders>
            <w:shd w:val="clear" w:color="auto" w:fill="auto"/>
            <w:noWrap/>
            <w:vAlign w:val="bottom"/>
          </w:tcPr>
          <w:p w14:paraId="474C524C" w14:textId="77777777" w:rsidR="003B7488" w:rsidRPr="00CF393F" w:rsidRDefault="00CE7A9D">
            <w:pPr>
              <w:rPr>
                <w:b/>
                <w:bCs/>
                <w:sz w:val="16"/>
                <w:szCs w:val="15"/>
              </w:rPr>
            </w:pPr>
            <w:r w:rsidRPr="00CF393F">
              <w:rPr>
                <w:b/>
                <w:bCs/>
                <w:sz w:val="16"/>
                <w:szCs w:val="15"/>
              </w:rPr>
              <w:t xml:space="preserve">Sink </w:t>
            </w:r>
          </w:p>
          <w:p w14:paraId="55FE1589" w14:textId="77777777" w:rsidR="003B7488" w:rsidRPr="00CF393F" w:rsidRDefault="00CE7A9D">
            <w:pPr>
              <w:rPr>
                <w:b/>
                <w:bCs/>
                <w:sz w:val="16"/>
                <w:szCs w:val="15"/>
              </w:rPr>
            </w:pPr>
            <w:r w:rsidRPr="00CF393F">
              <w:rPr>
                <w:b/>
                <w:bCs/>
                <w:sz w:val="16"/>
                <w:szCs w:val="15"/>
              </w:rPr>
              <w:t>max (+)</w:t>
            </w:r>
          </w:p>
        </w:tc>
        <w:tc>
          <w:tcPr>
            <w:tcW w:w="835" w:type="dxa"/>
            <w:tcBorders>
              <w:top w:val="none" w:sz="4" w:space="0" w:color="000000"/>
              <w:left w:val="none" w:sz="4" w:space="0" w:color="000000"/>
              <w:bottom w:val="single" w:sz="8" w:space="0" w:color="auto"/>
              <w:right w:val="none" w:sz="4" w:space="0" w:color="000000"/>
            </w:tcBorders>
            <w:shd w:val="clear" w:color="auto" w:fill="auto"/>
            <w:noWrap/>
            <w:vAlign w:val="bottom"/>
          </w:tcPr>
          <w:p w14:paraId="0F8D0024" w14:textId="77777777" w:rsidR="003B7488" w:rsidRPr="00CF393F" w:rsidRDefault="00CE7A9D">
            <w:pPr>
              <w:rPr>
                <w:b/>
                <w:bCs/>
                <w:sz w:val="16"/>
                <w:szCs w:val="15"/>
              </w:rPr>
            </w:pPr>
            <w:r w:rsidRPr="00CF393F">
              <w:rPr>
                <w:b/>
                <w:bCs/>
                <w:sz w:val="16"/>
                <w:szCs w:val="15"/>
              </w:rPr>
              <w:t>min (-)</w:t>
            </w:r>
          </w:p>
        </w:tc>
      </w:tr>
      <w:tr w:rsidR="003B7488" w:rsidRPr="00CF393F" w14:paraId="48411FA5" w14:textId="77777777" w:rsidTr="006F11FA">
        <w:trPr>
          <w:trHeight w:val="770"/>
        </w:trPr>
        <w:tc>
          <w:tcPr>
            <w:tcW w:w="72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DC91EF7" w14:textId="77777777" w:rsidR="003B7488" w:rsidRPr="00CF393F" w:rsidRDefault="00CE7A9D">
            <w:pPr>
              <w:rPr>
                <w:b/>
                <w:bCs/>
                <w:sz w:val="16"/>
                <w:szCs w:val="15"/>
              </w:rPr>
            </w:pPr>
            <w:r w:rsidRPr="00CF393F">
              <w:rPr>
                <w:b/>
                <w:bCs/>
                <w:sz w:val="16"/>
                <w:szCs w:val="15"/>
              </w:rPr>
              <w:t>a</w:t>
            </w:r>
          </w:p>
        </w:tc>
        <w:tc>
          <w:tcPr>
            <w:tcW w:w="2876" w:type="dxa"/>
            <w:tcBorders>
              <w:top w:val="none" w:sz="4" w:space="0" w:color="000000"/>
              <w:left w:val="single" w:sz="4" w:space="0" w:color="auto"/>
              <w:bottom w:val="single" w:sz="4" w:space="0" w:color="auto"/>
              <w:right w:val="single" w:sz="4" w:space="0" w:color="auto"/>
            </w:tcBorders>
            <w:shd w:val="clear" w:color="auto" w:fill="auto"/>
          </w:tcPr>
          <w:p w14:paraId="57B5D1F4" w14:textId="304308F7" w:rsidR="003B7488" w:rsidRPr="00CF393F" w:rsidRDefault="00C5365F">
            <w:pPr>
              <w:rPr>
                <w:sz w:val="16"/>
                <w:szCs w:val="15"/>
              </w:rPr>
            </w:pPr>
            <w:r w:rsidRPr="00CF393F">
              <w:rPr>
                <w:sz w:val="16"/>
                <w:szCs w:val="15"/>
              </w:rPr>
              <w:t>Unknown</w:t>
            </w:r>
            <w:r w:rsidR="006F11FA" w:rsidRPr="00CF393F">
              <w:rPr>
                <w:sz w:val="16"/>
                <w:szCs w:val="15"/>
              </w:rPr>
              <w:t xml:space="preserve"> positive </w:t>
            </w:r>
          </w:p>
          <w:p w14:paraId="754470F4" w14:textId="77777777" w:rsidR="003B7488" w:rsidRPr="00CF393F" w:rsidRDefault="00CE7A9D">
            <w:pPr>
              <w:rPr>
                <w:sz w:val="16"/>
                <w:szCs w:val="15"/>
              </w:rPr>
            </w:pPr>
            <w:r w:rsidRPr="00CF393F">
              <w:rPr>
                <w:sz w:val="16"/>
                <w:szCs w:val="15"/>
              </w:rPr>
              <w:t>seismic velocity</w:t>
            </w:r>
          </w:p>
        </w:tc>
        <w:tc>
          <w:tcPr>
            <w:tcW w:w="1386" w:type="dxa"/>
            <w:tcBorders>
              <w:top w:val="none" w:sz="4" w:space="0" w:color="000000"/>
              <w:left w:val="none" w:sz="4" w:space="0" w:color="000000"/>
              <w:bottom w:val="single" w:sz="4" w:space="0" w:color="auto"/>
              <w:right w:val="single" w:sz="4" w:space="0" w:color="auto"/>
            </w:tcBorders>
            <w:shd w:val="clear" w:color="auto" w:fill="auto"/>
          </w:tcPr>
          <w:p w14:paraId="5DAE2F62" w14:textId="39E8EC8C" w:rsidR="003B7488" w:rsidRPr="00CF393F" w:rsidRDefault="00C5365F">
            <w:pPr>
              <w:rPr>
                <w:sz w:val="16"/>
                <w:szCs w:val="15"/>
              </w:rPr>
            </w:pPr>
            <w:r w:rsidRPr="00CF393F">
              <w:rPr>
                <w:sz w:val="16"/>
                <w:szCs w:val="15"/>
              </w:rPr>
              <w:t>External and l</w:t>
            </w:r>
            <w:r w:rsidR="00CE7A9D" w:rsidRPr="00CF393F">
              <w:rPr>
                <w:sz w:val="16"/>
                <w:szCs w:val="15"/>
              </w:rPr>
              <w:t>andslide process</w:t>
            </w:r>
          </w:p>
        </w:tc>
        <w:tc>
          <w:tcPr>
            <w:tcW w:w="1106" w:type="dxa"/>
            <w:tcBorders>
              <w:top w:val="none" w:sz="4" w:space="0" w:color="000000"/>
              <w:left w:val="none" w:sz="4" w:space="0" w:color="000000"/>
              <w:bottom w:val="single" w:sz="4" w:space="0" w:color="auto"/>
              <w:right w:val="none" w:sz="4" w:space="0" w:color="000000"/>
            </w:tcBorders>
            <w:shd w:val="clear" w:color="auto" w:fill="auto"/>
            <w:noWrap/>
            <w:vAlign w:val="bottom"/>
          </w:tcPr>
          <w:p w14:paraId="7E5CAE6B" w14:textId="339AF01F" w:rsidR="003B7488" w:rsidRPr="00CF393F" w:rsidRDefault="00A236BF">
            <w:pPr>
              <w:rPr>
                <w:b/>
                <w:bCs/>
                <w:sz w:val="16"/>
                <w:szCs w:val="15"/>
              </w:rPr>
            </w:pPr>
            <w:r w:rsidRPr="00CF393F">
              <w:rPr>
                <w:b/>
                <w:bCs/>
                <w:sz w:val="16"/>
                <w:szCs w:val="15"/>
              </w:rPr>
              <w:t>5</w:t>
            </w:r>
          </w:p>
        </w:tc>
        <w:tc>
          <w:tcPr>
            <w:tcW w:w="85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449C4DAF" w14:textId="77777777" w:rsidR="003B7488" w:rsidRPr="00CF393F" w:rsidRDefault="00CE7A9D">
            <w:pPr>
              <w:rPr>
                <w:sz w:val="16"/>
                <w:szCs w:val="15"/>
              </w:rPr>
            </w:pPr>
            <w:r w:rsidRPr="00CF393F">
              <w:rPr>
                <w:sz w:val="16"/>
                <w:szCs w:val="15"/>
              </w:rPr>
              <w:t> </w:t>
            </w:r>
          </w:p>
        </w:tc>
        <w:tc>
          <w:tcPr>
            <w:tcW w:w="745" w:type="dxa"/>
            <w:tcBorders>
              <w:top w:val="none" w:sz="4" w:space="0" w:color="000000"/>
              <w:left w:val="none" w:sz="4" w:space="0" w:color="000000"/>
              <w:bottom w:val="single" w:sz="4" w:space="0" w:color="auto"/>
              <w:right w:val="single" w:sz="4" w:space="0" w:color="auto"/>
            </w:tcBorders>
            <w:shd w:val="clear" w:color="auto" w:fill="auto"/>
            <w:noWrap/>
            <w:vAlign w:val="center"/>
          </w:tcPr>
          <w:p w14:paraId="3B5D1482" w14:textId="77777777" w:rsidR="003B7488" w:rsidRPr="00CF393F" w:rsidRDefault="00CE7A9D">
            <w:pPr>
              <w:rPr>
                <w:sz w:val="16"/>
                <w:szCs w:val="15"/>
              </w:rPr>
            </w:pPr>
            <w:r w:rsidRPr="00CF393F">
              <w:rPr>
                <w:sz w:val="16"/>
                <w:szCs w:val="15"/>
              </w:rPr>
              <w:t> </w:t>
            </w:r>
          </w:p>
        </w:tc>
        <w:tc>
          <w:tcPr>
            <w:tcW w:w="834" w:type="dxa"/>
            <w:tcBorders>
              <w:top w:val="none" w:sz="4" w:space="0" w:color="000000"/>
              <w:left w:val="none" w:sz="4" w:space="0" w:color="000000"/>
              <w:bottom w:val="single" w:sz="4" w:space="0" w:color="auto"/>
              <w:right w:val="single" w:sz="4" w:space="0" w:color="auto"/>
            </w:tcBorders>
            <w:shd w:val="clear" w:color="000000" w:fill="FFFF00"/>
            <w:noWrap/>
            <w:vAlign w:val="center"/>
          </w:tcPr>
          <w:p w14:paraId="7CE88236" w14:textId="77777777" w:rsidR="003B7488" w:rsidRPr="00CF393F" w:rsidRDefault="00CE7A9D">
            <w:pPr>
              <w:rPr>
                <w:sz w:val="16"/>
                <w:szCs w:val="15"/>
              </w:rPr>
            </w:pPr>
            <w:r w:rsidRPr="00CF393F">
              <w:rPr>
                <w:sz w:val="16"/>
                <w:szCs w:val="15"/>
              </w:rPr>
              <w:t>x</w:t>
            </w:r>
          </w:p>
        </w:tc>
        <w:tc>
          <w:tcPr>
            <w:tcW w:w="835" w:type="dxa"/>
            <w:tcBorders>
              <w:top w:val="none" w:sz="4" w:space="0" w:color="000000"/>
              <w:left w:val="none" w:sz="4" w:space="0" w:color="000000"/>
              <w:bottom w:val="single" w:sz="4" w:space="0" w:color="auto"/>
              <w:right w:val="single" w:sz="4" w:space="0" w:color="auto"/>
            </w:tcBorders>
            <w:shd w:val="clear" w:color="auto" w:fill="auto"/>
            <w:noWrap/>
            <w:vAlign w:val="center"/>
          </w:tcPr>
          <w:p w14:paraId="7ED83A4A" w14:textId="77777777" w:rsidR="003B7488" w:rsidRPr="00CF393F" w:rsidRDefault="00CE7A9D">
            <w:pPr>
              <w:rPr>
                <w:sz w:val="16"/>
                <w:szCs w:val="15"/>
              </w:rPr>
            </w:pPr>
            <w:r w:rsidRPr="00CF393F">
              <w:rPr>
                <w:sz w:val="16"/>
                <w:szCs w:val="15"/>
              </w:rPr>
              <w:t> </w:t>
            </w:r>
          </w:p>
        </w:tc>
      </w:tr>
      <w:tr w:rsidR="003B7488" w:rsidRPr="00CF393F" w14:paraId="0A88CCA8" w14:textId="77777777" w:rsidTr="006F11FA">
        <w:trPr>
          <w:trHeight w:val="680"/>
        </w:trPr>
        <w:tc>
          <w:tcPr>
            <w:tcW w:w="72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567D30A" w14:textId="77777777" w:rsidR="003B7488" w:rsidRPr="00CF393F" w:rsidRDefault="00CE7A9D">
            <w:pPr>
              <w:rPr>
                <w:b/>
                <w:bCs/>
                <w:sz w:val="16"/>
                <w:szCs w:val="15"/>
              </w:rPr>
            </w:pPr>
            <w:r w:rsidRPr="00CF393F">
              <w:rPr>
                <w:b/>
                <w:bCs/>
                <w:sz w:val="16"/>
                <w:szCs w:val="15"/>
              </w:rPr>
              <w:t>b</w:t>
            </w:r>
          </w:p>
        </w:tc>
        <w:tc>
          <w:tcPr>
            <w:tcW w:w="2876" w:type="dxa"/>
            <w:tcBorders>
              <w:top w:val="none" w:sz="4" w:space="0" w:color="000000"/>
              <w:left w:val="single" w:sz="4" w:space="0" w:color="auto"/>
              <w:bottom w:val="single" w:sz="4" w:space="0" w:color="auto"/>
              <w:right w:val="single" w:sz="4" w:space="0" w:color="auto"/>
            </w:tcBorders>
            <w:shd w:val="clear" w:color="auto" w:fill="auto"/>
          </w:tcPr>
          <w:p w14:paraId="7B17CECB" w14:textId="77777777" w:rsidR="003B7488" w:rsidRPr="00CF393F" w:rsidRDefault="00CE7A9D">
            <w:pPr>
              <w:rPr>
                <w:sz w:val="16"/>
                <w:szCs w:val="15"/>
              </w:rPr>
            </w:pPr>
            <w:r w:rsidRPr="00CF393F">
              <w:rPr>
                <w:sz w:val="16"/>
                <w:szCs w:val="15"/>
              </w:rPr>
              <w:t xml:space="preserve">Picking of the seismic </w:t>
            </w:r>
          </w:p>
          <w:p w14:paraId="5B65295F" w14:textId="5A8AE3AB" w:rsidR="003B7488" w:rsidRPr="00CF393F" w:rsidRDefault="00CE7A9D">
            <w:pPr>
              <w:rPr>
                <w:sz w:val="16"/>
                <w:szCs w:val="15"/>
              </w:rPr>
            </w:pPr>
            <w:r w:rsidRPr="00CF393F">
              <w:rPr>
                <w:sz w:val="16"/>
                <w:szCs w:val="15"/>
              </w:rPr>
              <w:t>reflector (vertical res</w:t>
            </w:r>
            <w:r w:rsidR="006F11FA" w:rsidRPr="00CF393F">
              <w:rPr>
                <w:sz w:val="16"/>
                <w:szCs w:val="15"/>
              </w:rPr>
              <w:t>olution</w:t>
            </w:r>
            <w:r w:rsidRPr="00CF393F">
              <w:rPr>
                <w:sz w:val="16"/>
                <w:szCs w:val="15"/>
              </w:rPr>
              <w:t>)</w:t>
            </w:r>
          </w:p>
        </w:tc>
        <w:tc>
          <w:tcPr>
            <w:tcW w:w="1386" w:type="dxa"/>
            <w:tcBorders>
              <w:top w:val="none" w:sz="4" w:space="0" w:color="000000"/>
              <w:left w:val="none" w:sz="4" w:space="0" w:color="000000"/>
              <w:bottom w:val="single" w:sz="4" w:space="0" w:color="auto"/>
              <w:right w:val="single" w:sz="4" w:space="0" w:color="auto"/>
            </w:tcBorders>
            <w:shd w:val="clear" w:color="auto" w:fill="auto"/>
            <w:noWrap/>
          </w:tcPr>
          <w:p w14:paraId="52F10371" w14:textId="77777777" w:rsidR="003B7488" w:rsidRPr="00CF393F" w:rsidRDefault="00CE7A9D">
            <w:pPr>
              <w:rPr>
                <w:sz w:val="16"/>
                <w:szCs w:val="15"/>
              </w:rPr>
            </w:pPr>
            <w:r w:rsidRPr="00CF393F">
              <w:rPr>
                <w:sz w:val="16"/>
                <w:szCs w:val="15"/>
              </w:rPr>
              <w:t>Data</w:t>
            </w:r>
          </w:p>
        </w:tc>
        <w:tc>
          <w:tcPr>
            <w:tcW w:w="1106" w:type="dxa"/>
            <w:tcBorders>
              <w:top w:val="none" w:sz="4" w:space="0" w:color="000000"/>
              <w:left w:val="none" w:sz="4" w:space="0" w:color="000000"/>
              <w:bottom w:val="single" w:sz="4" w:space="0" w:color="auto"/>
              <w:right w:val="none" w:sz="4" w:space="0" w:color="000000"/>
            </w:tcBorders>
            <w:shd w:val="clear" w:color="auto" w:fill="auto"/>
            <w:noWrap/>
            <w:vAlign w:val="bottom"/>
          </w:tcPr>
          <w:p w14:paraId="031DEF67" w14:textId="0108FAED" w:rsidR="003B7488" w:rsidRPr="00CF393F" w:rsidRDefault="006F11FA">
            <w:pPr>
              <w:rPr>
                <w:b/>
                <w:bCs/>
                <w:sz w:val="16"/>
                <w:szCs w:val="15"/>
              </w:rPr>
            </w:pPr>
            <w:r w:rsidRPr="00CF393F">
              <w:rPr>
                <w:b/>
                <w:bCs/>
                <w:sz w:val="16"/>
                <w:szCs w:val="15"/>
              </w:rPr>
              <w:t>5</w:t>
            </w:r>
          </w:p>
        </w:tc>
        <w:tc>
          <w:tcPr>
            <w:tcW w:w="850" w:type="dxa"/>
            <w:tcBorders>
              <w:top w:val="none" w:sz="4" w:space="0" w:color="000000"/>
              <w:left w:val="single" w:sz="4" w:space="0" w:color="auto"/>
              <w:bottom w:val="single" w:sz="4" w:space="0" w:color="auto"/>
              <w:right w:val="single" w:sz="4" w:space="0" w:color="auto"/>
            </w:tcBorders>
            <w:shd w:val="clear" w:color="000000" w:fill="FFFF00"/>
            <w:noWrap/>
            <w:vAlign w:val="center"/>
          </w:tcPr>
          <w:p w14:paraId="2E7604BB" w14:textId="77777777" w:rsidR="003B7488" w:rsidRPr="00CF393F" w:rsidRDefault="00CE7A9D">
            <w:pPr>
              <w:rPr>
                <w:sz w:val="16"/>
                <w:szCs w:val="15"/>
              </w:rPr>
            </w:pPr>
            <w:r w:rsidRPr="00CF393F">
              <w:rPr>
                <w:sz w:val="16"/>
                <w:szCs w:val="15"/>
              </w:rPr>
              <w:t>x</w:t>
            </w:r>
          </w:p>
        </w:tc>
        <w:tc>
          <w:tcPr>
            <w:tcW w:w="745" w:type="dxa"/>
            <w:tcBorders>
              <w:top w:val="none" w:sz="4" w:space="0" w:color="000000"/>
              <w:left w:val="none" w:sz="4" w:space="0" w:color="000000"/>
              <w:bottom w:val="single" w:sz="4" w:space="0" w:color="auto"/>
              <w:right w:val="single" w:sz="4" w:space="0" w:color="auto"/>
            </w:tcBorders>
            <w:shd w:val="clear" w:color="000000" w:fill="FFFF00"/>
            <w:noWrap/>
            <w:vAlign w:val="center"/>
          </w:tcPr>
          <w:p w14:paraId="00A04A43" w14:textId="77777777" w:rsidR="003B7488" w:rsidRPr="00CF393F" w:rsidRDefault="00CE7A9D">
            <w:pPr>
              <w:rPr>
                <w:sz w:val="16"/>
                <w:szCs w:val="15"/>
              </w:rPr>
            </w:pPr>
            <w:r w:rsidRPr="00CF393F">
              <w:rPr>
                <w:sz w:val="16"/>
                <w:szCs w:val="15"/>
              </w:rPr>
              <w:t>x</w:t>
            </w:r>
          </w:p>
        </w:tc>
        <w:tc>
          <w:tcPr>
            <w:tcW w:w="834" w:type="dxa"/>
            <w:tcBorders>
              <w:top w:val="none" w:sz="4" w:space="0" w:color="000000"/>
              <w:left w:val="none" w:sz="4" w:space="0" w:color="000000"/>
              <w:bottom w:val="single" w:sz="4" w:space="0" w:color="auto"/>
              <w:right w:val="single" w:sz="4" w:space="0" w:color="auto"/>
            </w:tcBorders>
            <w:shd w:val="clear" w:color="000000" w:fill="FFFF00"/>
            <w:noWrap/>
            <w:vAlign w:val="center"/>
          </w:tcPr>
          <w:p w14:paraId="204DAC08" w14:textId="77777777" w:rsidR="003B7488" w:rsidRPr="00CF393F" w:rsidRDefault="00CE7A9D">
            <w:pPr>
              <w:rPr>
                <w:sz w:val="16"/>
                <w:szCs w:val="15"/>
              </w:rPr>
            </w:pPr>
            <w:r w:rsidRPr="00CF393F">
              <w:rPr>
                <w:sz w:val="16"/>
                <w:szCs w:val="15"/>
              </w:rPr>
              <w:t>x</w:t>
            </w:r>
          </w:p>
        </w:tc>
        <w:tc>
          <w:tcPr>
            <w:tcW w:w="835" w:type="dxa"/>
            <w:tcBorders>
              <w:top w:val="none" w:sz="4" w:space="0" w:color="000000"/>
              <w:left w:val="none" w:sz="4" w:space="0" w:color="000000"/>
              <w:bottom w:val="single" w:sz="4" w:space="0" w:color="auto"/>
              <w:right w:val="single" w:sz="4" w:space="0" w:color="auto"/>
            </w:tcBorders>
            <w:shd w:val="clear" w:color="000000" w:fill="FFFF00"/>
            <w:noWrap/>
            <w:vAlign w:val="center"/>
          </w:tcPr>
          <w:p w14:paraId="5ECD7184" w14:textId="77777777" w:rsidR="003B7488" w:rsidRPr="00CF393F" w:rsidRDefault="00CE7A9D">
            <w:pPr>
              <w:rPr>
                <w:sz w:val="16"/>
                <w:szCs w:val="15"/>
              </w:rPr>
            </w:pPr>
            <w:r w:rsidRPr="00CF393F">
              <w:rPr>
                <w:sz w:val="16"/>
                <w:szCs w:val="15"/>
              </w:rPr>
              <w:t>x</w:t>
            </w:r>
          </w:p>
        </w:tc>
      </w:tr>
      <w:tr w:rsidR="003B7488" w:rsidRPr="00CF393F" w14:paraId="05A5D3D0" w14:textId="77777777" w:rsidTr="006F11FA">
        <w:trPr>
          <w:trHeight w:val="680"/>
        </w:trPr>
        <w:tc>
          <w:tcPr>
            <w:tcW w:w="72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D1FEFD8" w14:textId="77777777" w:rsidR="003B7488" w:rsidRPr="00CF393F" w:rsidRDefault="00CE7A9D">
            <w:pPr>
              <w:rPr>
                <w:b/>
                <w:bCs/>
                <w:sz w:val="16"/>
                <w:szCs w:val="15"/>
              </w:rPr>
            </w:pPr>
            <w:r w:rsidRPr="00CF393F">
              <w:rPr>
                <w:b/>
                <w:bCs/>
                <w:sz w:val="16"/>
                <w:szCs w:val="15"/>
              </w:rPr>
              <w:t>c</w:t>
            </w:r>
          </w:p>
        </w:tc>
        <w:tc>
          <w:tcPr>
            <w:tcW w:w="2876" w:type="dxa"/>
            <w:tcBorders>
              <w:top w:val="none" w:sz="4" w:space="0" w:color="000000"/>
              <w:left w:val="single" w:sz="4" w:space="0" w:color="auto"/>
              <w:bottom w:val="single" w:sz="4" w:space="0" w:color="auto"/>
              <w:right w:val="single" w:sz="4" w:space="0" w:color="auto"/>
            </w:tcBorders>
            <w:shd w:val="clear" w:color="auto" w:fill="auto"/>
          </w:tcPr>
          <w:p w14:paraId="0D410EC2" w14:textId="77777777" w:rsidR="003B7488" w:rsidRPr="00CF393F" w:rsidRDefault="00CE7A9D">
            <w:pPr>
              <w:rPr>
                <w:sz w:val="16"/>
                <w:szCs w:val="15"/>
              </w:rPr>
            </w:pPr>
            <w:r w:rsidRPr="00CF393F">
              <w:rPr>
                <w:sz w:val="16"/>
                <w:szCs w:val="15"/>
              </w:rPr>
              <w:t xml:space="preserve">Polygons of volume </w:t>
            </w:r>
          </w:p>
          <w:p w14:paraId="13DFE16D" w14:textId="170D7594" w:rsidR="003B7488" w:rsidRPr="00CF393F" w:rsidRDefault="00CE7A9D">
            <w:pPr>
              <w:rPr>
                <w:sz w:val="16"/>
                <w:szCs w:val="15"/>
              </w:rPr>
            </w:pPr>
            <w:r w:rsidRPr="00CF393F">
              <w:rPr>
                <w:sz w:val="16"/>
                <w:szCs w:val="15"/>
              </w:rPr>
              <w:t>estimation (horizontal res</w:t>
            </w:r>
            <w:r w:rsidR="006F11FA" w:rsidRPr="00CF393F">
              <w:rPr>
                <w:sz w:val="16"/>
                <w:szCs w:val="15"/>
              </w:rPr>
              <w:t>olution</w:t>
            </w:r>
            <w:r w:rsidRPr="00CF393F">
              <w:rPr>
                <w:sz w:val="16"/>
                <w:szCs w:val="15"/>
              </w:rPr>
              <w:t>)</w:t>
            </w:r>
          </w:p>
        </w:tc>
        <w:tc>
          <w:tcPr>
            <w:tcW w:w="1386" w:type="dxa"/>
            <w:tcBorders>
              <w:top w:val="none" w:sz="4" w:space="0" w:color="000000"/>
              <w:left w:val="none" w:sz="4" w:space="0" w:color="000000"/>
              <w:bottom w:val="single" w:sz="4" w:space="0" w:color="auto"/>
              <w:right w:val="single" w:sz="4" w:space="0" w:color="auto"/>
            </w:tcBorders>
            <w:shd w:val="clear" w:color="auto" w:fill="auto"/>
            <w:noWrap/>
          </w:tcPr>
          <w:p w14:paraId="0ED7C7E0" w14:textId="77777777" w:rsidR="003B7488" w:rsidRPr="00CF393F" w:rsidRDefault="00CE7A9D">
            <w:pPr>
              <w:rPr>
                <w:sz w:val="16"/>
                <w:szCs w:val="15"/>
              </w:rPr>
            </w:pPr>
            <w:r w:rsidRPr="00CF393F">
              <w:rPr>
                <w:sz w:val="16"/>
                <w:szCs w:val="15"/>
              </w:rPr>
              <w:t>Data</w:t>
            </w:r>
          </w:p>
        </w:tc>
        <w:tc>
          <w:tcPr>
            <w:tcW w:w="1106" w:type="dxa"/>
            <w:tcBorders>
              <w:top w:val="none" w:sz="4" w:space="0" w:color="000000"/>
              <w:left w:val="none" w:sz="4" w:space="0" w:color="000000"/>
              <w:bottom w:val="single" w:sz="4" w:space="0" w:color="auto"/>
              <w:right w:val="none" w:sz="4" w:space="0" w:color="000000"/>
            </w:tcBorders>
            <w:shd w:val="clear" w:color="auto" w:fill="auto"/>
            <w:noWrap/>
            <w:vAlign w:val="bottom"/>
          </w:tcPr>
          <w:p w14:paraId="071B9579" w14:textId="1C85C606" w:rsidR="003B7488" w:rsidRPr="00CF393F" w:rsidRDefault="006F11FA">
            <w:pPr>
              <w:rPr>
                <w:b/>
                <w:bCs/>
                <w:sz w:val="16"/>
                <w:szCs w:val="15"/>
              </w:rPr>
            </w:pPr>
            <w:r w:rsidRPr="00CF393F">
              <w:rPr>
                <w:b/>
                <w:bCs/>
                <w:sz w:val="16"/>
                <w:szCs w:val="15"/>
              </w:rPr>
              <w:t>2</w:t>
            </w:r>
          </w:p>
        </w:tc>
        <w:tc>
          <w:tcPr>
            <w:tcW w:w="850" w:type="dxa"/>
            <w:tcBorders>
              <w:top w:val="none" w:sz="4" w:space="0" w:color="000000"/>
              <w:left w:val="single" w:sz="4" w:space="0" w:color="auto"/>
              <w:bottom w:val="single" w:sz="4" w:space="0" w:color="auto"/>
              <w:right w:val="single" w:sz="4" w:space="0" w:color="auto"/>
            </w:tcBorders>
            <w:shd w:val="clear" w:color="000000" w:fill="FFFF00"/>
            <w:noWrap/>
            <w:vAlign w:val="center"/>
          </w:tcPr>
          <w:p w14:paraId="4842062B" w14:textId="77777777" w:rsidR="003B7488" w:rsidRPr="00CF393F" w:rsidRDefault="00CE7A9D">
            <w:pPr>
              <w:rPr>
                <w:sz w:val="16"/>
                <w:szCs w:val="15"/>
              </w:rPr>
            </w:pPr>
            <w:r w:rsidRPr="00CF393F">
              <w:rPr>
                <w:sz w:val="16"/>
                <w:szCs w:val="15"/>
              </w:rPr>
              <w:t>x</w:t>
            </w:r>
          </w:p>
        </w:tc>
        <w:tc>
          <w:tcPr>
            <w:tcW w:w="745" w:type="dxa"/>
            <w:tcBorders>
              <w:top w:val="none" w:sz="4" w:space="0" w:color="000000"/>
              <w:left w:val="none" w:sz="4" w:space="0" w:color="000000"/>
              <w:bottom w:val="single" w:sz="4" w:space="0" w:color="auto"/>
              <w:right w:val="single" w:sz="4" w:space="0" w:color="auto"/>
            </w:tcBorders>
            <w:shd w:val="clear" w:color="000000" w:fill="FFFF00"/>
            <w:noWrap/>
            <w:vAlign w:val="center"/>
          </w:tcPr>
          <w:p w14:paraId="27F376D7" w14:textId="77777777" w:rsidR="003B7488" w:rsidRPr="00CF393F" w:rsidRDefault="00CE7A9D">
            <w:pPr>
              <w:rPr>
                <w:sz w:val="16"/>
                <w:szCs w:val="15"/>
              </w:rPr>
            </w:pPr>
            <w:r w:rsidRPr="00CF393F">
              <w:rPr>
                <w:sz w:val="16"/>
                <w:szCs w:val="15"/>
              </w:rPr>
              <w:t>x</w:t>
            </w:r>
          </w:p>
        </w:tc>
        <w:tc>
          <w:tcPr>
            <w:tcW w:w="834" w:type="dxa"/>
            <w:tcBorders>
              <w:top w:val="none" w:sz="4" w:space="0" w:color="000000"/>
              <w:left w:val="none" w:sz="4" w:space="0" w:color="000000"/>
              <w:bottom w:val="single" w:sz="4" w:space="0" w:color="auto"/>
              <w:right w:val="single" w:sz="4" w:space="0" w:color="auto"/>
            </w:tcBorders>
            <w:shd w:val="clear" w:color="000000" w:fill="FFFF00"/>
            <w:noWrap/>
            <w:vAlign w:val="center"/>
          </w:tcPr>
          <w:p w14:paraId="4222DA11" w14:textId="77777777" w:rsidR="003B7488" w:rsidRPr="00CF393F" w:rsidRDefault="00CE7A9D">
            <w:pPr>
              <w:rPr>
                <w:sz w:val="16"/>
                <w:szCs w:val="15"/>
              </w:rPr>
            </w:pPr>
            <w:r w:rsidRPr="00CF393F">
              <w:rPr>
                <w:sz w:val="16"/>
                <w:szCs w:val="15"/>
              </w:rPr>
              <w:t>x</w:t>
            </w:r>
          </w:p>
        </w:tc>
        <w:tc>
          <w:tcPr>
            <w:tcW w:w="835" w:type="dxa"/>
            <w:tcBorders>
              <w:top w:val="none" w:sz="4" w:space="0" w:color="000000"/>
              <w:left w:val="none" w:sz="4" w:space="0" w:color="000000"/>
              <w:bottom w:val="single" w:sz="4" w:space="0" w:color="auto"/>
              <w:right w:val="single" w:sz="4" w:space="0" w:color="auto"/>
            </w:tcBorders>
            <w:shd w:val="clear" w:color="000000" w:fill="FFFF00"/>
            <w:noWrap/>
            <w:vAlign w:val="center"/>
          </w:tcPr>
          <w:p w14:paraId="4E148E59" w14:textId="77777777" w:rsidR="003B7488" w:rsidRPr="00CF393F" w:rsidRDefault="00CE7A9D">
            <w:pPr>
              <w:rPr>
                <w:sz w:val="16"/>
                <w:szCs w:val="15"/>
              </w:rPr>
            </w:pPr>
            <w:r w:rsidRPr="00CF393F">
              <w:rPr>
                <w:sz w:val="16"/>
                <w:szCs w:val="15"/>
              </w:rPr>
              <w:t>x</w:t>
            </w:r>
          </w:p>
        </w:tc>
      </w:tr>
      <w:tr w:rsidR="003B7488" w:rsidRPr="00CF393F" w14:paraId="49294125" w14:textId="77777777" w:rsidTr="006F11FA">
        <w:trPr>
          <w:trHeight w:val="680"/>
        </w:trPr>
        <w:tc>
          <w:tcPr>
            <w:tcW w:w="72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1EE51A7" w14:textId="77777777" w:rsidR="003B7488" w:rsidRPr="00CF393F" w:rsidRDefault="00CE7A9D">
            <w:pPr>
              <w:rPr>
                <w:b/>
                <w:bCs/>
                <w:sz w:val="16"/>
                <w:szCs w:val="15"/>
              </w:rPr>
            </w:pPr>
            <w:r w:rsidRPr="00CF393F">
              <w:rPr>
                <w:b/>
                <w:bCs/>
                <w:sz w:val="16"/>
                <w:szCs w:val="15"/>
              </w:rPr>
              <w:t>e</w:t>
            </w:r>
          </w:p>
        </w:tc>
        <w:tc>
          <w:tcPr>
            <w:tcW w:w="2876" w:type="dxa"/>
            <w:tcBorders>
              <w:top w:val="none" w:sz="4" w:space="0" w:color="000000"/>
              <w:left w:val="single" w:sz="4" w:space="0" w:color="auto"/>
              <w:bottom w:val="single" w:sz="4" w:space="0" w:color="auto"/>
              <w:right w:val="single" w:sz="4" w:space="0" w:color="auto"/>
            </w:tcBorders>
            <w:shd w:val="clear" w:color="auto" w:fill="auto"/>
          </w:tcPr>
          <w:p w14:paraId="0EBF55C1" w14:textId="77777777" w:rsidR="003B7488" w:rsidRPr="00CF393F" w:rsidRDefault="00CE7A9D">
            <w:pPr>
              <w:rPr>
                <w:sz w:val="16"/>
                <w:szCs w:val="15"/>
              </w:rPr>
            </w:pPr>
            <w:r w:rsidRPr="00CF393F">
              <w:rPr>
                <w:sz w:val="16"/>
                <w:szCs w:val="15"/>
              </w:rPr>
              <w:t xml:space="preserve">Shape of pre-Ana Slide </w:t>
            </w:r>
          </w:p>
          <w:p w14:paraId="5D4977AC" w14:textId="399AAD70" w:rsidR="003B7488" w:rsidRPr="00CF393F" w:rsidRDefault="00CE7A9D">
            <w:pPr>
              <w:rPr>
                <w:sz w:val="16"/>
                <w:szCs w:val="15"/>
              </w:rPr>
            </w:pPr>
            <w:r w:rsidRPr="00CF393F">
              <w:rPr>
                <w:sz w:val="16"/>
                <w:szCs w:val="15"/>
              </w:rPr>
              <w:t>seafloor inside source area</w:t>
            </w:r>
            <w:r w:rsidR="006F11FA" w:rsidRPr="00CF393F">
              <w:rPr>
                <w:sz w:val="16"/>
                <w:szCs w:val="15"/>
              </w:rPr>
              <w:t xml:space="preserve"> of Ana Slide</w:t>
            </w:r>
          </w:p>
        </w:tc>
        <w:tc>
          <w:tcPr>
            <w:tcW w:w="1386" w:type="dxa"/>
            <w:tcBorders>
              <w:top w:val="none" w:sz="4" w:space="0" w:color="000000"/>
              <w:left w:val="none" w:sz="4" w:space="0" w:color="000000"/>
              <w:bottom w:val="single" w:sz="4" w:space="0" w:color="auto"/>
              <w:right w:val="single" w:sz="4" w:space="0" w:color="auto"/>
            </w:tcBorders>
            <w:shd w:val="clear" w:color="auto" w:fill="auto"/>
            <w:noWrap/>
          </w:tcPr>
          <w:p w14:paraId="6680E1EA" w14:textId="77777777" w:rsidR="003B7488" w:rsidRPr="00CF393F" w:rsidRDefault="00CE7A9D">
            <w:pPr>
              <w:rPr>
                <w:sz w:val="16"/>
                <w:szCs w:val="15"/>
              </w:rPr>
            </w:pPr>
            <w:r w:rsidRPr="00CF393F">
              <w:rPr>
                <w:sz w:val="16"/>
                <w:szCs w:val="15"/>
              </w:rPr>
              <w:t xml:space="preserve">External </w:t>
            </w:r>
          </w:p>
        </w:tc>
        <w:tc>
          <w:tcPr>
            <w:tcW w:w="1106" w:type="dxa"/>
            <w:tcBorders>
              <w:top w:val="none" w:sz="4" w:space="0" w:color="000000"/>
              <w:left w:val="none" w:sz="4" w:space="0" w:color="000000"/>
              <w:bottom w:val="single" w:sz="4" w:space="0" w:color="auto"/>
              <w:right w:val="none" w:sz="4" w:space="0" w:color="000000"/>
            </w:tcBorders>
            <w:shd w:val="clear" w:color="auto" w:fill="auto"/>
            <w:noWrap/>
            <w:vAlign w:val="bottom"/>
          </w:tcPr>
          <w:p w14:paraId="7967C571" w14:textId="77777777" w:rsidR="003B7488" w:rsidRPr="00CF393F" w:rsidRDefault="00CE7A9D">
            <w:pPr>
              <w:rPr>
                <w:b/>
                <w:bCs/>
                <w:sz w:val="16"/>
                <w:szCs w:val="15"/>
              </w:rPr>
            </w:pPr>
            <w:r w:rsidRPr="00CF393F">
              <w:rPr>
                <w:b/>
                <w:bCs/>
                <w:sz w:val="16"/>
                <w:szCs w:val="15"/>
              </w:rPr>
              <w:t>10</w:t>
            </w:r>
          </w:p>
        </w:tc>
        <w:tc>
          <w:tcPr>
            <w:tcW w:w="850" w:type="dxa"/>
            <w:tcBorders>
              <w:top w:val="none" w:sz="4" w:space="0" w:color="000000"/>
              <w:left w:val="single" w:sz="4" w:space="0" w:color="auto"/>
              <w:bottom w:val="single" w:sz="4" w:space="0" w:color="auto"/>
              <w:right w:val="single" w:sz="4" w:space="0" w:color="auto"/>
            </w:tcBorders>
            <w:shd w:val="clear" w:color="000000" w:fill="FFFF00"/>
            <w:noWrap/>
            <w:vAlign w:val="center"/>
          </w:tcPr>
          <w:p w14:paraId="1D0E6E6C" w14:textId="77777777" w:rsidR="003B7488" w:rsidRPr="00CF393F" w:rsidRDefault="00CE7A9D">
            <w:pPr>
              <w:rPr>
                <w:sz w:val="16"/>
                <w:szCs w:val="15"/>
              </w:rPr>
            </w:pPr>
            <w:r w:rsidRPr="00CF393F">
              <w:rPr>
                <w:sz w:val="16"/>
                <w:szCs w:val="15"/>
              </w:rPr>
              <w:t>x</w:t>
            </w:r>
          </w:p>
        </w:tc>
        <w:tc>
          <w:tcPr>
            <w:tcW w:w="745" w:type="dxa"/>
            <w:tcBorders>
              <w:top w:val="none" w:sz="4" w:space="0" w:color="000000"/>
              <w:left w:val="none" w:sz="4" w:space="0" w:color="000000"/>
              <w:bottom w:val="single" w:sz="4" w:space="0" w:color="auto"/>
              <w:right w:val="single" w:sz="4" w:space="0" w:color="auto"/>
            </w:tcBorders>
            <w:shd w:val="clear" w:color="auto" w:fill="auto"/>
            <w:noWrap/>
            <w:vAlign w:val="center"/>
          </w:tcPr>
          <w:p w14:paraId="4DAEEE24" w14:textId="77777777" w:rsidR="003B7488" w:rsidRPr="00CF393F" w:rsidRDefault="00CE7A9D">
            <w:pPr>
              <w:rPr>
                <w:sz w:val="16"/>
                <w:szCs w:val="15"/>
              </w:rPr>
            </w:pPr>
            <w:r w:rsidRPr="00CF393F">
              <w:rPr>
                <w:sz w:val="16"/>
                <w:szCs w:val="15"/>
              </w:rPr>
              <w:t> </w:t>
            </w:r>
          </w:p>
        </w:tc>
        <w:tc>
          <w:tcPr>
            <w:tcW w:w="834" w:type="dxa"/>
            <w:tcBorders>
              <w:top w:val="none" w:sz="4" w:space="0" w:color="000000"/>
              <w:left w:val="none" w:sz="4" w:space="0" w:color="000000"/>
              <w:bottom w:val="single" w:sz="4" w:space="0" w:color="auto"/>
              <w:right w:val="single" w:sz="4" w:space="0" w:color="auto"/>
            </w:tcBorders>
            <w:shd w:val="clear" w:color="auto" w:fill="auto"/>
            <w:noWrap/>
            <w:vAlign w:val="center"/>
          </w:tcPr>
          <w:p w14:paraId="4AF2AACD" w14:textId="77777777" w:rsidR="003B7488" w:rsidRPr="00CF393F" w:rsidRDefault="00CE7A9D">
            <w:pPr>
              <w:rPr>
                <w:sz w:val="16"/>
                <w:szCs w:val="15"/>
              </w:rPr>
            </w:pPr>
            <w:r w:rsidRPr="00CF393F">
              <w:rPr>
                <w:sz w:val="16"/>
                <w:szCs w:val="15"/>
              </w:rPr>
              <w:t> </w:t>
            </w:r>
          </w:p>
        </w:tc>
        <w:tc>
          <w:tcPr>
            <w:tcW w:w="835" w:type="dxa"/>
            <w:tcBorders>
              <w:top w:val="none" w:sz="4" w:space="0" w:color="000000"/>
              <w:left w:val="none" w:sz="4" w:space="0" w:color="000000"/>
              <w:bottom w:val="single" w:sz="4" w:space="0" w:color="auto"/>
              <w:right w:val="single" w:sz="4" w:space="0" w:color="auto"/>
            </w:tcBorders>
            <w:shd w:val="clear" w:color="auto" w:fill="auto"/>
            <w:noWrap/>
            <w:vAlign w:val="center"/>
          </w:tcPr>
          <w:p w14:paraId="5A8F5E80" w14:textId="77777777" w:rsidR="003B7488" w:rsidRPr="00CF393F" w:rsidRDefault="00CE7A9D">
            <w:pPr>
              <w:rPr>
                <w:sz w:val="16"/>
                <w:szCs w:val="15"/>
              </w:rPr>
            </w:pPr>
            <w:r w:rsidRPr="00CF393F">
              <w:rPr>
                <w:sz w:val="16"/>
                <w:szCs w:val="15"/>
              </w:rPr>
              <w:t> </w:t>
            </w:r>
          </w:p>
        </w:tc>
      </w:tr>
      <w:tr w:rsidR="003B7488" w:rsidRPr="00CF393F" w14:paraId="2A50ABE0" w14:textId="77777777" w:rsidTr="006F11FA">
        <w:trPr>
          <w:trHeight w:val="557"/>
        </w:trPr>
        <w:tc>
          <w:tcPr>
            <w:tcW w:w="72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EB510D1" w14:textId="77777777" w:rsidR="003B7488" w:rsidRPr="00CF393F" w:rsidRDefault="00CE7A9D">
            <w:pPr>
              <w:rPr>
                <w:b/>
                <w:bCs/>
                <w:sz w:val="16"/>
                <w:szCs w:val="15"/>
              </w:rPr>
            </w:pPr>
            <w:r w:rsidRPr="00CF393F">
              <w:rPr>
                <w:b/>
                <w:bCs/>
                <w:sz w:val="16"/>
                <w:szCs w:val="15"/>
              </w:rPr>
              <w:t>f</w:t>
            </w:r>
          </w:p>
        </w:tc>
        <w:tc>
          <w:tcPr>
            <w:tcW w:w="2876" w:type="dxa"/>
            <w:tcBorders>
              <w:top w:val="none" w:sz="4" w:space="0" w:color="000000"/>
              <w:left w:val="single" w:sz="4" w:space="0" w:color="auto"/>
              <w:bottom w:val="single" w:sz="4" w:space="0" w:color="auto"/>
              <w:right w:val="single" w:sz="4" w:space="0" w:color="auto"/>
            </w:tcBorders>
            <w:shd w:val="clear" w:color="auto" w:fill="auto"/>
          </w:tcPr>
          <w:p w14:paraId="1352FCBE" w14:textId="77777777" w:rsidR="003B7488" w:rsidRPr="00CF393F" w:rsidRDefault="00CE7A9D">
            <w:pPr>
              <w:rPr>
                <w:sz w:val="16"/>
                <w:szCs w:val="15"/>
              </w:rPr>
            </w:pPr>
            <w:r w:rsidRPr="00CF393F">
              <w:rPr>
                <w:sz w:val="16"/>
                <w:szCs w:val="15"/>
              </w:rPr>
              <w:t xml:space="preserve">Manual reconstruction </w:t>
            </w:r>
          </w:p>
          <w:p w14:paraId="71B6BE31" w14:textId="479AB7A5" w:rsidR="003B7488" w:rsidRPr="00CF393F" w:rsidRDefault="00CE7A9D">
            <w:pPr>
              <w:rPr>
                <w:sz w:val="16"/>
                <w:szCs w:val="15"/>
              </w:rPr>
            </w:pPr>
            <w:r w:rsidRPr="00CF393F">
              <w:rPr>
                <w:sz w:val="16"/>
                <w:szCs w:val="15"/>
              </w:rPr>
              <w:t>(</w:t>
            </w:r>
            <w:r w:rsidR="006F11FA" w:rsidRPr="00CF393F">
              <w:rPr>
                <w:sz w:val="16"/>
                <w:szCs w:val="15"/>
              </w:rPr>
              <w:t xml:space="preserve">inside the </w:t>
            </w:r>
            <w:r w:rsidRPr="00CF393F">
              <w:rPr>
                <w:sz w:val="16"/>
                <w:szCs w:val="15"/>
              </w:rPr>
              <w:t>source area)</w:t>
            </w:r>
          </w:p>
        </w:tc>
        <w:tc>
          <w:tcPr>
            <w:tcW w:w="1386" w:type="dxa"/>
            <w:tcBorders>
              <w:top w:val="none" w:sz="4" w:space="0" w:color="000000"/>
              <w:left w:val="none" w:sz="4" w:space="0" w:color="000000"/>
              <w:bottom w:val="single" w:sz="4" w:space="0" w:color="auto"/>
              <w:right w:val="single" w:sz="4" w:space="0" w:color="auto"/>
            </w:tcBorders>
            <w:shd w:val="clear" w:color="auto" w:fill="auto"/>
            <w:noWrap/>
          </w:tcPr>
          <w:p w14:paraId="0AAB4E59" w14:textId="77777777" w:rsidR="003B7488" w:rsidRPr="00CF393F" w:rsidRDefault="00CE7A9D">
            <w:pPr>
              <w:rPr>
                <w:sz w:val="16"/>
                <w:szCs w:val="15"/>
              </w:rPr>
            </w:pPr>
            <w:r w:rsidRPr="00CF393F">
              <w:rPr>
                <w:sz w:val="16"/>
                <w:szCs w:val="15"/>
              </w:rPr>
              <w:t>Reconstruction</w:t>
            </w:r>
          </w:p>
        </w:tc>
        <w:tc>
          <w:tcPr>
            <w:tcW w:w="1106" w:type="dxa"/>
            <w:tcBorders>
              <w:top w:val="none" w:sz="4" w:space="0" w:color="000000"/>
              <w:left w:val="none" w:sz="4" w:space="0" w:color="000000"/>
              <w:bottom w:val="single" w:sz="4" w:space="0" w:color="auto"/>
              <w:right w:val="none" w:sz="4" w:space="0" w:color="000000"/>
            </w:tcBorders>
            <w:shd w:val="clear" w:color="auto" w:fill="auto"/>
            <w:noWrap/>
            <w:vAlign w:val="bottom"/>
          </w:tcPr>
          <w:p w14:paraId="68E95936" w14:textId="77777777" w:rsidR="003B7488" w:rsidRPr="00CF393F" w:rsidRDefault="00CE7A9D">
            <w:pPr>
              <w:rPr>
                <w:b/>
                <w:bCs/>
                <w:sz w:val="16"/>
                <w:szCs w:val="15"/>
              </w:rPr>
            </w:pPr>
            <w:r w:rsidRPr="00CF393F">
              <w:rPr>
                <w:b/>
                <w:bCs/>
                <w:sz w:val="16"/>
                <w:szCs w:val="15"/>
              </w:rPr>
              <w:t>10</w:t>
            </w:r>
          </w:p>
        </w:tc>
        <w:tc>
          <w:tcPr>
            <w:tcW w:w="850" w:type="dxa"/>
            <w:tcBorders>
              <w:top w:val="none" w:sz="4" w:space="0" w:color="000000"/>
              <w:left w:val="single" w:sz="4" w:space="0" w:color="auto"/>
              <w:bottom w:val="single" w:sz="4" w:space="0" w:color="auto"/>
              <w:right w:val="single" w:sz="4" w:space="0" w:color="auto"/>
            </w:tcBorders>
            <w:shd w:val="clear" w:color="000000" w:fill="FFFF00"/>
            <w:noWrap/>
            <w:vAlign w:val="center"/>
          </w:tcPr>
          <w:p w14:paraId="5B106540" w14:textId="77777777" w:rsidR="003B7488" w:rsidRPr="00CF393F" w:rsidRDefault="00CE7A9D">
            <w:pPr>
              <w:rPr>
                <w:sz w:val="16"/>
                <w:szCs w:val="15"/>
              </w:rPr>
            </w:pPr>
            <w:r w:rsidRPr="00CF393F">
              <w:rPr>
                <w:sz w:val="16"/>
                <w:szCs w:val="15"/>
              </w:rPr>
              <w:t>x</w:t>
            </w:r>
          </w:p>
        </w:tc>
        <w:tc>
          <w:tcPr>
            <w:tcW w:w="745" w:type="dxa"/>
            <w:tcBorders>
              <w:top w:val="none" w:sz="4" w:space="0" w:color="000000"/>
              <w:left w:val="none" w:sz="4" w:space="0" w:color="000000"/>
              <w:bottom w:val="single" w:sz="4" w:space="0" w:color="auto"/>
              <w:right w:val="single" w:sz="4" w:space="0" w:color="auto"/>
            </w:tcBorders>
            <w:shd w:val="clear" w:color="000000" w:fill="FFFF00"/>
            <w:noWrap/>
            <w:vAlign w:val="center"/>
          </w:tcPr>
          <w:p w14:paraId="1F093306" w14:textId="77777777" w:rsidR="003B7488" w:rsidRPr="00CF393F" w:rsidRDefault="00CE7A9D">
            <w:pPr>
              <w:rPr>
                <w:sz w:val="16"/>
                <w:szCs w:val="15"/>
              </w:rPr>
            </w:pPr>
            <w:r w:rsidRPr="00CF393F">
              <w:rPr>
                <w:sz w:val="16"/>
                <w:szCs w:val="15"/>
              </w:rPr>
              <w:t>x</w:t>
            </w:r>
          </w:p>
        </w:tc>
        <w:tc>
          <w:tcPr>
            <w:tcW w:w="834" w:type="dxa"/>
            <w:tcBorders>
              <w:top w:val="none" w:sz="4" w:space="0" w:color="000000"/>
              <w:left w:val="none" w:sz="4" w:space="0" w:color="000000"/>
              <w:bottom w:val="single" w:sz="4" w:space="0" w:color="auto"/>
              <w:right w:val="single" w:sz="4" w:space="0" w:color="auto"/>
            </w:tcBorders>
            <w:shd w:val="clear" w:color="auto" w:fill="auto"/>
            <w:noWrap/>
            <w:vAlign w:val="center"/>
          </w:tcPr>
          <w:p w14:paraId="3EF740CD" w14:textId="77777777" w:rsidR="003B7488" w:rsidRPr="00CF393F" w:rsidRDefault="00CE7A9D">
            <w:pPr>
              <w:rPr>
                <w:sz w:val="16"/>
                <w:szCs w:val="15"/>
              </w:rPr>
            </w:pPr>
            <w:r w:rsidRPr="00CF393F">
              <w:rPr>
                <w:sz w:val="16"/>
                <w:szCs w:val="15"/>
              </w:rPr>
              <w:t> </w:t>
            </w:r>
          </w:p>
        </w:tc>
        <w:tc>
          <w:tcPr>
            <w:tcW w:w="835" w:type="dxa"/>
            <w:tcBorders>
              <w:top w:val="none" w:sz="4" w:space="0" w:color="000000"/>
              <w:left w:val="none" w:sz="4" w:space="0" w:color="000000"/>
              <w:bottom w:val="single" w:sz="4" w:space="0" w:color="auto"/>
              <w:right w:val="single" w:sz="4" w:space="0" w:color="auto"/>
            </w:tcBorders>
            <w:shd w:val="clear" w:color="auto" w:fill="auto"/>
            <w:noWrap/>
            <w:vAlign w:val="center"/>
          </w:tcPr>
          <w:p w14:paraId="2E7DC739" w14:textId="77777777" w:rsidR="003B7488" w:rsidRPr="00CF393F" w:rsidRDefault="00CE7A9D">
            <w:pPr>
              <w:rPr>
                <w:sz w:val="16"/>
                <w:szCs w:val="15"/>
              </w:rPr>
            </w:pPr>
            <w:r w:rsidRPr="00CF393F">
              <w:rPr>
                <w:sz w:val="16"/>
                <w:szCs w:val="15"/>
              </w:rPr>
              <w:t> </w:t>
            </w:r>
          </w:p>
        </w:tc>
      </w:tr>
      <w:tr w:rsidR="003B7488" w:rsidRPr="00CF393F" w14:paraId="194249E3" w14:textId="77777777" w:rsidTr="006F11FA">
        <w:trPr>
          <w:trHeight w:val="340"/>
        </w:trPr>
        <w:tc>
          <w:tcPr>
            <w:tcW w:w="72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024E5E9" w14:textId="77777777" w:rsidR="003B7488" w:rsidRPr="00CF393F" w:rsidRDefault="003B7488"/>
        </w:tc>
        <w:tc>
          <w:tcPr>
            <w:tcW w:w="287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294EFCA" w14:textId="77777777" w:rsidR="003B7488" w:rsidRPr="00CF393F" w:rsidRDefault="003B7488"/>
        </w:tc>
        <w:tc>
          <w:tcPr>
            <w:tcW w:w="138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6BFF18C" w14:textId="77777777" w:rsidR="003B7488" w:rsidRPr="00CF393F" w:rsidRDefault="003B7488"/>
        </w:tc>
        <w:tc>
          <w:tcPr>
            <w:tcW w:w="11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CA2678A" w14:textId="77777777" w:rsidR="003B7488" w:rsidRPr="00CF393F" w:rsidRDefault="003B7488"/>
        </w:tc>
        <w:tc>
          <w:tcPr>
            <w:tcW w:w="85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D6B179D" w14:textId="77777777" w:rsidR="003B7488" w:rsidRPr="00CF393F" w:rsidRDefault="003B7488"/>
        </w:tc>
        <w:tc>
          <w:tcPr>
            <w:tcW w:w="74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075ACE5" w14:textId="77777777" w:rsidR="003B7488" w:rsidRPr="00CF393F" w:rsidRDefault="003B7488"/>
        </w:tc>
        <w:tc>
          <w:tcPr>
            <w:tcW w:w="83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D766BEA" w14:textId="77777777" w:rsidR="003B7488" w:rsidRPr="00CF393F" w:rsidRDefault="003B7488"/>
        </w:tc>
        <w:tc>
          <w:tcPr>
            <w:tcW w:w="83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316B59F" w14:textId="77777777" w:rsidR="003B7488" w:rsidRPr="00CF393F" w:rsidRDefault="003B7488"/>
        </w:tc>
      </w:tr>
      <w:tr w:rsidR="003B7488" w:rsidRPr="00CF393F" w14:paraId="546EC450" w14:textId="77777777" w:rsidTr="006F11FA">
        <w:trPr>
          <w:trHeight w:val="175"/>
        </w:trPr>
        <w:tc>
          <w:tcPr>
            <w:tcW w:w="72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F195AFE" w14:textId="77777777" w:rsidR="003B7488" w:rsidRPr="00CF393F" w:rsidRDefault="003B7488"/>
        </w:tc>
        <w:tc>
          <w:tcPr>
            <w:tcW w:w="2876" w:type="dxa"/>
            <w:tcBorders>
              <w:top w:val="none" w:sz="4" w:space="0" w:color="000000"/>
              <w:left w:val="none" w:sz="4" w:space="0" w:color="000000"/>
              <w:bottom w:val="none" w:sz="4" w:space="0" w:color="000000"/>
              <w:right w:val="none" w:sz="4" w:space="0" w:color="000000"/>
            </w:tcBorders>
            <w:shd w:val="clear" w:color="auto" w:fill="auto"/>
            <w:noWrap/>
          </w:tcPr>
          <w:p w14:paraId="2AC47E5E" w14:textId="77777777" w:rsidR="003B7488" w:rsidRPr="00CF393F" w:rsidRDefault="00CE7A9D">
            <w:pPr>
              <w:rPr>
                <w:sz w:val="16"/>
                <w:szCs w:val="15"/>
              </w:rPr>
            </w:pPr>
            <w:r w:rsidRPr="00CF393F">
              <w:rPr>
                <w:sz w:val="16"/>
                <w:szCs w:val="15"/>
              </w:rPr>
              <w:t>Source area</w:t>
            </w:r>
          </w:p>
        </w:tc>
        <w:tc>
          <w:tcPr>
            <w:tcW w:w="1386" w:type="dxa"/>
            <w:tcBorders>
              <w:top w:val="single" w:sz="4" w:space="0" w:color="auto"/>
              <w:left w:val="single" w:sz="4" w:space="0" w:color="auto"/>
              <w:bottom w:val="single" w:sz="4" w:space="0" w:color="auto"/>
              <w:right w:val="none" w:sz="4" w:space="0" w:color="000000"/>
            </w:tcBorders>
            <w:shd w:val="clear" w:color="auto" w:fill="auto"/>
          </w:tcPr>
          <w:p w14:paraId="4F30A98C" w14:textId="77777777" w:rsidR="003B7488" w:rsidRPr="00CF393F" w:rsidRDefault="00CE7A9D">
            <w:pPr>
              <w:rPr>
                <w:sz w:val="16"/>
                <w:szCs w:val="15"/>
              </w:rPr>
            </w:pPr>
            <w:r w:rsidRPr="00CF393F">
              <w:rPr>
                <w:sz w:val="16"/>
                <w:szCs w:val="15"/>
              </w:rPr>
              <w:t xml:space="preserve">Maximum volume </w:t>
            </w:r>
          </w:p>
        </w:tc>
        <w:tc>
          <w:tcPr>
            <w:tcW w:w="1106" w:type="dxa"/>
            <w:tcBorders>
              <w:top w:val="single" w:sz="8" w:space="0" w:color="auto"/>
              <w:left w:val="single" w:sz="8" w:space="0" w:color="auto"/>
              <w:bottom w:val="none" w:sz="4" w:space="0" w:color="000000"/>
              <w:right w:val="single" w:sz="8" w:space="0" w:color="auto"/>
            </w:tcBorders>
            <w:shd w:val="clear" w:color="000000" w:fill="F4B084"/>
            <w:noWrap/>
            <w:vAlign w:val="bottom"/>
          </w:tcPr>
          <w:p w14:paraId="18E5520E" w14:textId="42B0A30F" w:rsidR="003B7488" w:rsidRPr="00CF393F" w:rsidRDefault="00CE7A9D">
            <w:pPr>
              <w:rPr>
                <w:sz w:val="16"/>
                <w:szCs w:val="15"/>
              </w:rPr>
            </w:pPr>
            <w:r w:rsidRPr="00CF393F">
              <w:rPr>
                <w:sz w:val="16"/>
                <w:szCs w:val="15"/>
              </w:rPr>
              <w:t>0,02</w:t>
            </w:r>
            <w:r w:rsidR="00D72C37" w:rsidRPr="00CF393F">
              <w:rPr>
                <w:sz w:val="16"/>
                <w:szCs w:val="15"/>
              </w:rPr>
              <w:t>1</w:t>
            </w:r>
          </w:p>
        </w:tc>
        <w:tc>
          <w:tcPr>
            <w:tcW w:w="850" w:type="dxa"/>
            <w:tcBorders>
              <w:top w:val="single" w:sz="8" w:space="0" w:color="auto"/>
              <w:left w:val="none" w:sz="4" w:space="0" w:color="000000"/>
              <w:bottom w:val="single" w:sz="8" w:space="0" w:color="auto"/>
              <w:right w:val="single" w:sz="8" w:space="0" w:color="auto"/>
            </w:tcBorders>
            <w:shd w:val="clear" w:color="000000" w:fill="FFC000"/>
            <w:noWrap/>
            <w:vAlign w:val="bottom"/>
          </w:tcPr>
          <w:p w14:paraId="30898FAB" w14:textId="7A3C6F9F" w:rsidR="003B7488" w:rsidRPr="00CF393F" w:rsidRDefault="00D72C37">
            <w:pPr>
              <w:rPr>
                <w:sz w:val="16"/>
                <w:szCs w:val="15"/>
              </w:rPr>
            </w:pPr>
            <w:r w:rsidRPr="00CF393F">
              <w:rPr>
                <w:sz w:val="16"/>
                <w:szCs w:val="15"/>
              </w:rPr>
              <w:t>30</w:t>
            </w:r>
            <w:r w:rsidR="00CE7A9D" w:rsidRPr="00CF393F">
              <w:rPr>
                <w:sz w:val="16"/>
                <w:szCs w:val="15"/>
              </w:rPr>
              <w:t xml:space="preserve"> %</w:t>
            </w:r>
          </w:p>
        </w:tc>
        <w:tc>
          <w:tcPr>
            <w:tcW w:w="74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8596FE2" w14:textId="77777777" w:rsidR="003B7488" w:rsidRPr="00CF393F" w:rsidRDefault="003B7488">
            <w:pPr>
              <w:rPr>
                <w:sz w:val="16"/>
                <w:szCs w:val="15"/>
              </w:rPr>
            </w:pPr>
          </w:p>
        </w:tc>
        <w:tc>
          <w:tcPr>
            <w:tcW w:w="83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A260600" w14:textId="77777777" w:rsidR="003B7488" w:rsidRPr="00CF393F" w:rsidRDefault="003B7488"/>
        </w:tc>
        <w:tc>
          <w:tcPr>
            <w:tcW w:w="83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FC0D9C1" w14:textId="77777777" w:rsidR="003B7488" w:rsidRPr="00CF393F" w:rsidRDefault="003B7488"/>
        </w:tc>
      </w:tr>
      <w:tr w:rsidR="003B7488" w:rsidRPr="00CF393F" w14:paraId="7A50ECF2" w14:textId="77777777" w:rsidTr="006F11FA">
        <w:trPr>
          <w:trHeight w:val="67"/>
        </w:trPr>
        <w:tc>
          <w:tcPr>
            <w:tcW w:w="72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86E0D00" w14:textId="77777777" w:rsidR="003B7488" w:rsidRPr="00CF393F" w:rsidRDefault="003B7488"/>
        </w:tc>
        <w:tc>
          <w:tcPr>
            <w:tcW w:w="287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0F58DF7" w14:textId="77777777" w:rsidR="003B7488" w:rsidRPr="00CF393F" w:rsidRDefault="003B7488">
            <w:pPr>
              <w:rPr>
                <w:sz w:val="16"/>
                <w:szCs w:val="15"/>
              </w:rPr>
            </w:pPr>
          </w:p>
        </w:tc>
        <w:tc>
          <w:tcPr>
            <w:tcW w:w="1386" w:type="dxa"/>
            <w:tcBorders>
              <w:top w:val="none" w:sz="4" w:space="0" w:color="000000"/>
              <w:left w:val="single" w:sz="4" w:space="0" w:color="auto"/>
              <w:bottom w:val="single" w:sz="4" w:space="0" w:color="auto"/>
              <w:right w:val="none" w:sz="4" w:space="0" w:color="000000"/>
            </w:tcBorders>
            <w:shd w:val="clear" w:color="auto" w:fill="auto"/>
            <w:vAlign w:val="bottom"/>
          </w:tcPr>
          <w:p w14:paraId="17543C30" w14:textId="77777777" w:rsidR="003B7488" w:rsidRPr="00CF393F" w:rsidRDefault="00CE7A9D">
            <w:pPr>
              <w:rPr>
                <w:sz w:val="16"/>
                <w:szCs w:val="15"/>
              </w:rPr>
            </w:pPr>
            <w:r w:rsidRPr="00CF393F">
              <w:rPr>
                <w:sz w:val="16"/>
                <w:szCs w:val="15"/>
              </w:rPr>
              <w:t>Ve</w:t>
            </w:r>
          </w:p>
        </w:tc>
        <w:tc>
          <w:tcPr>
            <w:tcW w:w="1106" w:type="dxa"/>
            <w:tcBorders>
              <w:top w:val="single" w:sz="8" w:space="0" w:color="auto"/>
              <w:left w:val="single" w:sz="8" w:space="0" w:color="auto"/>
              <w:bottom w:val="single" w:sz="8" w:space="0" w:color="auto"/>
              <w:right w:val="single" w:sz="8" w:space="0" w:color="auto"/>
            </w:tcBorders>
            <w:shd w:val="clear" w:color="000000" w:fill="92D050"/>
            <w:noWrap/>
            <w:vAlign w:val="bottom"/>
          </w:tcPr>
          <w:p w14:paraId="1595AFDE" w14:textId="77777777" w:rsidR="003B7488" w:rsidRPr="00CF393F" w:rsidRDefault="00CE7A9D">
            <w:pPr>
              <w:rPr>
                <w:sz w:val="16"/>
                <w:szCs w:val="15"/>
              </w:rPr>
            </w:pPr>
            <w:r w:rsidRPr="00CF393F">
              <w:rPr>
                <w:sz w:val="16"/>
                <w:szCs w:val="15"/>
              </w:rPr>
              <w:t>0,016</w:t>
            </w:r>
          </w:p>
        </w:tc>
        <w:tc>
          <w:tcPr>
            <w:tcW w:w="85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A88947E" w14:textId="77777777" w:rsidR="003B7488" w:rsidRPr="00CF393F" w:rsidRDefault="003B7488">
            <w:pPr>
              <w:rPr>
                <w:sz w:val="16"/>
                <w:szCs w:val="15"/>
              </w:rPr>
            </w:pPr>
          </w:p>
        </w:tc>
        <w:tc>
          <w:tcPr>
            <w:tcW w:w="74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4B56C21" w14:textId="77777777" w:rsidR="003B7488" w:rsidRPr="00CF393F" w:rsidRDefault="003B7488">
            <w:pPr>
              <w:rPr>
                <w:sz w:val="16"/>
                <w:szCs w:val="15"/>
              </w:rPr>
            </w:pPr>
          </w:p>
        </w:tc>
        <w:tc>
          <w:tcPr>
            <w:tcW w:w="83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F021D55" w14:textId="77777777" w:rsidR="003B7488" w:rsidRPr="00CF393F" w:rsidRDefault="003B7488"/>
        </w:tc>
        <w:tc>
          <w:tcPr>
            <w:tcW w:w="83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F2C1C93" w14:textId="77777777" w:rsidR="003B7488" w:rsidRPr="00CF393F" w:rsidRDefault="003B7488"/>
        </w:tc>
      </w:tr>
      <w:tr w:rsidR="003B7488" w:rsidRPr="00CF393F" w14:paraId="300171DD" w14:textId="77777777" w:rsidTr="006F11FA">
        <w:trPr>
          <w:trHeight w:val="243"/>
        </w:trPr>
        <w:tc>
          <w:tcPr>
            <w:tcW w:w="72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D9EECF0" w14:textId="77777777" w:rsidR="003B7488" w:rsidRPr="00CF393F" w:rsidRDefault="003B7488"/>
        </w:tc>
        <w:tc>
          <w:tcPr>
            <w:tcW w:w="287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4F471C1" w14:textId="77777777" w:rsidR="003B7488" w:rsidRPr="00CF393F" w:rsidRDefault="003B7488">
            <w:pPr>
              <w:rPr>
                <w:sz w:val="16"/>
                <w:szCs w:val="15"/>
              </w:rPr>
            </w:pPr>
          </w:p>
        </w:tc>
        <w:tc>
          <w:tcPr>
            <w:tcW w:w="1386" w:type="dxa"/>
            <w:tcBorders>
              <w:top w:val="none" w:sz="4" w:space="0" w:color="000000"/>
              <w:left w:val="single" w:sz="4" w:space="0" w:color="auto"/>
              <w:bottom w:val="single" w:sz="4" w:space="0" w:color="auto"/>
              <w:right w:val="none" w:sz="4" w:space="0" w:color="000000"/>
            </w:tcBorders>
            <w:shd w:val="clear" w:color="auto" w:fill="auto"/>
            <w:vAlign w:val="bottom"/>
          </w:tcPr>
          <w:p w14:paraId="50BCC64A" w14:textId="77777777" w:rsidR="003B7488" w:rsidRPr="00CF393F" w:rsidRDefault="00CE7A9D">
            <w:pPr>
              <w:rPr>
                <w:sz w:val="16"/>
                <w:szCs w:val="15"/>
              </w:rPr>
            </w:pPr>
            <w:r w:rsidRPr="00CF393F">
              <w:rPr>
                <w:sz w:val="16"/>
                <w:szCs w:val="15"/>
              </w:rPr>
              <w:t>Minimum volume</w:t>
            </w:r>
          </w:p>
        </w:tc>
        <w:tc>
          <w:tcPr>
            <w:tcW w:w="1106" w:type="dxa"/>
            <w:tcBorders>
              <w:top w:val="none" w:sz="4" w:space="0" w:color="000000"/>
              <w:left w:val="single" w:sz="8" w:space="0" w:color="auto"/>
              <w:bottom w:val="single" w:sz="8" w:space="0" w:color="auto"/>
              <w:right w:val="single" w:sz="8" w:space="0" w:color="auto"/>
            </w:tcBorders>
            <w:shd w:val="clear" w:color="000000" w:fill="9BC2E6"/>
            <w:noWrap/>
            <w:vAlign w:val="bottom"/>
          </w:tcPr>
          <w:p w14:paraId="750FE22A" w14:textId="586A168B" w:rsidR="003B7488" w:rsidRPr="00CF393F" w:rsidRDefault="00CE7A9D">
            <w:pPr>
              <w:rPr>
                <w:sz w:val="16"/>
                <w:szCs w:val="15"/>
              </w:rPr>
            </w:pPr>
            <w:r w:rsidRPr="00CF393F">
              <w:rPr>
                <w:sz w:val="16"/>
                <w:szCs w:val="15"/>
              </w:rPr>
              <w:t>0,01</w:t>
            </w:r>
            <w:r w:rsidR="00D72C37" w:rsidRPr="00CF393F">
              <w:rPr>
                <w:sz w:val="16"/>
                <w:szCs w:val="15"/>
              </w:rPr>
              <w:t>3</w:t>
            </w:r>
          </w:p>
        </w:tc>
        <w:tc>
          <w:tcPr>
            <w:tcW w:w="850" w:type="dxa"/>
            <w:tcBorders>
              <w:top w:val="single" w:sz="8" w:space="0" w:color="auto"/>
              <w:left w:val="none" w:sz="4" w:space="0" w:color="000000"/>
              <w:bottom w:val="single" w:sz="8" w:space="0" w:color="auto"/>
              <w:right w:val="single" w:sz="8" w:space="0" w:color="auto"/>
            </w:tcBorders>
            <w:shd w:val="clear" w:color="000000" w:fill="FFC000"/>
            <w:noWrap/>
            <w:vAlign w:val="bottom"/>
          </w:tcPr>
          <w:p w14:paraId="7D646AED" w14:textId="59FB75A1" w:rsidR="003B7488" w:rsidRPr="00CF393F" w:rsidRDefault="00CE7A9D">
            <w:pPr>
              <w:rPr>
                <w:sz w:val="16"/>
                <w:szCs w:val="15"/>
              </w:rPr>
            </w:pPr>
            <w:r w:rsidRPr="00CF393F">
              <w:rPr>
                <w:sz w:val="16"/>
                <w:szCs w:val="15"/>
              </w:rPr>
              <w:t>-</w:t>
            </w:r>
            <w:r w:rsidR="00D72C37" w:rsidRPr="00CF393F">
              <w:rPr>
                <w:sz w:val="16"/>
                <w:szCs w:val="15"/>
              </w:rPr>
              <w:t>16</w:t>
            </w:r>
            <w:r w:rsidRPr="00CF393F">
              <w:rPr>
                <w:sz w:val="16"/>
                <w:szCs w:val="15"/>
              </w:rPr>
              <w:t xml:space="preserve"> %</w:t>
            </w:r>
          </w:p>
        </w:tc>
        <w:tc>
          <w:tcPr>
            <w:tcW w:w="74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067081A" w14:textId="77777777" w:rsidR="003B7488" w:rsidRPr="00CF393F" w:rsidRDefault="003B7488">
            <w:pPr>
              <w:rPr>
                <w:sz w:val="16"/>
                <w:szCs w:val="15"/>
              </w:rPr>
            </w:pPr>
          </w:p>
        </w:tc>
        <w:tc>
          <w:tcPr>
            <w:tcW w:w="83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BAE869D" w14:textId="77777777" w:rsidR="003B7488" w:rsidRPr="00CF393F" w:rsidRDefault="003B7488"/>
        </w:tc>
        <w:tc>
          <w:tcPr>
            <w:tcW w:w="83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16F2594" w14:textId="77777777" w:rsidR="003B7488" w:rsidRPr="00CF393F" w:rsidRDefault="003B7488"/>
        </w:tc>
      </w:tr>
      <w:tr w:rsidR="003B7488" w:rsidRPr="00CF393F" w14:paraId="13028526" w14:textId="77777777" w:rsidTr="006F11FA">
        <w:trPr>
          <w:trHeight w:val="340"/>
        </w:trPr>
        <w:tc>
          <w:tcPr>
            <w:tcW w:w="72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279EF9F" w14:textId="77777777" w:rsidR="003B7488" w:rsidRPr="00CF393F" w:rsidRDefault="003B7488"/>
        </w:tc>
        <w:tc>
          <w:tcPr>
            <w:tcW w:w="287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AEA7369" w14:textId="77777777" w:rsidR="003B7488" w:rsidRPr="00CF393F" w:rsidRDefault="003B7488">
            <w:pPr>
              <w:rPr>
                <w:sz w:val="16"/>
                <w:szCs w:val="15"/>
              </w:rPr>
            </w:pPr>
          </w:p>
        </w:tc>
        <w:tc>
          <w:tcPr>
            <w:tcW w:w="138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F5A7C60" w14:textId="77777777" w:rsidR="003B7488" w:rsidRPr="00CF393F" w:rsidRDefault="003B7488">
            <w:pPr>
              <w:rPr>
                <w:sz w:val="16"/>
                <w:szCs w:val="15"/>
              </w:rPr>
            </w:pPr>
          </w:p>
        </w:tc>
        <w:tc>
          <w:tcPr>
            <w:tcW w:w="11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D626B07" w14:textId="77777777" w:rsidR="003B7488" w:rsidRPr="00CF393F" w:rsidRDefault="003B7488">
            <w:pPr>
              <w:rPr>
                <w:sz w:val="16"/>
                <w:szCs w:val="15"/>
              </w:rPr>
            </w:pPr>
          </w:p>
        </w:tc>
        <w:tc>
          <w:tcPr>
            <w:tcW w:w="85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3B0EAFF" w14:textId="77777777" w:rsidR="003B7488" w:rsidRPr="00CF393F" w:rsidRDefault="003B7488">
            <w:pPr>
              <w:rPr>
                <w:sz w:val="16"/>
                <w:szCs w:val="15"/>
              </w:rPr>
            </w:pPr>
          </w:p>
        </w:tc>
        <w:tc>
          <w:tcPr>
            <w:tcW w:w="74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534116C" w14:textId="77777777" w:rsidR="003B7488" w:rsidRPr="00CF393F" w:rsidRDefault="003B7488">
            <w:pPr>
              <w:rPr>
                <w:sz w:val="16"/>
                <w:szCs w:val="15"/>
              </w:rPr>
            </w:pPr>
          </w:p>
        </w:tc>
        <w:tc>
          <w:tcPr>
            <w:tcW w:w="83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98D65CD" w14:textId="77777777" w:rsidR="003B7488" w:rsidRPr="00CF393F" w:rsidRDefault="003B7488"/>
        </w:tc>
        <w:tc>
          <w:tcPr>
            <w:tcW w:w="83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0875631" w14:textId="77777777" w:rsidR="003B7488" w:rsidRPr="00CF393F" w:rsidRDefault="003B7488"/>
        </w:tc>
      </w:tr>
      <w:tr w:rsidR="003B7488" w:rsidRPr="00CF393F" w14:paraId="34551393" w14:textId="77777777" w:rsidTr="006F11FA">
        <w:trPr>
          <w:trHeight w:val="62"/>
        </w:trPr>
        <w:tc>
          <w:tcPr>
            <w:tcW w:w="72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2BAB348" w14:textId="77777777" w:rsidR="003B7488" w:rsidRPr="00CF393F" w:rsidRDefault="003B7488"/>
        </w:tc>
        <w:tc>
          <w:tcPr>
            <w:tcW w:w="2876" w:type="dxa"/>
            <w:tcBorders>
              <w:top w:val="none" w:sz="4" w:space="0" w:color="000000"/>
              <w:left w:val="none" w:sz="4" w:space="0" w:color="000000"/>
              <w:bottom w:val="none" w:sz="4" w:space="0" w:color="000000"/>
              <w:right w:val="none" w:sz="4" w:space="0" w:color="000000"/>
            </w:tcBorders>
            <w:shd w:val="clear" w:color="auto" w:fill="auto"/>
            <w:noWrap/>
          </w:tcPr>
          <w:p w14:paraId="2F7CBF01" w14:textId="77777777" w:rsidR="003B7488" w:rsidRPr="00CF393F" w:rsidRDefault="00CE7A9D">
            <w:pPr>
              <w:rPr>
                <w:sz w:val="16"/>
                <w:szCs w:val="15"/>
              </w:rPr>
            </w:pPr>
            <w:r w:rsidRPr="00CF393F">
              <w:rPr>
                <w:sz w:val="16"/>
                <w:szCs w:val="15"/>
              </w:rPr>
              <w:t>Sink area</w:t>
            </w:r>
          </w:p>
        </w:tc>
        <w:tc>
          <w:tcPr>
            <w:tcW w:w="1386" w:type="dxa"/>
            <w:tcBorders>
              <w:top w:val="single" w:sz="4" w:space="0" w:color="auto"/>
              <w:left w:val="single" w:sz="4" w:space="0" w:color="auto"/>
              <w:bottom w:val="single" w:sz="4" w:space="0" w:color="auto"/>
              <w:right w:val="none" w:sz="4" w:space="0" w:color="000000"/>
            </w:tcBorders>
            <w:shd w:val="clear" w:color="auto" w:fill="auto"/>
            <w:vAlign w:val="bottom"/>
          </w:tcPr>
          <w:p w14:paraId="5FB847C7" w14:textId="77777777" w:rsidR="003B7488" w:rsidRPr="00CF393F" w:rsidRDefault="00CE7A9D">
            <w:pPr>
              <w:rPr>
                <w:sz w:val="16"/>
                <w:szCs w:val="15"/>
              </w:rPr>
            </w:pPr>
            <w:r w:rsidRPr="00CF393F">
              <w:rPr>
                <w:sz w:val="16"/>
                <w:szCs w:val="15"/>
              </w:rPr>
              <w:t>Maximum volume</w:t>
            </w:r>
          </w:p>
        </w:tc>
        <w:tc>
          <w:tcPr>
            <w:tcW w:w="1106" w:type="dxa"/>
            <w:tcBorders>
              <w:top w:val="single" w:sz="8" w:space="0" w:color="auto"/>
              <w:left w:val="single" w:sz="8" w:space="0" w:color="auto"/>
              <w:bottom w:val="single" w:sz="4" w:space="0" w:color="auto"/>
              <w:right w:val="single" w:sz="8" w:space="0" w:color="auto"/>
            </w:tcBorders>
            <w:shd w:val="clear" w:color="000000" w:fill="F4B084"/>
            <w:noWrap/>
            <w:vAlign w:val="bottom"/>
          </w:tcPr>
          <w:p w14:paraId="3BA682E5" w14:textId="3F0CFB5B" w:rsidR="003B7488" w:rsidRPr="00CF393F" w:rsidRDefault="00CE7A9D">
            <w:pPr>
              <w:rPr>
                <w:sz w:val="16"/>
                <w:szCs w:val="15"/>
              </w:rPr>
            </w:pPr>
            <w:r w:rsidRPr="00CF393F">
              <w:rPr>
                <w:sz w:val="16"/>
                <w:szCs w:val="15"/>
              </w:rPr>
              <w:t>0,0</w:t>
            </w:r>
            <w:r w:rsidR="00D72C37" w:rsidRPr="00CF393F">
              <w:rPr>
                <w:sz w:val="16"/>
                <w:szCs w:val="15"/>
              </w:rPr>
              <w:t>18</w:t>
            </w:r>
          </w:p>
        </w:tc>
        <w:tc>
          <w:tcPr>
            <w:tcW w:w="850" w:type="dxa"/>
            <w:tcBorders>
              <w:top w:val="single" w:sz="8" w:space="0" w:color="auto"/>
              <w:left w:val="none" w:sz="4" w:space="0" w:color="000000"/>
              <w:bottom w:val="single" w:sz="8" w:space="0" w:color="auto"/>
              <w:right w:val="single" w:sz="8" w:space="0" w:color="auto"/>
            </w:tcBorders>
            <w:shd w:val="clear" w:color="000000" w:fill="FFC000"/>
            <w:noWrap/>
            <w:vAlign w:val="bottom"/>
          </w:tcPr>
          <w:p w14:paraId="7DF870B7" w14:textId="77103887" w:rsidR="003B7488" w:rsidRPr="00CF393F" w:rsidRDefault="00D72C37">
            <w:pPr>
              <w:rPr>
                <w:sz w:val="16"/>
                <w:szCs w:val="15"/>
              </w:rPr>
            </w:pPr>
            <w:r w:rsidRPr="00CF393F">
              <w:rPr>
                <w:sz w:val="16"/>
                <w:szCs w:val="15"/>
              </w:rPr>
              <w:t>12</w:t>
            </w:r>
            <w:r w:rsidR="00CE7A9D" w:rsidRPr="00CF393F">
              <w:rPr>
                <w:sz w:val="16"/>
                <w:szCs w:val="15"/>
              </w:rPr>
              <w:t xml:space="preserve"> %</w:t>
            </w:r>
          </w:p>
        </w:tc>
        <w:tc>
          <w:tcPr>
            <w:tcW w:w="74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F092167" w14:textId="77777777" w:rsidR="003B7488" w:rsidRPr="00CF393F" w:rsidRDefault="003B7488">
            <w:pPr>
              <w:rPr>
                <w:sz w:val="16"/>
                <w:szCs w:val="15"/>
              </w:rPr>
            </w:pPr>
          </w:p>
        </w:tc>
        <w:tc>
          <w:tcPr>
            <w:tcW w:w="83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C534F3F" w14:textId="77777777" w:rsidR="003B7488" w:rsidRPr="00CF393F" w:rsidRDefault="003B7488"/>
        </w:tc>
        <w:tc>
          <w:tcPr>
            <w:tcW w:w="83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3141422" w14:textId="77777777" w:rsidR="003B7488" w:rsidRPr="00CF393F" w:rsidRDefault="003B7488"/>
        </w:tc>
      </w:tr>
      <w:tr w:rsidR="003B7488" w:rsidRPr="00CF393F" w14:paraId="5F701222" w14:textId="77777777" w:rsidTr="006F11FA">
        <w:trPr>
          <w:trHeight w:val="62"/>
        </w:trPr>
        <w:tc>
          <w:tcPr>
            <w:tcW w:w="72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EDCC339" w14:textId="77777777" w:rsidR="003B7488" w:rsidRPr="00CF393F" w:rsidRDefault="003B7488"/>
        </w:tc>
        <w:tc>
          <w:tcPr>
            <w:tcW w:w="287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63A43DD" w14:textId="77777777" w:rsidR="003B7488" w:rsidRPr="00CF393F" w:rsidRDefault="003B7488">
            <w:pPr>
              <w:rPr>
                <w:sz w:val="16"/>
                <w:szCs w:val="15"/>
              </w:rPr>
            </w:pPr>
          </w:p>
        </w:tc>
        <w:tc>
          <w:tcPr>
            <w:tcW w:w="1386" w:type="dxa"/>
            <w:tcBorders>
              <w:top w:val="none" w:sz="4" w:space="0" w:color="000000"/>
              <w:left w:val="single" w:sz="4" w:space="0" w:color="auto"/>
              <w:bottom w:val="single" w:sz="4" w:space="0" w:color="auto"/>
              <w:right w:val="none" w:sz="4" w:space="0" w:color="000000"/>
            </w:tcBorders>
            <w:shd w:val="clear" w:color="auto" w:fill="auto"/>
            <w:vAlign w:val="bottom"/>
          </w:tcPr>
          <w:p w14:paraId="744A4D2C" w14:textId="77777777" w:rsidR="003B7488" w:rsidRPr="00CF393F" w:rsidRDefault="00CE7A9D">
            <w:pPr>
              <w:rPr>
                <w:sz w:val="16"/>
                <w:szCs w:val="15"/>
              </w:rPr>
            </w:pPr>
            <w:r w:rsidRPr="00CF393F">
              <w:rPr>
                <w:sz w:val="16"/>
                <w:szCs w:val="15"/>
              </w:rPr>
              <w:t>Va</w:t>
            </w:r>
          </w:p>
        </w:tc>
        <w:tc>
          <w:tcPr>
            <w:tcW w:w="1106" w:type="dxa"/>
            <w:tcBorders>
              <w:top w:val="none" w:sz="4" w:space="0" w:color="000000"/>
              <w:left w:val="single" w:sz="8" w:space="0" w:color="auto"/>
              <w:bottom w:val="single" w:sz="4" w:space="0" w:color="auto"/>
              <w:right w:val="single" w:sz="8" w:space="0" w:color="auto"/>
            </w:tcBorders>
            <w:shd w:val="clear" w:color="000000" w:fill="92D050"/>
            <w:noWrap/>
            <w:vAlign w:val="bottom"/>
          </w:tcPr>
          <w:p w14:paraId="617F93A8" w14:textId="77777777" w:rsidR="003B7488" w:rsidRPr="00CF393F" w:rsidRDefault="00CE7A9D">
            <w:pPr>
              <w:rPr>
                <w:sz w:val="16"/>
                <w:szCs w:val="15"/>
              </w:rPr>
            </w:pPr>
            <w:r w:rsidRPr="00CF393F">
              <w:rPr>
                <w:sz w:val="16"/>
                <w:szCs w:val="15"/>
              </w:rPr>
              <w:t>0,016</w:t>
            </w:r>
          </w:p>
        </w:tc>
        <w:tc>
          <w:tcPr>
            <w:tcW w:w="85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6508BD7" w14:textId="77777777" w:rsidR="003B7488" w:rsidRPr="00CF393F" w:rsidRDefault="003B7488">
            <w:pPr>
              <w:rPr>
                <w:sz w:val="16"/>
                <w:szCs w:val="15"/>
              </w:rPr>
            </w:pPr>
          </w:p>
        </w:tc>
        <w:tc>
          <w:tcPr>
            <w:tcW w:w="74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B11A1F5" w14:textId="77777777" w:rsidR="003B7488" w:rsidRPr="00CF393F" w:rsidRDefault="003B7488">
            <w:pPr>
              <w:rPr>
                <w:sz w:val="16"/>
                <w:szCs w:val="15"/>
              </w:rPr>
            </w:pPr>
          </w:p>
        </w:tc>
        <w:tc>
          <w:tcPr>
            <w:tcW w:w="83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E7EE861" w14:textId="77777777" w:rsidR="003B7488" w:rsidRPr="00CF393F" w:rsidRDefault="003B7488"/>
        </w:tc>
        <w:tc>
          <w:tcPr>
            <w:tcW w:w="83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5A5A9CE" w14:textId="77777777" w:rsidR="003B7488" w:rsidRPr="00CF393F" w:rsidRDefault="003B7488"/>
        </w:tc>
      </w:tr>
      <w:tr w:rsidR="003B7488" w:rsidRPr="00CF393F" w14:paraId="547188EF" w14:textId="77777777" w:rsidTr="006F11FA">
        <w:trPr>
          <w:trHeight w:val="700"/>
        </w:trPr>
        <w:tc>
          <w:tcPr>
            <w:tcW w:w="72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9749B6F" w14:textId="77777777" w:rsidR="003B7488" w:rsidRPr="00CF393F" w:rsidRDefault="003B7488"/>
        </w:tc>
        <w:tc>
          <w:tcPr>
            <w:tcW w:w="287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97BDF8B" w14:textId="77777777" w:rsidR="003B7488" w:rsidRPr="00CF393F" w:rsidRDefault="003B7488"/>
        </w:tc>
        <w:tc>
          <w:tcPr>
            <w:tcW w:w="1386" w:type="dxa"/>
            <w:tcBorders>
              <w:top w:val="none" w:sz="4" w:space="0" w:color="000000"/>
              <w:left w:val="single" w:sz="4" w:space="0" w:color="auto"/>
              <w:bottom w:val="single" w:sz="4" w:space="0" w:color="auto"/>
              <w:right w:val="none" w:sz="4" w:space="0" w:color="000000"/>
            </w:tcBorders>
            <w:shd w:val="clear" w:color="auto" w:fill="auto"/>
            <w:vAlign w:val="bottom"/>
          </w:tcPr>
          <w:p w14:paraId="603BB8C0" w14:textId="77777777" w:rsidR="003B7488" w:rsidRPr="00CF393F" w:rsidRDefault="00CE7A9D">
            <w:pPr>
              <w:rPr>
                <w:sz w:val="16"/>
                <w:szCs w:val="15"/>
              </w:rPr>
            </w:pPr>
            <w:r w:rsidRPr="00CF393F">
              <w:rPr>
                <w:sz w:val="16"/>
                <w:szCs w:val="15"/>
              </w:rPr>
              <w:t>Minimum volume</w:t>
            </w:r>
          </w:p>
        </w:tc>
        <w:tc>
          <w:tcPr>
            <w:tcW w:w="1106" w:type="dxa"/>
            <w:tcBorders>
              <w:top w:val="none" w:sz="4" w:space="0" w:color="000000"/>
              <w:left w:val="single" w:sz="8" w:space="0" w:color="auto"/>
              <w:bottom w:val="single" w:sz="8" w:space="0" w:color="auto"/>
              <w:right w:val="single" w:sz="8" w:space="0" w:color="auto"/>
            </w:tcBorders>
            <w:shd w:val="clear" w:color="000000" w:fill="9BC2E6"/>
            <w:noWrap/>
            <w:vAlign w:val="bottom"/>
          </w:tcPr>
          <w:p w14:paraId="6E2B951C" w14:textId="6F16479B" w:rsidR="003B7488" w:rsidRPr="00CF393F" w:rsidRDefault="00CE7A9D">
            <w:pPr>
              <w:rPr>
                <w:sz w:val="16"/>
                <w:szCs w:val="15"/>
              </w:rPr>
            </w:pPr>
            <w:r w:rsidRPr="00CF393F">
              <w:rPr>
                <w:sz w:val="16"/>
                <w:szCs w:val="15"/>
              </w:rPr>
              <w:t>0,01</w:t>
            </w:r>
            <w:r w:rsidR="00D72C37" w:rsidRPr="00CF393F">
              <w:rPr>
                <w:sz w:val="16"/>
                <w:szCs w:val="15"/>
              </w:rPr>
              <w:t>5</w:t>
            </w:r>
          </w:p>
        </w:tc>
        <w:tc>
          <w:tcPr>
            <w:tcW w:w="850" w:type="dxa"/>
            <w:tcBorders>
              <w:top w:val="single" w:sz="8" w:space="0" w:color="auto"/>
              <w:left w:val="none" w:sz="4" w:space="0" w:color="000000"/>
              <w:bottom w:val="single" w:sz="8" w:space="0" w:color="auto"/>
              <w:right w:val="single" w:sz="8" w:space="0" w:color="auto"/>
            </w:tcBorders>
            <w:shd w:val="clear" w:color="000000" w:fill="FFC000"/>
            <w:noWrap/>
            <w:vAlign w:val="bottom"/>
          </w:tcPr>
          <w:p w14:paraId="19043A93" w14:textId="021F6660" w:rsidR="003B7488" w:rsidRPr="00CF393F" w:rsidRDefault="00CE7A9D">
            <w:pPr>
              <w:rPr>
                <w:sz w:val="16"/>
                <w:szCs w:val="15"/>
              </w:rPr>
            </w:pPr>
            <w:r w:rsidRPr="00CF393F">
              <w:rPr>
                <w:sz w:val="16"/>
                <w:szCs w:val="15"/>
              </w:rPr>
              <w:t>-</w:t>
            </w:r>
            <w:r w:rsidR="00D72C37" w:rsidRPr="00CF393F">
              <w:rPr>
                <w:sz w:val="16"/>
                <w:szCs w:val="15"/>
              </w:rPr>
              <w:t>7</w:t>
            </w:r>
            <w:r w:rsidRPr="00CF393F">
              <w:rPr>
                <w:sz w:val="16"/>
                <w:szCs w:val="15"/>
              </w:rPr>
              <w:t xml:space="preserve"> %</w:t>
            </w:r>
          </w:p>
        </w:tc>
        <w:tc>
          <w:tcPr>
            <w:tcW w:w="74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247E65A" w14:textId="77777777" w:rsidR="003B7488" w:rsidRPr="00CF393F" w:rsidRDefault="003B7488"/>
        </w:tc>
        <w:tc>
          <w:tcPr>
            <w:tcW w:w="83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B5CF971" w14:textId="77777777" w:rsidR="003B7488" w:rsidRPr="00CF393F" w:rsidRDefault="003B7488"/>
        </w:tc>
        <w:tc>
          <w:tcPr>
            <w:tcW w:w="83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8DA295C" w14:textId="77777777" w:rsidR="003B7488" w:rsidRPr="00CF393F" w:rsidRDefault="003B7488"/>
        </w:tc>
      </w:tr>
    </w:tbl>
    <w:p w14:paraId="64487DF9" w14:textId="3D6AC002" w:rsidR="00F15C06" w:rsidRPr="00CF393F" w:rsidRDefault="00CE7A9D" w:rsidP="00F15C06">
      <w:pPr>
        <w:pStyle w:val="Caption"/>
        <w:spacing w:before="120" w:after="240" w:line="240" w:lineRule="auto"/>
      </w:pPr>
      <w:r w:rsidRPr="00CF393F">
        <w:rPr>
          <w:b/>
          <w:bCs/>
          <w:i w:val="0"/>
          <w:iCs w:val="0"/>
          <w:color w:val="000000" w:themeColor="text1"/>
        </w:rPr>
        <w:t xml:space="preserve">Table </w:t>
      </w:r>
      <w:r w:rsidR="00F15C06" w:rsidRPr="00CF393F">
        <w:rPr>
          <w:b/>
          <w:bCs/>
          <w:i w:val="0"/>
          <w:iCs w:val="0"/>
          <w:color w:val="000000" w:themeColor="text1"/>
        </w:rPr>
        <w:t>2</w:t>
      </w:r>
      <w:r w:rsidRPr="00CF393F">
        <w:rPr>
          <w:i w:val="0"/>
          <w:iCs w:val="0"/>
          <w:color w:val="000000" w:themeColor="text1"/>
        </w:rPr>
        <w:t>: Uncertainties and errors that influence the volume estimation of submarine landslides. These uncertainties differently for the source and sink area and furthermore their positive (max (+)) or negative (min (-)) influence is highlighted. The uncertainties are summed and calculated in respect to Ve and Va, thus providing an uncertainty range of volume estimates specifically for Ana Slide.</w:t>
      </w:r>
    </w:p>
    <w:p w14:paraId="2CCE200B" w14:textId="77777777" w:rsidR="003B7488" w:rsidRPr="00CF393F" w:rsidRDefault="00CE7A9D">
      <w:r w:rsidRPr="00CF393F">
        <w:rPr>
          <w:rStyle w:val="Heading1Char"/>
        </w:rPr>
        <w:t>Data availability statement</w:t>
      </w:r>
      <w:r w:rsidRPr="00CF393F">
        <w:br/>
        <w:t>The 3D reflection seismic data from Ana Slide are available at the World Data Centre Pangaea (</w:t>
      </w:r>
      <w:hyperlink r:id="rId23" w:tooltip="https://doi.pangaea.de/10.1594/PANGAEA.943523" w:history="1">
        <w:r w:rsidRPr="00CF393F">
          <w:rPr>
            <w:rStyle w:val="Hyperlink"/>
          </w:rPr>
          <w:t>https://doi.pangaea.de/10.1594/PANGAEA.943523</w:t>
        </w:r>
      </w:hyperlink>
      <w:r w:rsidRPr="00CF393F">
        <w:t>).</w:t>
      </w:r>
    </w:p>
    <w:p w14:paraId="7AB002C2" w14:textId="77777777" w:rsidR="003B7488" w:rsidRPr="00CF393F" w:rsidRDefault="00CE7A9D">
      <w:pPr>
        <w:pStyle w:val="Heading1"/>
        <w:numPr>
          <w:ilvl w:val="0"/>
          <w:numId w:val="0"/>
        </w:numPr>
        <w:spacing w:before="120"/>
        <w:ind w:left="360" w:hanging="360"/>
        <w:rPr>
          <w:rFonts w:eastAsia="Times New Roman" w:cs="Times New Roman"/>
          <w:b w:val="0"/>
          <w:szCs w:val="21"/>
        </w:rPr>
      </w:pPr>
      <w:r w:rsidRPr="00CF393F">
        <w:t>References</w:t>
      </w:r>
    </w:p>
    <w:p w14:paraId="5A909F99" w14:textId="77777777" w:rsidR="00416598" w:rsidRPr="00416598" w:rsidRDefault="00416598" w:rsidP="00416598">
      <w:pPr>
        <w:pStyle w:val="Bibliography"/>
      </w:pPr>
      <w:r>
        <w:fldChar w:fldCharType="begin"/>
      </w:r>
      <w:r>
        <w:instrText xml:space="preserve"> ADDIN ZOTERO_BIBL {"uncited":[],"omitted":[],"custom":[]} CSL_BIBLIOGRAPHY </w:instrText>
      </w:r>
      <w:r>
        <w:fldChar w:fldCharType="separate"/>
      </w:r>
      <w:r w:rsidRPr="00416598">
        <w:t xml:space="preserve">Lastras, G., Canals, M., Urgeles, R., Hughes-Clarke, J. E., &amp; Acosta, J. (2004). Shallow slides and pockmark swarms in the Eivissa Channel, western Mediterranean Sea: Shallow slides and pockmark swarms. </w:t>
      </w:r>
      <w:r w:rsidRPr="00416598">
        <w:rPr>
          <w:i/>
          <w:iCs/>
        </w:rPr>
        <w:t>Sedimentology</w:t>
      </w:r>
      <w:r w:rsidRPr="00416598">
        <w:t xml:space="preserve">, </w:t>
      </w:r>
      <w:r w:rsidRPr="00416598">
        <w:rPr>
          <w:i/>
          <w:iCs/>
        </w:rPr>
        <w:t>51</w:t>
      </w:r>
      <w:r w:rsidRPr="00416598">
        <w:t>(4), 837–850. https://doi.org/10.1111/j.1365-3091.2004.00654.x</w:t>
      </w:r>
    </w:p>
    <w:p w14:paraId="794784A6" w14:textId="77777777" w:rsidR="00416598" w:rsidRPr="00416598" w:rsidRDefault="00416598" w:rsidP="00416598">
      <w:pPr>
        <w:pStyle w:val="Bibliography"/>
      </w:pPr>
      <w:r w:rsidRPr="00416598">
        <w:t xml:space="preserve">Nugraha, H. D., Jackson, C. A.-L., Johnson, H. D., Hodgson, D. M., &amp; Clare, M. A. (2022). Extreme erosion by submarine slides. </w:t>
      </w:r>
      <w:r w:rsidRPr="00416598">
        <w:rPr>
          <w:i/>
          <w:iCs/>
        </w:rPr>
        <w:t>Geology</w:t>
      </w:r>
      <w:r w:rsidRPr="00416598">
        <w:t xml:space="preserve">, </w:t>
      </w:r>
      <w:r w:rsidRPr="00416598">
        <w:rPr>
          <w:i/>
          <w:iCs/>
        </w:rPr>
        <w:t>50</w:t>
      </w:r>
      <w:r w:rsidRPr="00416598">
        <w:t>(10), 1130–1134. https://doi.org/10.1130/G50164.1</w:t>
      </w:r>
    </w:p>
    <w:p w14:paraId="47B8CCDD" w14:textId="77777777" w:rsidR="00416598" w:rsidRPr="00416598" w:rsidRDefault="00416598" w:rsidP="00416598">
      <w:pPr>
        <w:pStyle w:val="Bibliography"/>
      </w:pPr>
      <w:r w:rsidRPr="00416598">
        <w:t xml:space="preserve">Sager, T. F., Urlaub, M., Kaminski, P., Papenberg, C., Lastras, G., Canals, M., &amp; Berndt, C. (2022). Development and Emplacement of Ana Slide, Eivissa Channel, Western Mediterranean Sea. </w:t>
      </w:r>
      <w:r w:rsidRPr="00416598">
        <w:rPr>
          <w:i/>
          <w:iCs/>
        </w:rPr>
        <w:t>Geochemistry, Geophysics, Geosystems</w:t>
      </w:r>
      <w:r w:rsidRPr="00416598">
        <w:t xml:space="preserve">, </w:t>
      </w:r>
      <w:r w:rsidRPr="00416598">
        <w:rPr>
          <w:i/>
          <w:iCs/>
        </w:rPr>
        <w:t>23</w:t>
      </w:r>
      <w:r w:rsidRPr="00416598">
        <w:t>(11). https://doi.org/10.1029/2022GC010469</w:t>
      </w:r>
    </w:p>
    <w:p w14:paraId="17981E2B" w14:textId="77777777" w:rsidR="00416598" w:rsidRPr="00416598" w:rsidRDefault="00416598" w:rsidP="00416598">
      <w:pPr>
        <w:pStyle w:val="Bibliography"/>
      </w:pPr>
      <w:r w:rsidRPr="00416598">
        <w:t xml:space="preserve">Sobiesiak, M. S., Kneller, B., Alsop, G. I., &amp; Milana, J. P. (2018). Styles of basal interaction beneath mass transport deposits. </w:t>
      </w:r>
      <w:r w:rsidRPr="00416598">
        <w:rPr>
          <w:i/>
          <w:iCs/>
        </w:rPr>
        <w:t>Marine and Petroleum Geology</w:t>
      </w:r>
      <w:r w:rsidRPr="00416598">
        <w:t xml:space="preserve">, </w:t>
      </w:r>
      <w:r w:rsidRPr="00416598">
        <w:rPr>
          <w:i/>
          <w:iCs/>
        </w:rPr>
        <w:t>98</w:t>
      </w:r>
      <w:r w:rsidRPr="00416598">
        <w:t>, 629–639. https://doi.org/10.1016/j.marpetgeo.2018.08.028</w:t>
      </w:r>
    </w:p>
    <w:p w14:paraId="41CA0FF8" w14:textId="77777777" w:rsidR="00416598" w:rsidRPr="00416598" w:rsidRDefault="00416598" w:rsidP="00416598">
      <w:pPr>
        <w:pStyle w:val="Bibliography"/>
      </w:pPr>
      <w:r w:rsidRPr="00416598">
        <w:lastRenderedPageBreak/>
        <w:t xml:space="preserve">Sun, Q., &amp; Alves, T. (2020). Petrophysics of fine-grained mass-transport deposits: A critical review. </w:t>
      </w:r>
      <w:r w:rsidRPr="00416598">
        <w:rPr>
          <w:i/>
          <w:iCs/>
        </w:rPr>
        <w:t>Journal of Asian Earth Sciences</w:t>
      </w:r>
      <w:r w:rsidRPr="00416598">
        <w:t xml:space="preserve">, </w:t>
      </w:r>
      <w:r w:rsidRPr="00416598">
        <w:rPr>
          <w:i/>
          <w:iCs/>
        </w:rPr>
        <w:t>192</w:t>
      </w:r>
      <w:r w:rsidRPr="00416598">
        <w:t>, 104291. https://doi.org/10.1016/j.jseaes.2020.104291</w:t>
      </w:r>
    </w:p>
    <w:p w14:paraId="0039AA1B" w14:textId="6325FCAD" w:rsidR="003B7488" w:rsidRPr="00CF393F" w:rsidRDefault="00416598">
      <w:r>
        <w:fldChar w:fldCharType="end"/>
      </w:r>
    </w:p>
    <w:sectPr w:rsidR="003B7488" w:rsidRPr="00CF393F">
      <w:headerReference w:type="default" r:id="rId24"/>
      <w:footerReference w:type="even" r:id="rId25"/>
      <w:footerReference w:type="default" r:id="rId26"/>
      <w:headerReference w:type="first" r:id="rId27"/>
      <w:pgSz w:w="12240" w:h="15840"/>
      <w:pgMar w:top="1440" w:right="1440" w:bottom="1440" w:left="1440" w:header="432" w:footer="567"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2E5A2" w14:textId="77777777" w:rsidR="00E65A47" w:rsidRDefault="00E65A47">
      <w:r>
        <w:separator/>
      </w:r>
    </w:p>
    <w:p w14:paraId="5710719C" w14:textId="77777777" w:rsidR="00E65A47" w:rsidRDefault="00E65A47"/>
  </w:endnote>
  <w:endnote w:type="continuationSeparator" w:id="0">
    <w:p w14:paraId="27327324" w14:textId="77777777" w:rsidR="00E65A47" w:rsidRDefault="00E65A47">
      <w:r>
        <w:continuationSeparator/>
      </w:r>
    </w:p>
    <w:p w14:paraId="5577FC53" w14:textId="77777777" w:rsidR="00E65A47" w:rsidRDefault="00E65A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4201678"/>
      <w:docPartObj>
        <w:docPartGallery w:val="Page Numbers (Bottom of Page)"/>
        <w:docPartUnique/>
      </w:docPartObj>
    </w:sdtPr>
    <w:sdtContent>
      <w:p w14:paraId="2C7BF9B0" w14:textId="77777777" w:rsidR="00E716D2" w:rsidRDefault="00E716D2">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B269740" w14:textId="77777777" w:rsidR="00E716D2" w:rsidRDefault="00E716D2">
    <w:pPr>
      <w:pStyle w:val="Footer"/>
    </w:pPr>
  </w:p>
  <w:p w14:paraId="45DDD20B" w14:textId="77777777" w:rsidR="00547859" w:rsidRDefault="0054785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9856377"/>
      <w:docPartObj>
        <w:docPartGallery w:val="Page Numbers (Bottom of Page)"/>
        <w:docPartUnique/>
      </w:docPartObj>
    </w:sdtPr>
    <w:sdtContent>
      <w:p w14:paraId="4D57D074" w14:textId="63410A2E" w:rsidR="00E716D2" w:rsidRDefault="00E716D2">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sidR="00AE3517">
          <w:rPr>
            <w:rStyle w:val="PageNumber"/>
            <w:noProof/>
          </w:rPr>
          <w:t>12</w:t>
        </w:r>
        <w:r>
          <w:rPr>
            <w:rStyle w:val="PageNumber"/>
          </w:rPr>
          <w:fldChar w:fldCharType="end"/>
        </w:r>
      </w:p>
    </w:sdtContent>
  </w:sdt>
  <w:p w14:paraId="3CE4BDD2" w14:textId="77777777" w:rsidR="00E716D2" w:rsidRDefault="00E716D2">
    <w:pPr>
      <w:pStyle w:val="Footer"/>
    </w:pPr>
  </w:p>
  <w:p w14:paraId="60D7AE19" w14:textId="77777777" w:rsidR="00547859" w:rsidRDefault="005478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D2222" w14:textId="77777777" w:rsidR="00E65A47" w:rsidRDefault="00E65A47">
      <w:r>
        <w:separator/>
      </w:r>
    </w:p>
    <w:p w14:paraId="7CD32BE5" w14:textId="77777777" w:rsidR="00E65A47" w:rsidRDefault="00E65A47"/>
  </w:footnote>
  <w:footnote w:type="continuationSeparator" w:id="0">
    <w:p w14:paraId="7BFE458B" w14:textId="77777777" w:rsidR="00E65A47" w:rsidRDefault="00E65A47">
      <w:r>
        <w:continuationSeparator/>
      </w:r>
    </w:p>
    <w:p w14:paraId="64BED909" w14:textId="77777777" w:rsidR="00E65A47" w:rsidRDefault="00E65A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D51E0" w14:textId="77777777" w:rsidR="00E716D2" w:rsidRDefault="00E716D2">
    <w:pPr>
      <w:pStyle w:val="Header"/>
      <w:jc w:val="center"/>
    </w:pPr>
    <w:r>
      <w:t>Geo-Marine Letters – supporting information</w:t>
    </w:r>
  </w:p>
  <w:p w14:paraId="5C1FFFAC" w14:textId="77777777" w:rsidR="00547859" w:rsidRDefault="005478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C4EE9" w14:textId="77777777" w:rsidR="00E716D2" w:rsidRDefault="00E716D2">
    <w:pPr>
      <w:pStyle w:val="Header"/>
    </w:pPr>
    <w:r>
      <w:t>Confidential manuscript submitted to replace this text with name of AGU journal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B6D1A"/>
    <w:multiLevelType w:val="multilevel"/>
    <w:tmpl w:val="C5D044A0"/>
    <w:lvl w:ilvl="0">
      <w:start w:val="1"/>
      <w:numFmt w:val="decimal"/>
      <w:pStyle w:val="Heading1"/>
      <w:lvlText w:val="%1."/>
      <w:lvlJc w:val="left"/>
      <w:pPr>
        <w:ind w:left="360" w:hanging="360"/>
      </w:pPr>
      <w:rPr>
        <w:rFonts w:hint="default"/>
      </w:rPr>
    </w:lvl>
    <w:lvl w:ilvl="1">
      <w:start w:val="1"/>
      <w:numFmt w:val="decimal"/>
      <w:pStyle w:val="Heading2"/>
      <w:isLgl/>
      <w:lvlText w:val="%1.%2"/>
      <w:lvlJc w:val="left"/>
      <w:pPr>
        <w:ind w:left="567" w:hanging="56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6965E75"/>
    <w:multiLevelType w:val="hybridMultilevel"/>
    <w:tmpl w:val="D4184934"/>
    <w:lvl w:ilvl="0" w:tplc="E58CE4DA">
      <w:start w:val="1"/>
      <w:numFmt w:val="bullet"/>
      <w:lvlText w:val=""/>
      <w:lvlJc w:val="left"/>
      <w:pPr>
        <w:ind w:left="720" w:hanging="360"/>
      </w:pPr>
      <w:rPr>
        <w:rFonts w:ascii="Symbol" w:hAnsi="Symbol" w:hint="default"/>
      </w:rPr>
    </w:lvl>
    <w:lvl w:ilvl="1" w:tplc="F9EC8E9C">
      <w:start w:val="1"/>
      <w:numFmt w:val="bullet"/>
      <w:lvlText w:val="o"/>
      <w:lvlJc w:val="left"/>
      <w:pPr>
        <w:ind w:left="1440" w:hanging="360"/>
      </w:pPr>
      <w:rPr>
        <w:rFonts w:ascii="Courier New" w:hAnsi="Courier New" w:cs="Courier New" w:hint="default"/>
      </w:rPr>
    </w:lvl>
    <w:lvl w:ilvl="2" w:tplc="767E2E6A">
      <w:start w:val="1"/>
      <w:numFmt w:val="bullet"/>
      <w:lvlText w:val=""/>
      <w:lvlJc w:val="left"/>
      <w:pPr>
        <w:ind w:left="2160" w:hanging="360"/>
      </w:pPr>
      <w:rPr>
        <w:rFonts w:ascii="Wingdings" w:hAnsi="Wingdings" w:hint="default"/>
      </w:rPr>
    </w:lvl>
    <w:lvl w:ilvl="3" w:tplc="E9642C60">
      <w:start w:val="1"/>
      <w:numFmt w:val="bullet"/>
      <w:lvlText w:val=""/>
      <w:lvlJc w:val="left"/>
      <w:pPr>
        <w:ind w:left="2880" w:hanging="360"/>
      </w:pPr>
      <w:rPr>
        <w:rFonts w:ascii="Symbol" w:hAnsi="Symbol" w:hint="default"/>
      </w:rPr>
    </w:lvl>
    <w:lvl w:ilvl="4" w:tplc="A762F678">
      <w:start w:val="1"/>
      <w:numFmt w:val="bullet"/>
      <w:lvlText w:val="o"/>
      <w:lvlJc w:val="left"/>
      <w:pPr>
        <w:ind w:left="3600" w:hanging="360"/>
      </w:pPr>
      <w:rPr>
        <w:rFonts w:ascii="Courier New" w:hAnsi="Courier New" w:cs="Courier New" w:hint="default"/>
      </w:rPr>
    </w:lvl>
    <w:lvl w:ilvl="5" w:tplc="1FD0B288">
      <w:start w:val="1"/>
      <w:numFmt w:val="bullet"/>
      <w:lvlText w:val=""/>
      <w:lvlJc w:val="left"/>
      <w:pPr>
        <w:ind w:left="4320" w:hanging="360"/>
      </w:pPr>
      <w:rPr>
        <w:rFonts w:ascii="Wingdings" w:hAnsi="Wingdings" w:hint="default"/>
      </w:rPr>
    </w:lvl>
    <w:lvl w:ilvl="6" w:tplc="BD7015BE">
      <w:start w:val="1"/>
      <w:numFmt w:val="bullet"/>
      <w:lvlText w:val=""/>
      <w:lvlJc w:val="left"/>
      <w:pPr>
        <w:ind w:left="5040" w:hanging="360"/>
      </w:pPr>
      <w:rPr>
        <w:rFonts w:ascii="Symbol" w:hAnsi="Symbol" w:hint="default"/>
      </w:rPr>
    </w:lvl>
    <w:lvl w:ilvl="7" w:tplc="7A5EEB4E">
      <w:start w:val="1"/>
      <w:numFmt w:val="bullet"/>
      <w:lvlText w:val="o"/>
      <w:lvlJc w:val="left"/>
      <w:pPr>
        <w:ind w:left="5760" w:hanging="360"/>
      </w:pPr>
      <w:rPr>
        <w:rFonts w:ascii="Courier New" w:hAnsi="Courier New" w:cs="Courier New" w:hint="default"/>
      </w:rPr>
    </w:lvl>
    <w:lvl w:ilvl="8" w:tplc="95D0D434">
      <w:start w:val="1"/>
      <w:numFmt w:val="bullet"/>
      <w:lvlText w:val=""/>
      <w:lvlJc w:val="left"/>
      <w:pPr>
        <w:ind w:left="6480" w:hanging="360"/>
      </w:pPr>
      <w:rPr>
        <w:rFonts w:ascii="Wingdings" w:hAnsi="Wingdings" w:hint="default"/>
      </w:rPr>
    </w:lvl>
  </w:abstractNum>
  <w:abstractNum w:abstractNumId="2" w15:restartNumberingAfterBreak="0">
    <w:nsid w:val="0C442BBE"/>
    <w:multiLevelType w:val="multilevel"/>
    <w:tmpl w:val="1F068F18"/>
    <w:lvl w:ilvl="0">
      <w:start w:val="1"/>
      <w:numFmt w:val="decimal"/>
      <w:lvlText w:val="%1."/>
      <w:lvlJc w:val="left"/>
      <w:pPr>
        <w:ind w:left="360" w:hanging="360"/>
      </w:pPr>
      <w:rPr>
        <w:rFonts w:hint="default"/>
      </w:rPr>
    </w:lvl>
    <w:lvl w:ilvl="1">
      <w:start w:val="1"/>
      <w:numFmt w:val="decimal"/>
      <w:isLgl/>
      <w:lvlText w:val="%1.%2"/>
      <w:lvlJc w:val="left"/>
      <w:pPr>
        <w:ind w:left="500" w:hanging="5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035763A"/>
    <w:multiLevelType w:val="multilevel"/>
    <w:tmpl w:val="14066D80"/>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4" w15:restartNumberingAfterBreak="0">
    <w:nsid w:val="104307E8"/>
    <w:multiLevelType w:val="multilevel"/>
    <w:tmpl w:val="25521DC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047885"/>
    <w:multiLevelType w:val="hybridMultilevel"/>
    <w:tmpl w:val="9F20058E"/>
    <w:lvl w:ilvl="0" w:tplc="77AA2E84">
      <w:start w:val="1"/>
      <w:numFmt w:val="decimal"/>
      <w:lvlText w:val="%1."/>
      <w:lvlJc w:val="left"/>
      <w:pPr>
        <w:ind w:left="927" w:hanging="360"/>
      </w:pPr>
    </w:lvl>
    <w:lvl w:ilvl="1" w:tplc="D0781D4C">
      <w:start w:val="1"/>
      <w:numFmt w:val="lowerLetter"/>
      <w:lvlText w:val="%2."/>
      <w:lvlJc w:val="left"/>
      <w:pPr>
        <w:ind w:left="1647" w:hanging="360"/>
      </w:pPr>
    </w:lvl>
    <w:lvl w:ilvl="2" w:tplc="514C24FE">
      <w:start w:val="1"/>
      <w:numFmt w:val="lowerRoman"/>
      <w:lvlText w:val="%3."/>
      <w:lvlJc w:val="right"/>
      <w:pPr>
        <w:ind w:left="2367" w:hanging="180"/>
      </w:pPr>
    </w:lvl>
    <w:lvl w:ilvl="3" w:tplc="AC941418">
      <w:start w:val="1"/>
      <w:numFmt w:val="decimal"/>
      <w:lvlText w:val="%4."/>
      <w:lvlJc w:val="left"/>
      <w:pPr>
        <w:ind w:left="3087" w:hanging="360"/>
      </w:pPr>
    </w:lvl>
    <w:lvl w:ilvl="4" w:tplc="3A58CA26">
      <w:start w:val="1"/>
      <w:numFmt w:val="lowerLetter"/>
      <w:lvlText w:val="%5."/>
      <w:lvlJc w:val="left"/>
      <w:pPr>
        <w:ind w:left="3807" w:hanging="360"/>
      </w:pPr>
    </w:lvl>
    <w:lvl w:ilvl="5" w:tplc="CCC8D000">
      <w:start w:val="1"/>
      <w:numFmt w:val="lowerRoman"/>
      <w:lvlText w:val="%6."/>
      <w:lvlJc w:val="right"/>
      <w:pPr>
        <w:ind w:left="4527" w:hanging="180"/>
      </w:pPr>
    </w:lvl>
    <w:lvl w:ilvl="6" w:tplc="25604316">
      <w:start w:val="1"/>
      <w:numFmt w:val="decimal"/>
      <w:lvlText w:val="%7."/>
      <w:lvlJc w:val="left"/>
      <w:pPr>
        <w:ind w:left="5247" w:hanging="360"/>
      </w:pPr>
    </w:lvl>
    <w:lvl w:ilvl="7" w:tplc="2AD0D382">
      <w:start w:val="1"/>
      <w:numFmt w:val="lowerLetter"/>
      <w:lvlText w:val="%8."/>
      <w:lvlJc w:val="left"/>
      <w:pPr>
        <w:ind w:left="5967" w:hanging="360"/>
      </w:pPr>
    </w:lvl>
    <w:lvl w:ilvl="8" w:tplc="D506EB8C">
      <w:start w:val="1"/>
      <w:numFmt w:val="lowerRoman"/>
      <w:lvlText w:val="%9."/>
      <w:lvlJc w:val="right"/>
      <w:pPr>
        <w:ind w:left="6687" w:hanging="180"/>
      </w:pPr>
    </w:lvl>
  </w:abstractNum>
  <w:abstractNum w:abstractNumId="6" w15:restartNumberingAfterBreak="0">
    <w:nsid w:val="171C51C8"/>
    <w:multiLevelType w:val="multilevel"/>
    <w:tmpl w:val="2C32D0D2"/>
    <w:lvl w:ilvl="0">
      <w:start w:val="1"/>
      <w:numFmt w:val="decimal"/>
      <w:lvlText w:val="%1."/>
      <w:lvlJc w:val="left"/>
      <w:pPr>
        <w:ind w:left="567" w:hanging="567"/>
      </w:pPr>
      <w:rPr>
        <w:rFonts w:hint="default"/>
      </w:rPr>
    </w:lvl>
    <w:lvl w:ilvl="1">
      <w:start w:val="2"/>
      <w:numFmt w:val="decimal"/>
      <w:isLgl/>
      <w:lvlText w:val="%1.%2"/>
      <w:lvlJc w:val="left"/>
      <w:pPr>
        <w:ind w:left="567" w:hanging="56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8EF3E49"/>
    <w:multiLevelType w:val="hybridMultilevel"/>
    <w:tmpl w:val="8C96C8EC"/>
    <w:lvl w:ilvl="0" w:tplc="91E6BDB0">
      <w:start w:val="1"/>
      <w:numFmt w:val="decimal"/>
      <w:lvlText w:val="%1."/>
      <w:lvlJc w:val="left"/>
      <w:pPr>
        <w:ind w:left="1800" w:hanging="360"/>
      </w:pPr>
    </w:lvl>
    <w:lvl w:ilvl="1" w:tplc="9AC2A0D4">
      <w:start w:val="1"/>
      <w:numFmt w:val="lowerLetter"/>
      <w:lvlText w:val="%2."/>
      <w:lvlJc w:val="left"/>
      <w:pPr>
        <w:ind w:left="2520" w:hanging="360"/>
      </w:pPr>
    </w:lvl>
    <w:lvl w:ilvl="2" w:tplc="7B363FCC">
      <w:start w:val="1"/>
      <w:numFmt w:val="lowerRoman"/>
      <w:lvlText w:val="%3."/>
      <w:lvlJc w:val="right"/>
      <w:pPr>
        <w:ind w:left="3240" w:hanging="180"/>
      </w:pPr>
    </w:lvl>
    <w:lvl w:ilvl="3" w:tplc="0A129104">
      <w:start w:val="1"/>
      <w:numFmt w:val="decimal"/>
      <w:lvlText w:val="%4."/>
      <w:lvlJc w:val="left"/>
      <w:pPr>
        <w:ind w:left="3960" w:hanging="360"/>
      </w:pPr>
    </w:lvl>
    <w:lvl w:ilvl="4" w:tplc="CDD030CA">
      <w:start w:val="1"/>
      <w:numFmt w:val="lowerLetter"/>
      <w:lvlText w:val="%5."/>
      <w:lvlJc w:val="left"/>
      <w:pPr>
        <w:ind w:left="4680" w:hanging="360"/>
      </w:pPr>
    </w:lvl>
    <w:lvl w:ilvl="5" w:tplc="36223DDC">
      <w:start w:val="1"/>
      <w:numFmt w:val="lowerRoman"/>
      <w:lvlText w:val="%6."/>
      <w:lvlJc w:val="right"/>
      <w:pPr>
        <w:ind w:left="5400" w:hanging="180"/>
      </w:pPr>
    </w:lvl>
    <w:lvl w:ilvl="6" w:tplc="A55E9B8C">
      <w:start w:val="1"/>
      <w:numFmt w:val="decimal"/>
      <w:lvlText w:val="%7."/>
      <w:lvlJc w:val="left"/>
      <w:pPr>
        <w:ind w:left="6120" w:hanging="360"/>
      </w:pPr>
    </w:lvl>
    <w:lvl w:ilvl="7" w:tplc="D33C25C8">
      <w:start w:val="1"/>
      <w:numFmt w:val="lowerLetter"/>
      <w:lvlText w:val="%8."/>
      <w:lvlJc w:val="left"/>
      <w:pPr>
        <w:ind w:left="6840" w:hanging="360"/>
      </w:pPr>
    </w:lvl>
    <w:lvl w:ilvl="8" w:tplc="ACBC4A3E">
      <w:start w:val="1"/>
      <w:numFmt w:val="lowerRoman"/>
      <w:lvlText w:val="%9."/>
      <w:lvlJc w:val="right"/>
      <w:pPr>
        <w:ind w:left="7560" w:hanging="180"/>
      </w:pPr>
    </w:lvl>
  </w:abstractNum>
  <w:abstractNum w:abstractNumId="8" w15:restartNumberingAfterBreak="0">
    <w:nsid w:val="1B193833"/>
    <w:multiLevelType w:val="multilevel"/>
    <w:tmpl w:val="9FEA52B8"/>
    <w:lvl w:ilvl="0">
      <w:start w:val="1"/>
      <w:numFmt w:val="decimal"/>
      <w:lvlText w:val="%1."/>
      <w:lvlJc w:val="left"/>
      <w:pPr>
        <w:ind w:left="360" w:hanging="360"/>
      </w:pPr>
      <w:rPr>
        <w:rFonts w:hint="default"/>
      </w:rPr>
    </w:lvl>
    <w:lvl w:ilvl="1">
      <w:start w:val="1"/>
      <w:numFmt w:val="decimal"/>
      <w:isLgl/>
      <w:lvlText w:val="%1.%2"/>
      <w:lvlJc w:val="left"/>
      <w:pPr>
        <w:ind w:left="500" w:hanging="5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1C0B14A9"/>
    <w:multiLevelType w:val="hybridMultilevel"/>
    <w:tmpl w:val="9452B538"/>
    <w:lvl w:ilvl="0" w:tplc="C8723678">
      <w:start w:val="1"/>
      <w:numFmt w:val="decimal"/>
      <w:lvlText w:val="%1."/>
      <w:lvlJc w:val="left"/>
      <w:pPr>
        <w:ind w:left="927" w:hanging="360"/>
      </w:pPr>
      <w:rPr>
        <w:rFonts w:hint="default"/>
      </w:rPr>
    </w:lvl>
    <w:lvl w:ilvl="1" w:tplc="012E9BDA">
      <w:start w:val="1"/>
      <w:numFmt w:val="lowerLetter"/>
      <w:lvlText w:val="%2."/>
      <w:lvlJc w:val="left"/>
      <w:pPr>
        <w:ind w:left="1647" w:hanging="360"/>
      </w:pPr>
    </w:lvl>
    <w:lvl w:ilvl="2" w:tplc="67BE5B44">
      <w:start w:val="1"/>
      <w:numFmt w:val="lowerRoman"/>
      <w:lvlText w:val="%3."/>
      <w:lvlJc w:val="right"/>
      <w:pPr>
        <w:ind w:left="2367" w:hanging="180"/>
      </w:pPr>
    </w:lvl>
    <w:lvl w:ilvl="3" w:tplc="BD084E5A">
      <w:start w:val="1"/>
      <w:numFmt w:val="decimal"/>
      <w:lvlText w:val="%4."/>
      <w:lvlJc w:val="left"/>
      <w:pPr>
        <w:ind w:left="3087" w:hanging="360"/>
      </w:pPr>
    </w:lvl>
    <w:lvl w:ilvl="4" w:tplc="374A8982">
      <w:start w:val="1"/>
      <w:numFmt w:val="lowerLetter"/>
      <w:lvlText w:val="%5."/>
      <w:lvlJc w:val="left"/>
      <w:pPr>
        <w:ind w:left="3807" w:hanging="360"/>
      </w:pPr>
    </w:lvl>
    <w:lvl w:ilvl="5" w:tplc="AF26CA72">
      <w:start w:val="1"/>
      <w:numFmt w:val="lowerRoman"/>
      <w:lvlText w:val="%6."/>
      <w:lvlJc w:val="right"/>
      <w:pPr>
        <w:ind w:left="4527" w:hanging="180"/>
      </w:pPr>
    </w:lvl>
    <w:lvl w:ilvl="6" w:tplc="19A8873C">
      <w:start w:val="1"/>
      <w:numFmt w:val="decimal"/>
      <w:lvlText w:val="%7."/>
      <w:lvlJc w:val="left"/>
      <w:pPr>
        <w:ind w:left="5247" w:hanging="360"/>
      </w:pPr>
    </w:lvl>
    <w:lvl w:ilvl="7" w:tplc="68C81906">
      <w:start w:val="1"/>
      <w:numFmt w:val="lowerLetter"/>
      <w:lvlText w:val="%8."/>
      <w:lvlJc w:val="left"/>
      <w:pPr>
        <w:ind w:left="5967" w:hanging="360"/>
      </w:pPr>
    </w:lvl>
    <w:lvl w:ilvl="8" w:tplc="80608B84">
      <w:start w:val="1"/>
      <w:numFmt w:val="lowerRoman"/>
      <w:lvlText w:val="%9."/>
      <w:lvlJc w:val="right"/>
      <w:pPr>
        <w:ind w:left="6687" w:hanging="180"/>
      </w:pPr>
    </w:lvl>
  </w:abstractNum>
  <w:abstractNum w:abstractNumId="10" w15:restartNumberingAfterBreak="0">
    <w:nsid w:val="1C481EE0"/>
    <w:multiLevelType w:val="hybridMultilevel"/>
    <w:tmpl w:val="41749234"/>
    <w:lvl w:ilvl="0" w:tplc="46A8165C">
      <w:start w:val="1"/>
      <w:numFmt w:val="bullet"/>
      <w:lvlText w:val=""/>
      <w:lvlJc w:val="left"/>
      <w:pPr>
        <w:ind w:left="720" w:hanging="360"/>
      </w:pPr>
      <w:rPr>
        <w:rFonts w:ascii="Symbol" w:hAnsi="Symbol" w:hint="default"/>
      </w:rPr>
    </w:lvl>
    <w:lvl w:ilvl="1" w:tplc="24369744">
      <w:start w:val="1"/>
      <w:numFmt w:val="bullet"/>
      <w:lvlText w:val="o"/>
      <w:lvlJc w:val="left"/>
      <w:pPr>
        <w:ind w:left="1440" w:hanging="360"/>
      </w:pPr>
      <w:rPr>
        <w:rFonts w:ascii="Courier New" w:hAnsi="Courier New" w:cs="Courier New" w:hint="default"/>
      </w:rPr>
    </w:lvl>
    <w:lvl w:ilvl="2" w:tplc="8730B238">
      <w:start w:val="1"/>
      <w:numFmt w:val="bullet"/>
      <w:lvlText w:val=""/>
      <w:lvlJc w:val="left"/>
      <w:pPr>
        <w:ind w:left="2160" w:hanging="360"/>
      </w:pPr>
      <w:rPr>
        <w:rFonts w:ascii="Wingdings" w:hAnsi="Wingdings" w:hint="default"/>
      </w:rPr>
    </w:lvl>
    <w:lvl w:ilvl="3" w:tplc="9076737C">
      <w:start w:val="1"/>
      <w:numFmt w:val="bullet"/>
      <w:lvlText w:val=""/>
      <w:lvlJc w:val="left"/>
      <w:pPr>
        <w:ind w:left="2880" w:hanging="360"/>
      </w:pPr>
      <w:rPr>
        <w:rFonts w:ascii="Symbol" w:hAnsi="Symbol" w:hint="default"/>
      </w:rPr>
    </w:lvl>
    <w:lvl w:ilvl="4" w:tplc="FD52B878">
      <w:start w:val="1"/>
      <w:numFmt w:val="bullet"/>
      <w:lvlText w:val="o"/>
      <w:lvlJc w:val="left"/>
      <w:pPr>
        <w:ind w:left="3600" w:hanging="360"/>
      </w:pPr>
      <w:rPr>
        <w:rFonts w:ascii="Courier New" w:hAnsi="Courier New" w:cs="Courier New" w:hint="default"/>
      </w:rPr>
    </w:lvl>
    <w:lvl w:ilvl="5" w:tplc="7C4CF602">
      <w:start w:val="1"/>
      <w:numFmt w:val="bullet"/>
      <w:lvlText w:val=""/>
      <w:lvlJc w:val="left"/>
      <w:pPr>
        <w:ind w:left="4320" w:hanging="360"/>
      </w:pPr>
      <w:rPr>
        <w:rFonts w:ascii="Wingdings" w:hAnsi="Wingdings" w:hint="default"/>
      </w:rPr>
    </w:lvl>
    <w:lvl w:ilvl="6" w:tplc="61CC5646">
      <w:start w:val="1"/>
      <w:numFmt w:val="bullet"/>
      <w:lvlText w:val=""/>
      <w:lvlJc w:val="left"/>
      <w:pPr>
        <w:ind w:left="5040" w:hanging="360"/>
      </w:pPr>
      <w:rPr>
        <w:rFonts w:ascii="Symbol" w:hAnsi="Symbol" w:hint="default"/>
      </w:rPr>
    </w:lvl>
    <w:lvl w:ilvl="7" w:tplc="55F06890">
      <w:start w:val="1"/>
      <w:numFmt w:val="bullet"/>
      <w:lvlText w:val="o"/>
      <w:lvlJc w:val="left"/>
      <w:pPr>
        <w:ind w:left="5760" w:hanging="360"/>
      </w:pPr>
      <w:rPr>
        <w:rFonts w:ascii="Courier New" w:hAnsi="Courier New" w:cs="Courier New" w:hint="default"/>
      </w:rPr>
    </w:lvl>
    <w:lvl w:ilvl="8" w:tplc="B61AA790">
      <w:start w:val="1"/>
      <w:numFmt w:val="bullet"/>
      <w:lvlText w:val=""/>
      <w:lvlJc w:val="left"/>
      <w:pPr>
        <w:ind w:left="6480" w:hanging="360"/>
      </w:pPr>
      <w:rPr>
        <w:rFonts w:ascii="Wingdings" w:hAnsi="Wingdings" w:hint="default"/>
      </w:rPr>
    </w:lvl>
  </w:abstractNum>
  <w:abstractNum w:abstractNumId="11" w15:restartNumberingAfterBreak="0">
    <w:nsid w:val="2D375788"/>
    <w:multiLevelType w:val="hybridMultilevel"/>
    <w:tmpl w:val="A7088F2E"/>
    <w:lvl w:ilvl="0" w:tplc="83E0A4A6">
      <w:start w:val="1"/>
      <w:numFmt w:val="decimal"/>
      <w:lvlText w:val="%1."/>
      <w:lvlJc w:val="left"/>
      <w:pPr>
        <w:ind w:left="720" w:hanging="360"/>
      </w:pPr>
    </w:lvl>
    <w:lvl w:ilvl="1" w:tplc="1730113C">
      <w:start w:val="1"/>
      <w:numFmt w:val="lowerLetter"/>
      <w:lvlText w:val="%2."/>
      <w:lvlJc w:val="left"/>
      <w:pPr>
        <w:ind w:left="1440" w:hanging="360"/>
      </w:pPr>
    </w:lvl>
    <w:lvl w:ilvl="2" w:tplc="8416DF38">
      <w:start w:val="1"/>
      <w:numFmt w:val="lowerRoman"/>
      <w:lvlText w:val="%3."/>
      <w:lvlJc w:val="right"/>
      <w:pPr>
        <w:ind w:left="2160" w:hanging="180"/>
      </w:pPr>
    </w:lvl>
    <w:lvl w:ilvl="3" w:tplc="0FC2D276">
      <w:start w:val="1"/>
      <w:numFmt w:val="decimal"/>
      <w:lvlText w:val="%4."/>
      <w:lvlJc w:val="left"/>
      <w:pPr>
        <w:ind w:left="2880" w:hanging="360"/>
      </w:pPr>
    </w:lvl>
    <w:lvl w:ilvl="4" w:tplc="8BC21AD4">
      <w:start w:val="1"/>
      <w:numFmt w:val="lowerLetter"/>
      <w:lvlText w:val="%5."/>
      <w:lvlJc w:val="left"/>
      <w:pPr>
        <w:ind w:left="3600" w:hanging="360"/>
      </w:pPr>
    </w:lvl>
    <w:lvl w:ilvl="5" w:tplc="A440A7A8">
      <w:start w:val="1"/>
      <w:numFmt w:val="lowerRoman"/>
      <w:lvlText w:val="%6."/>
      <w:lvlJc w:val="right"/>
      <w:pPr>
        <w:ind w:left="4320" w:hanging="180"/>
      </w:pPr>
    </w:lvl>
    <w:lvl w:ilvl="6" w:tplc="5F3E54AA">
      <w:start w:val="1"/>
      <w:numFmt w:val="decimal"/>
      <w:lvlText w:val="%7."/>
      <w:lvlJc w:val="left"/>
      <w:pPr>
        <w:ind w:left="5040" w:hanging="360"/>
      </w:pPr>
    </w:lvl>
    <w:lvl w:ilvl="7" w:tplc="644C3C40">
      <w:start w:val="1"/>
      <w:numFmt w:val="lowerLetter"/>
      <w:lvlText w:val="%8."/>
      <w:lvlJc w:val="left"/>
      <w:pPr>
        <w:ind w:left="5760" w:hanging="360"/>
      </w:pPr>
    </w:lvl>
    <w:lvl w:ilvl="8" w:tplc="C38C6686">
      <w:start w:val="1"/>
      <w:numFmt w:val="lowerRoman"/>
      <w:lvlText w:val="%9."/>
      <w:lvlJc w:val="right"/>
      <w:pPr>
        <w:ind w:left="6480" w:hanging="180"/>
      </w:pPr>
    </w:lvl>
  </w:abstractNum>
  <w:abstractNum w:abstractNumId="12" w15:restartNumberingAfterBreak="0">
    <w:nsid w:val="2DF42CA8"/>
    <w:multiLevelType w:val="hybridMultilevel"/>
    <w:tmpl w:val="D5548B1E"/>
    <w:lvl w:ilvl="0" w:tplc="A570441A">
      <w:start w:val="1"/>
      <w:numFmt w:val="decimal"/>
      <w:lvlText w:val="%1."/>
      <w:lvlJc w:val="left"/>
      <w:pPr>
        <w:ind w:left="720" w:hanging="360"/>
      </w:pPr>
    </w:lvl>
    <w:lvl w:ilvl="1" w:tplc="0096B5D2">
      <w:start w:val="1"/>
      <w:numFmt w:val="decimal"/>
      <w:lvlText w:val="%2."/>
      <w:lvlJc w:val="left"/>
      <w:pPr>
        <w:ind w:left="1440" w:hanging="360"/>
      </w:pPr>
    </w:lvl>
    <w:lvl w:ilvl="2" w:tplc="E61C6972">
      <w:start w:val="1"/>
      <w:numFmt w:val="lowerRoman"/>
      <w:lvlText w:val="%3."/>
      <w:lvlJc w:val="right"/>
      <w:pPr>
        <w:ind w:left="2160" w:hanging="180"/>
      </w:pPr>
    </w:lvl>
    <w:lvl w:ilvl="3" w:tplc="A86472AE">
      <w:start w:val="1"/>
      <w:numFmt w:val="decimal"/>
      <w:lvlText w:val="%4."/>
      <w:lvlJc w:val="left"/>
      <w:pPr>
        <w:ind w:left="2880" w:hanging="360"/>
      </w:pPr>
    </w:lvl>
    <w:lvl w:ilvl="4" w:tplc="DBE22276">
      <w:start w:val="1"/>
      <w:numFmt w:val="lowerLetter"/>
      <w:lvlText w:val="%5."/>
      <w:lvlJc w:val="left"/>
      <w:pPr>
        <w:ind w:left="3600" w:hanging="360"/>
      </w:pPr>
    </w:lvl>
    <w:lvl w:ilvl="5" w:tplc="8480B394">
      <w:start w:val="1"/>
      <w:numFmt w:val="lowerRoman"/>
      <w:lvlText w:val="%6."/>
      <w:lvlJc w:val="right"/>
      <w:pPr>
        <w:ind w:left="4320" w:hanging="180"/>
      </w:pPr>
    </w:lvl>
    <w:lvl w:ilvl="6" w:tplc="C7882A74">
      <w:start w:val="1"/>
      <w:numFmt w:val="decimal"/>
      <w:lvlText w:val="%7."/>
      <w:lvlJc w:val="left"/>
      <w:pPr>
        <w:ind w:left="5040" w:hanging="360"/>
      </w:pPr>
    </w:lvl>
    <w:lvl w:ilvl="7" w:tplc="11020188">
      <w:start w:val="1"/>
      <w:numFmt w:val="lowerLetter"/>
      <w:lvlText w:val="%8."/>
      <w:lvlJc w:val="left"/>
      <w:pPr>
        <w:ind w:left="5760" w:hanging="360"/>
      </w:pPr>
    </w:lvl>
    <w:lvl w:ilvl="8" w:tplc="F82AF526">
      <w:start w:val="1"/>
      <w:numFmt w:val="lowerRoman"/>
      <w:lvlText w:val="%9."/>
      <w:lvlJc w:val="right"/>
      <w:pPr>
        <w:ind w:left="6480" w:hanging="180"/>
      </w:pPr>
    </w:lvl>
  </w:abstractNum>
  <w:abstractNum w:abstractNumId="13" w15:restartNumberingAfterBreak="0">
    <w:nsid w:val="3170442A"/>
    <w:multiLevelType w:val="hybridMultilevel"/>
    <w:tmpl w:val="6A10509C"/>
    <w:lvl w:ilvl="0" w:tplc="DB947E34">
      <w:start w:val="1"/>
      <w:numFmt w:val="decimal"/>
      <w:lvlText w:val="%1."/>
      <w:lvlJc w:val="left"/>
      <w:pPr>
        <w:ind w:left="720" w:hanging="360"/>
      </w:pPr>
      <w:rPr>
        <w:rFonts w:hint="default"/>
      </w:rPr>
    </w:lvl>
    <w:lvl w:ilvl="1" w:tplc="11DEEEE8">
      <w:start w:val="1"/>
      <w:numFmt w:val="lowerLetter"/>
      <w:lvlText w:val="%2."/>
      <w:lvlJc w:val="left"/>
      <w:pPr>
        <w:ind w:left="1440" w:hanging="360"/>
      </w:pPr>
    </w:lvl>
    <w:lvl w:ilvl="2" w:tplc="C2B2AB12">
      <w:start w:val="1"/>
      <w:numFmt w:val="lowerRoman"/>
      <w:lvlText w:val="%3."/>
      <w:lvlJc w:val="right"/>
      <w:pPr>
        <w:ind w:left="2160" w:hanging="180"/>
      </w:pPr>
    </w:lvl>
    <w:lvl w:ilvl="3" w:tplc="7BDC0ADA">
      <w:start w:val="1"/>
      <w:numFmt w:val="decimal"/>
      <w:lvlText w:val="%4."/>
      <w:lvlJc w:val="left"/>
      <w:pPr>
        <w:ind w:left="2880" w:hanging="360"/>
      </w:pPr>
    </w:lvl>
    <w:lvl w:ilvl="4" w:tplc="AD88BB3E">
      <w:start w:val="1"/>
      <w:numFmt w:val="lowerLetter"/>
      <w:lvlText w:val="%5."/>
      <w:lvlJc w:val="left"/>
      <w:pPr>
        <w:ind w:left="3600" w:hanging="360"/>
      </w:pPr>
    </w:lvl>
    <w:lvl w:ilvl="5" w:tplc="AEFC8172">
      <w:start w:val="1"/>
      <w:numFmt w:val="lowerRoman"/>
      <w:lvlText w:val="%6."/>
      <w:lvlJc w:val="right"/>
      <w:pPr>
        <w:ind w:left="4320" w:hanging="180"/>
      </w:pPr>
    </w:lvl>
    <w:lvl w:ilvl="6" w:tplc="8E38629E">
      <w:start w:val="1"/>
      <w:numFmt w:val="decimal"/>
      <w:lvlText w:val="%7."/>
      <w:lvlJc w:val="left"/>
      <w:pPr>
        <w:ind w:left="5040" w:hanging="360"/>
      </w:pPr>
    </w:lvl>
    <w:lvl w:ilvl="7" w:tplc="ABB026B8">
      <w:start w:val="1"/>
      <w:numFmt w:val="lowerLetter"/>
      <w:lvlText w:val="%8."/>
      <w:lvlJc w:val="left"/>
      <w:pPr>
        <w:ind w:left="5760" w:hanging="360"/>
      </w:pPr>
    </w:lvl>
    <w:lvl w:ilvl="8" w:tplc="D7DCA4AC">
      <w:start w:val="1"/>
      <w:numFmt w:val="lowerRoman"/>
      <w:lvlText w:val="%9."/>
      <w:lvlJc w:val="right"/>
      <w:pPr>
        <w:ind w:left="6480" w:hanging="180"/>
      </w:pPr>
    </w:lvl>
  </w:abstractNum>
  <w:abstractNum w:abstractNumId="14" w15:restartNumberingAfterBreak="0">
    <w:nsid w:val="3E5A42C9"/>
    <w:multiLevelType w:val="hybridMultilevel"/>
    <w:tmpl w:val="D88874EA"/>
    <w:lvl w:ilvl="0" w:tplc="D780FCAA">
      <w:start w:val="2"/>
      <w:numFmt w:val="decimal"/>
      <w:lvlText w:val="%1-"/>
      <w:lvlJc w:val="left"/>
      <w:pPr>
        <w:ind w:left="720" w:hanging="360"/>
      </w:pPr>
      <w:rPr>
        <w:rFonts w:hint="default"/>
      </w:rPr>
    </w:lvl>
    <w:lvl w:ilvl="1" w:tplc="A2B0CB7E">
      <w:start w:val="1"/>
      <w:numFmt w:val="lowerLetter"/>
      <w:lvlText w:val="%2."/>
      <w:lvlJc w:val="left"/>
      <w:pPr>
        <w:ind w:left="1440" w:hanging="360"/>
      </w:pPr>
    </w:lvl>
    <w:lvl w:ilvl="2" w:tplc="4A5E55A6">
      <w:start w:val="1"/>
      <w:numFmt w:val="lowerRoman"/>
      <w:lvlText w:val="%3."/>
      <w:lvlJc w:val="right"/>
      <w:pPr>
        <w:ind w:left="2160" w:hanging="180"/>
      </w:pPr>
    </w:lvl>
    <w:lvl w:ilvl="3" w:tplc="41442AB2">
      <w:start w:val="1"/>
      <w:numFmt w:val="decimal"/>
      <w:lvlText w:val="%4."/>
      <w:lvlJc w:val="left"/>
      <w:pPr>
        <w:ind w:left="2880" w:hanging="360"/>
      </w:pPr>
    </w:lvl>
    <w:lvl w:ilvl="4" w:tplc="4F340C7C">
      <w:start w:val="1"/>
      <w:numFmt w:val="lowerLetter"/>
      <w:lvlText w:val="%5."/>
      <w:lvlJc w:val="left"/>
      <w:pPr>
        <w:ind w:left="3600" w:hanging="360"/>
      </w:pPr>
    </w:lvl>
    <w:lvl w:ilvl="5" w:tplc="31F00F18">
      <w:start w:val="1"/>
      <w:numFmt w:val="lowerRoman"/>
      <w:lvlText w:val="%6."/>
      <w:lvlJc w:val="right"/>
      <w:pPr>
        <w:ind w:left="4320" w:hanging="180"/>
      </w:pPr>
    </w:lvl>
    <w:lvl w:ilvl="6" w:tplc="62106106">
      <w:start w:val="1"/>
      <w:numFmt w:val="decimal"/>
      <w:lvlText w:val="%7."/>
      <w:lvlJc w:val="left"/>
      <w:pPr>
        <w:ind w:left="5040" w:hanging="360"/>
      </w:pPr>
    </w:lvl>
    <w:lvl w:ilvl="7" w:tplc="AC8ACF4A">
      <w:start w:val="1"/>
      <w:numFmt w:val="lowerLetter"/>
      <w:lvlText w:val="%8."/>
      <w:lvlJc w:val="left"/>
      <w:pPr>
        <w:ind w:left="5760" w:hanging="360"/>
      </w:pPr>
    </w:lvl>
    <w:lvl w:ilvl="8" w:tplc="F7760B80">
      <w:start w:val="1"/>
      <w:numFmt w:val="lowerRoman"/>
      <w:lvlText w:val="%9."/>
      <w:lvlJc w:val="right"/>
      <w:pPr>
        <w:ind w:left="6480" w:hanging="180"/>
      </w:pPr>
    </w:lvl>
  </w:abstractNum>
  <w:abstractNum w:abstractNumId="15" w15:restartNumberingAfterBreak="0">
    <w:nsid w:val="4B886D15"/>
    <w:multiLevelType w:val="multilevel"/>
    <w:tmpl w:val="CCDA6970"/>
    <w:lvl w:ilvl="0">
      <w:start w:val="4"/>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B984B95"/>
    <w:multiLevelType w:val="multilevel"/>
    <w:tmpl w:val="81FCFE48"/>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7" w15:restartNumberingAfterBreak="0">
    <w:nsid w:val="4E2B1A06"/>
    <w:multiLevelType w:val="hybridMultilevel"/>
    <w:tmpl w:val="6A8256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05A5B28"/>
    <w:multiLevelType w:val="multilevel"/>
    <w:tmpl w:val="A7BC7C50"/>
    <w:lvl w:ilvl="0">
      <w:start w:val="1"/>
      <w:numFmt w:val="decimal"/>
      <w:lvlText w:val="%1."/>
      <w:lvlJc w:val="left"/>
      <w:pPr>
        <w:ind w:left="720" w:hanging="360"/>
      </w:pPr>
      <w:rPr>
        <w:rFonts w:hint="default"/>
      </w:rPr>
    </w:lvl>
    <w:lvl w:ilvl="1">
      <w:start w:val="1"/>
      <w:numFmt w:val="decimal"/>
      <w:isLgl/>
      <w:lvlText w:val="%1.%2"/>
      <w:lvlJc w:val="left"/>
      <w:pPr>
        <w:ind w:left="860"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526409FB"/>
    <w:multiLevelType w:val="hybridMultilevel"/>
    <w:tmpl w:val="0BE2414A"/>
    <w:lvl w:ilvl="0" w:tplc="29DAF884">
      <w:start w:val="1"/>
      <w:numFmt w:val="decimal"/>
      <w:lvlText w:val="%1."/>
      <w:lvlJc w:val="left"/>
      <w:pPr>
        <w:ind w:left="720" w:hanging="360"/>
      </w:pPr>
      <w:rPr>
        <w:rFonts w:hint="default"/>
      </w:rPr>
    </w:lvl>
    <w:lvl w:ilvl="1" w:tplc="9A1C9920">
      <w:start w:val="1"/>
      <w:numFmt w:val="lowerLetter"/>
      <w:lvlText w:val="%2."/>
      <w:lvlJc w:val="left"/>
      <w:pPr>
        <w:ind w:left="1440" w:hanging="360"/>
      </w:pPr>
    </w:lvl>
    <w:lvl w:ilvl="2" w:tplc="CC7415D0">
      <w:start w:val="1"/>
      <w:numFmt w:val="lowerRoman"/>
      <w:lvlText w:val="%3."/>
      <w:lvlJc w:val="right"/>
      <w:pPr>
        <w:ind w:left="2160" w:hanging="180"/>
      </w:pPr>
    </w:lvl>
    <w:lvl w:ilvl="3" w:tplc="45A64620">
      <w:start w:val="1"/>
      <w:numFmt w:val="decimal"/>
      <w:lvlText w:val="%4."/>
      <w:lvlJc w:val="left"/>
      <w:pPr>
        <w:ind w:left="2880" w:hanging="360"/>
      </w:pPr>
    </w:lvl>
    <w:lvl w:ilvl="4" w:tplc="C51AFF4A">
      <w:start w:val="1"/>
      <w:numFmt w:val="lowerLetter"/>
      <w:lvlText w:val="%5."/>
      <w:lvlJc w:val="left"/>
      <w:pPr>
        <w:ind w:left="3600" w:hanging="360"/>
      </w:pPr>
    </w:lvl>
    <w:lvl w:ilvl="5" w:tplc="725E22AE">
      <w:start w:val="1"/>
      <w:numFmt w:val="lowerRoman"/>
      <w:lvlText w:val="%6."/>
      <w:lvlJc w:val="right"/>
      <w:pPr>
        <w:ind w:left="4320" w:hanging="180"/>
      </w:pPr>
    </w:lvl>
    <w:lvl w:ilvl="6" w:tplc="C2FA8B88">
      <w:start w:val="1"/>
      <w:numFmt w:val="decimal"/>
      <w:lvlText w:val="%7."/>
      <w:lvlJc w:val="left"/>
      <w:pPr>
        <w:ind w:left="5040" w:hanging="360"/>
      </w:pPr>
    </w:lvl>
    <w:lvl w:ilvl="7" w:tplc="646AA592">
      <w:start w:val="1"/>
      <w:numFmt w:val="lowerLetter"/>
      <w:lvlText w:val="%8."/>
      <w:lvlJc w:val="left"/>
      <w:pPr>
        <w:ind w:left="5760" w:hanging="360"/>
      </w:pPr>
    </w:lvl>
    <w:lvl w:ilvl="8" w:tplc="81700DD6">
      <w:start w:val="1"/>
      <w:numFmt w:val="lowerRoman"/>
      <w:lvlText w:val="%9."/>
      <w:lvlJc w:val="right"/>
      <w:pPr>
        <w:ind w:left="6480" w:hanging="180"/>
      </w:pPr>
    </w:lvl>
  </w:abstractNum>
  <w:abstractNum w:abstractNumId="20" w15:restartNumberingAfterBreak="0">
    <w:nsid w:val="53203AA9"/>
    <w:multiLevelType w:val="hybridMultilevel"/>
    <w:tmpl w:val="4D2C0720"/>
    <w:lvl w:ilvl="0" w:tplc="C0CE57F0">
      <w:start w:val="2"/>
      <w:numFmt w:val="decimal"/>
      <w:lvlText w:val="%1-"/>
      <w:lvlJc w:val="left"/>
      <w:pPr>
        <w:ind w:left="720" w:hanging="360"/>
      </w:pPr>
      <w:rPr>
        <w:rFonts w:hint="default"/>
      </w:rPr>
    </w:lvl>
    <w:lvl w:ilvl="1" w:tplc="19505F3C">
      <w:start w:val="1"/>
      <w:numFmt w:val="lowerLetter"/>
      <w:lvlText w:val="%2."/>
      <w:lvlJc w:val="left"/>
      <w:pPr>
        <w:ind w:left="1440" w:hanging="360"/>
      </w:pPr>
    </w:lvl>
    <w:lvl w:ilvl="2" w:tplc="D7383D5A">
      <w:start w:val="1"/>
      <w:numFmt w:val="lowerRoman"/>
      <w:lvlText w:val="%3."/>
      <w:lvlJc w:val="right"/>
      <w:pPr>
        <w:ind w:left="2160" w:hanging="180"/>
      </w:pPr>
    </w:lvl>
    <w:lvl w:ilvl="3" w:tplc="013A85E2">
      <w:start w:val="1"/>
      <w:numFmt w:val="decimal"/>
      <w:lvlText w:val="%4."/>
      <w:lvlJc w:val="left"/>
      <w:pPr>
        <w:ind w:left="2880" w:hanging="360"/>
      </w:pPr>
    </w:lvl>
    <w:lvl w:ilvl="4" w:tplc="A98E4A88">
      <w:start w:val="1"/>
      <w:numFmt w:val="lowerLetter"/>
      <w:lvlText w:val="%5."/>
      <w:lvlJc w:val="left"/>
      <w:pPr>
        <w:ind w:left="3600" w:hanging="360"/>
      </w:pPr>
    </w:lvl>
    <w:lvl w:ilvl="5" w:tplc="937A4CE6">
      <w:start w:val="1"/>
      <w:numFmt w:val="lowerRoman"/>
      <w:lvlText w:val="%6."/>
      <w:lvlJc w:val="right"/>
      <w:pPr>
        <w:ind w:left="4320" w:hanging="180"/>
      </w:pPr>
    </w:lvl>
    <w:lvl w:ilvl="6" w:tplc="92A8C652">
      <w:start w:val="1"/>
      <w:numFmt w:val="decimal"/>
      <w:lvlText w:val="%7."/>
      <w:lvlJc w:val="left"/>
      <w:pPr>
        <w:ind w:left="5040" w:hanging="360"/>
      </w:pPr>
    </w:lvl>
    <w:lvl w:ilvl="7" w:tplc="E35AB0A6">
      <w:start w:val="1"/>
      <w:numFmt w:val="lowerLetter"/>
      <w:lvlText w:val="%8."/>
      <w:lvlJc w:val="left"/>
      <w:pPr>
        <w:ind w:left="5760" w:hanging="360"/>
      </w:pPr>
    </w:lvl>
    <w:lvl w:ilvl="8" w:tplc="8246343A">
      <w:start w:val="1"/>
      <w:numFmt w:val="lowerRoman"/>
      <w:lvlText w:val="%9."/>
      <w:lvlJc w:val="right"/>
      <w:pPr>
        <w:ind w:left="6480" w:hanging="180"/>
      </w:pPr>
    </w:lvl>
  </w:abstractNum>
  <w:abstractNum w:abstractNumId="21" w15:restartNumberingAfterBreak="0">
    <w:nsid w:val="5B493FED"/>
    <w:multiLevelType w:val="hybridMultilevel"/>
    <w:tmpl w:val="4546E7A8"/>
    <w:lvl w:ilvl="0" w:tplc="B5480B7A">
      <w:start w:val="1"/>
      <w:numFmt w:val="decimal"/>
      <w:lvlText w:val="%1"/>
      <w:lvlJc w:val="left"/>
      <w:pPr>
        <w:ind w:left="360" w:hanging="360"/>
      </w:pPr>
      <w:rPr>
        <w:rFonts w:hint="default"/>
      </w:rPr>
    </w:lvl>
    <w:lvl w:ilvl="1" w:tplc="CA4A1C8C">
      <w:start w:val="1"/>
      <w:numFmt w:val="lowerLetter"/>
      <w:lvlText w:val="%2."/>
      <w:lvlJc w:val="left"/>
      <w:pPr>
        <w:ind w:left="1080" w:hanging="360"/>
      </w:pPr>
    </w:lvl>
    <w:lvl w:ilvl="2" w:tplc="6CB4C3BC">
      <w:start w:val="1"/>
      <w:numFmt w:val="lowerRoman"/>
      <w:lvlText w:val="%3."/>
      <w:lvlJc w:val="right"/>
      <w:pPr>
        <w:ind w:left="1800" w:hanging="180"/>
      </w:pPr>
    </w:lvl>
    <w:lvl w:ilvl="3" w:tplc="B5D68AFC">
      <w:start w:val="1"/>
      <w:numFmt w:val="decimal"/>
      <w:lvlText w:val="%4."/>
      <w:lvlJc w:val="left"/>
      <w:pPr>
        <w:ind w:left="2520" w:hanging="360"/>
      </w:pPr>
    </w:lvl>
    <w:lvl w:ilvl="4" w:tplc="4E0A39B6">
      <w:start w:val="1"/>
      <w:numFmt w:val="lowerLetter"/>
      <w:lvlText w:val="%5."/>
      <w:lvlJc w:val="left"/>
      <w:pPr>
        <w:ind w:left="3240" w:hanging="360"/>
      </w:pPr>
    </w:lvl>
    <w:lvl w:ilvl="5" w:tplc="46FCBF28">
      <w:start w:val="1"/>
      <w:numFmt w:val="lowerRoman"/>
      <w:lvlText w:val="%6."/>
      <w:lvlJc w:val="right"/>
      <w:pPr>
        <w:ind w:left="3960" w:hanging="180"/>
      </w:pPr>
    </w:lvl>
    <w:lvl w:ilvl="6" w:tplc="EF9237B4">
      <w:start w:val="1"/>
      <w:numFmt w:val="decimal"/>
      <w:lvlText w:val="%7."/>
      <w:lvlJc w:val="left"/>
      <w:pPr>
        <w:ind w:left="4680" w:hanging="360"/>
      </w:pPr>
    </w:lvl>
    <w:lvl w:ilvl="7" w:tplc="7294325C">
      <w:start w:val="1"/>
      <w:numFmt w:val="lowerLetter"/>
      <w:lvlText w:val="%8."/>
      <w:lvlJc w:val="left"/>
      <w:pPr>
        <w:ind w:left="5400" w:hanging="360"/>
      </w:pPr>
    </w:lvl>
    <w:lvl w:ilvl="8" w:tplc="7D665180">
      <w:start w:val="1"/>
      <w:numFmt w:val="lowerRoman"/>
      <w:lvlText w:val="%9."/>
      <w:lvlJc w:val="right"/>
      <w:pPr>
        <w:ind w:left="6120" w:hanging="180"/>
      </w:pPr>
    </w:lvl>
  </w:abstractNum>
  <w:abstractNum w:abstractNumId="22" w15:restartNumberingAfterBreak="0">
    <w:nsid w:val="5DDB54E2"/>
    <w:multiLevelType w:val="multilevel"/>
    <w:tmpl w:val="658078F0"/>
    <w:lvl w:ilvl="0">
      <w:start w:val="4"/>
      <w:numFmt w:val="decimal"/>
      <w:lvlText w:val="%1"/>
      <w:lvlJc w:val="left"/>
      <w:pPr>
        <w:ind w:left="440" w:hanging="440"/>
      </w:pPr>
      <w:rPr>
        <w:rFonts w:hint="default"/>
      </w:rPr>
    </w:lvl>
    <w:lvl w:ilvl="1">
      <w:start w:val="2"/>
      <w:numFmt w:val="decimal"/>
      <w:lvlText w:val="%1.%2"/>
      <w:lvlJc w:val="left"/>
      <w:pPr>
        <w:ind w:left="440" w:hanging="4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F5F0522"/>
    <w:multiLevelType w:val="hybridMultilevel"/>
    <w:tmpl w:val="0E4E2046"/>
    <w:lvl w:ilvl="0" w:tplc="89B09E78">
      <w:start w:val="1"/>
      <w:numFmt w:val="decimal"/>
      <w:lvlText w:val="%1)"/>
      <w:lvlJc w:val="left"/>
      <w:pPr>
        <w:ind w:left="720" w:hanging="360"/>
      </w:pPr>
      <w:rPr>
        <w:rFonts w:hint="default"/>
      </w:rPr>
    </w:lvl>
    <w:lvl w:ilvl="1" w:tplc="F74E2956">
      <w:start w:val="1"/>
      <w:numFmt w:val="lowerLetter"/>
      <w:lvlText w:val="%2."/>
      <w:lvlJc w:val="left"/>
      <w:pPr>
        <w:ind w:left="1440" w:hanging="360"/>
      </w:pPr>
    </w:lvl>
    <w:lvl w:ilvl="2" w:tplc="174880C2">
      <w:start w:val="1"/>
      <w:numFmt w:val="lowerRoman"/>
      <w:lvlText w:val="%3."/>
      <w:lvlJc w:val="right"/>
      <w:pPr>
        <w:ind w:left="2160" w:hanging="180"/>
      </w:pPr>
    </w:lvl>
    <w:lvl w:ilvl="3" w:tplc="33607120">
      <w:start w:val="1"/>
      <w:numFmt w:val="decimal"/>
      <w:lvlText w:val="%4."/>
      <w:lvlJc w:val="left"/>
      <w:pPr>
        <w:ind w:left="2880" w:hanging="360"/>
      </w:pPr>
    </w:lvl>
    <w:lvl w:ilvl="4" w:tplc="695A2742">
      <w:start w:val="1"/>
      <w:numFmt w:val="lowerLetter"/>
      <w:lvlText w:val="%5."/>
      <w:lvlJc w:val="left"/>
      <w:pPr>
        <w:ind w:left="3600" w:hanging="360"/>
      </w:pPr>
    </w:lvl>
    <w:lvl w:ilvl="5" w:tplc="80E2F77A">
      <w:start w:val="1"/>
      <w:numFmt w:val="lowerRoman"/>
      <w:lvlText w:val="%6."/>
      <w:lvlJc w:val="right"/>
      <w:pPr>
        <w:ind w:left="4320" w:hanging="180"/>
      </w:pPr>
    </w:lvl>
    <w:lvl w:ilvl="6" w:tplc="9086FEF6">
      <w:start w:val="1"/>
      <w:numFmt w:val="decimal"/>
      <w:lvlText w:val="%7."/>
      <w:lvlJc w:val="left"/>
      <w:pPr>
        <w:ind w:left="5040" w:hanging="360"/>
      </w:pPr>
    </w:lvl>
    <w:lvl w:ilvl="7" w:tplc="B86A66AC">
      <w:start w:val="1"/>
      <w:numFmt w:val="lowerLetter"/>
      <w:lvlText w:val="%8."/>
      <w:lvlJc w:val="left"/>
      <w:pPr>
        <w:ind w:left="5760" w:hanging="360"/>
      </w:pPr>
    </w:lvl>
    <w:lvl w:ilvl="8" w:tplc="5C0464F6">
      <w:start w:val="1"/>
      <w:numFmt w:val="lowerRoman"/>
      <w:lvlText w:val="%9."/>
      <w:lvlJc w:val="right"/>
      <w:pPr>
        <w:ind w:left="6480" w:hanging="180"/>
      </w:pPr>
    </w:lvl>
  </w:abstractNum>
  <w:abstractNum w:abstractNumId="24" w15:restartNumberingAfterBreak="0">
    <w:nsid w:val="607D75F0"/>
    <w:multiLevelType w:val="multilevel"/>
    <w:tmpl w:val="1564227A"/>
    <w:lvl w:ilvl="0">
      <w:start w:val="1"/>
      <w:numFmt w:val="decimal"/>
      <w:lvlText w:val="%1."/>
      <w:lvlJc w:val="left"/>
      <w:pPr>
        <w:ind w:left="720" w:hanging="360"/>
      </w:pPr>
      <w:rPr>
        <w:rFonts w:hint="default"/>
      </w:rPr>
    </w:lvl>
    <w:lvl w:ilvl="1">
      <w:start w:val="1"/>
      <w:numFmt w:val="decimal"/>
      <w:isLgl/>
      <w:lvlText w:val="%1.%2"/>
      <w:lvlJc w:val="left"/>
      <w:pPr>
        <w:ind w:left="860"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63F45917"/>
    <w:multiLevelType w:val="hybridMultilevel"/>
    <w:tmpl w:val="0658B4E4"/>
    <w:lvl w:ilvl="0" w:tplc="2C8EA9AA">
      <w:start w:val="1"/>
      <w:numFmt w:val="decimal"/>
      <w:lvlText w:val="%1."/>
      <w:lvlJc w:val="left"/>
      <w:pPr>
        <w:ind w:left="720" w:hanging="360"/>
      </w:pPr>
      <w:rPr>
        <w:rFonts w:hint="default"/>
      </w:rPr>
    </w:lvl>
    <w:lvl w:ilvl="1" w:tplc="59A439C8">
      <w:start w:val="1"/>
      <w:numFmt w:val="lowerLetter"/>
      <w:lvlText w:val="%2."/>
      <w:lvlJc w:val="left"/>
      <w:pPr>
        <w:ind w:left="1440" w:hanging="360"/>
      </w:pPr>
    </w:lvl>
    <w:lvl w:ilvl="2" w:tplc="3768F714">
      <w:start w:val="1"/>
      <w:numFmt w:val="lowerRoman"/>
      <w:lvlText w:val="%3."/>
      <w:lvlJc w:val="right"/>
      <w:pPr>
        <w:ind w:left="2160" w:hanging="180"/>
      </w:pPr>
    </w:lvl>
    <w:lvl w:ilvl="3" w:tplc="7A349D8E">
      <w:start w:val="1"/>
      <w:numFmt w:val="decimal"/>
      <w:lvlText w:val="%4."/>
      <w:lvlJc w:val="left"/>
      <w:pPr>
        <w:ind w:left="2880" w:hanging="360"/>
      </w:pPr>
    </w:lvl>
    <w:lvl w:ilvl="4" w:tplc="F5F2116E">
      <w:start w:val="1"/>
      <w:numFmt w:val="lowerLetter"/>
      <w:lvlText w:val="%5."/>
      <w:lvlJc w:val="left"/>
      <w:pPr>
        <w:ind w:left="3600" w:hanging="360"/>
      </w:pPr>
    </w:lvl>
    <w:lvl w:ilvl="5" w:tplc="152453DE">
      <w:start w:val="1"/>
      <w:numFmt w:val="lowerRoman"/>
      <w:lvlText w:val="%6."/>
      <w:lvlJc w:val="right"/>
      <w:pPr>
        <w:ind w:left="4320" w:hanging="180"/>
      </w:pPr>
    </w:lvl>
    <w:lvl w:ilvl="6" w:tplc="DA8A9BE8">
      <w:start w:val="1"/>
      <w:numFmt w:val="decimal"/>
      <w:lvlText w:val="%7."/>
      <w:lvlJc w:val="left"/>
      <w:pPr>
        <w:ind w:left="5040" w:hanging="360"/>
      </w:pPr>
    </w:lvl>
    <w:lvl w:ilvl="7" w:tplc="9D72B98A">
      <w:start w:val="1"/>
      <w:numFmt w:val="lowerLetter"/>
      <w:lvlText w:val="%8."/>
      <w:lvlJc w:val="left"/>
      <w:pPr>
        <w:ind w:left="5760" w:hanging="360"/>
      </w:pPr>
    </w:lvl>
    <w:lvl w:ilvl="8" w:tplc="6FF8FB66">
      <w:start w:val="1"/>
      <w:numFmt w:val="lowerRoman"/>
      <w:lvlText w:val="%9."/>
      <w:lvlJc w:val="right"/>
      <w:pPr>
        <w:ind w:left="6480" w:hanging="180"/>
      </w:pPr>
    </w:lvl>
  </w:abstractNum>
  <w:abstractNum w:abstractNumId="26" w15:restartNumberingAfterBreak="0">
    <w:nsid w:val="672B34BC"/>
    <w:multiLevelType w:val="hybridMultilevel"/>
    <w:tmpl w:val="BF0CA916"/>
    <w:lvl w:ilvl="0" w:tplc="58065F9C">
      <w:start w:val="1"/>
      <w:numFmt w:val="decimal"/>
      <w:lvlText w:val="%1."/>
      <w:lvlJc w:val="left"/>
      <w:pPr>
        <w:ind w:left="360" w:hanging="360"/>
      </w:pPr>
    </w:lvl>
    <w:lvl w:ilvl="1" w:tplc="5F4679DA">
      <w:start w:val="1"/>
      <w:numFmt w:val="lowerLetter"/>
      <w:lvlText w:val="%2."/>
      <w:lvlJc w:val="left"/>
      <w:pPr>
        <w:ind w:left="1080" w:hanging="360"/>
      </w:pPr>
    </w:lvl>
    <w:lvl w:ilvl="2" w:tplc="07B61872">
      <w:start w:val="1"/>
      <w:numFmt w:val="lowerRoman"/>
      <w:lvlText w:val="%3."/>
      <w:lvlJc w:val="right"/>
      <w:pPr>
        <w:ind w:left="1800" w:hanging="180"/>
      </w:pPr>
    </w:lvl>
    <w:lvl w:ilvl="3" w:tplc="5472EA2E">
      <w:start w:val="1"/>
      <w:numFmt w:val="decimal"/>
      <w:lvlText w:val="%4."/>
      <w:lvlJc w:val="left"/>
      <w:pPr>
        <w:ind w:left="2520" w:hanging="360"/>
      </w:pPr>
    </w:lvl>
    <w:lvl w:ilvl="4" w:tplc="63F66F5E">
      <w:start w:val="1"/>
      <w:numFmt w:val="lowerLetter"/>
      <w:lvlText w:val="%5."/>
      <w:lvlJc w:val="left"/>
      <w:pPr>
        <w:ind w:left="3240" w:hanging="360"/>
      </w:pPr>
    </w:lvl>
    <w:lvl w:ilvl="5" w:tplc="E86E6C24">
      <w:start w:val="1"/>
      <w:numFmt w:val="lowerRoman"/>
      <w:lvlText w:val="%6."/>
      <w:lvlJc w:val="right"/>
      <w:pPr>
        <w:ind w:left="3960" w:hanging="180"/>
      </w:pPr>
    </w:lvl>
    <w:lvl w:ilvl="6" w:tplc="25B26FA2">
      <w:start w:val="1"/>
      <w:numFmt w:val="decimal"/>
      <w:lvlText w:val="%7."/>
      <w:lvlJc w:val="left"/>
      <w:pPr>
        <w:ind w:left="4680" w:hanging="360"/>
      </w:pPr>
    </w:lvl>
    <w:lvl w:ilvl="7" w:tplc="08306A32">
      <w:start w:val="1"/>
      <w:numFmt w:val="lowerLetter"/>
      <w:lvlText w:val="%8."/>
      <w:lvlJc w:val="left"/>
      <w:pPr>
        <w:ind w:left="5400" w:hanging="360"/>
      </w:pPr>
    </w:lvl>
    <w:lvl w:ilvl="8" w:tplc="86BA16AA">
      <w:start w:val="1"/>
      <w:numFmt w:val="lowerRoman"/>
      <w:lvlText w:val="%9."/>
      <w:lvlJc w:val="right"/>
      <w:pPr>
        <w:ind w:left="6120" w:hanging="180"/>
      </w:pPr>
    </w:lvl>
  </w:abstractNum>
  <w:abstractNum w:abstractNumId="27" w15:restartNumberingAfterBreak="0">
    <w:nsid w:val="6A1616C1"/>
    <w:multiLevelType w:val="hybridMultilevel"/>
    <w:tmpl w:val="1B445CE6"/>
    <w:lvl w:ilvl="0" w:tplc="55261714">
      <w:start w:val="1"/>
      <w:numFmt w:val="decimal"/>
      <w:lvlText w:val="%1."/>
      <w:lvlJc w:val="left"/>
      <w:pPr>
        <w:ind w:left="720" w:hanging="360"/>
      </w:pPr>
    </w:lvl>
    <w:lvl w:ilvl="1" w:tplc="9BDE36AE">
      <w:start w:val="1"/>
      <w:numFmt w:val="lowerLetter"/>
      <w:lvlText w:val="%2."/>
      <w:lvlJc w:val="left"/>
      <w:pPr>
        <w:ind w:left="1440" w:hanging="360"/>
      </w:pPr>
    </w:lvl>
    <w:lvl w:ilvl="2" w:tplc="33D258FE">
      <w:start w:val="1"/>
      <w:numFmt w:val="lowerRoman"/>
      <w:lvlText w:val="%3."/>
      <w:lvlJc w:val="right"/>
      <w:pPr>
        <w:ind w:left="2160" w:hanging="180"/>
      </w:pPr>
    </w:lvl>
    <w:lvl w:ilvl="3" w:tplc="5C488F1E">
      <w:start w:val="1"/>
      <w:numFmt w:val="decimal"/>
      <w:lvlText w:val="%4."/>
      <w:lvlJc w:val="left"/>
      <w:pPr>
        <w:ind w:left="2880" w:hanging="360"/>
      </w:pPr>
    </w:lvl>
    <w:lvl w:ilvl="4" w:tplc="DF1E3344">
      <w:start w:val="1"/>
      <w:numFmt w:val="lowerLetter"/>
      <w:lvlText w:val="%5."/>
      <w:lvlJc w:val="left"/>
      <w:pPr>
        <w:ind w:left="3600" w:hanging="360"/>
      </w:pPr>
    </w:lvl>
    <w:lvl w:ilvl="5" w:tplc="22F6BD16">
      <w:start w:val="1"/>
      <w:numFmt w:val="lowerRoman"/>
      <w:lvlText w:val="%6."/>
      <w:lvlJc w:val="right"/>
      <w:pPr>
        <w:ind w:left="4320" w:hanging="180"/>
      </w:pPr>
    </w:lvl>
    <w:lvl w:ilvl="6" w:tplc="A9A49052">
      <w:start w:val="1"/>
      <w:numFmt w:val="decimal"/>
      <w:lvlText w:val="%7."/>
      <w:lvlJc w:val="left"/>
      <w:pPr>
        <w:ind w:left="5040" w:hanging="360"/>
      </w:pPr>
    </w:lvl>
    <w:lvl w:ilvl="7" w:tplc="1C2AC308">
      <w:start w:val="1"/>
      <w:numFmt w:val="lowerLetter"/>
      <w:lvlText w:val="%8."/>
      <w:lvlJc w:val="left"/>
      <w:pPr>
        <w:ind w:left="5760" w:hanging="360"/>
      </w:pPr>
    </w:lvl>
    <w:lvl w:ilvl="8" w:tplc="9E98BF4C">
      <w:start w:val="1"/>
      <w:numFmt w:val="lowerRoman"/>
      <w:lvlText w:val="%9."/>
      <w:lvlJc w:val="right"/>
      <w:pPr>
        <w:ind w:left="6480" w:hanging="180"/>
      </w:pPr>
    </w:lvl>
  </w:abstractNum>
  <w:abstractNum w:abstractNumId="28" w15:restartNumberingAfterBreak="0">
    <w:nsid w:val="6BF44887"/>
    <w:multiLevelType w:val="hybridMultilevel"/>
    <w:tmpl w:val="53868FE6"/>
    <w:lvl w:ilvl="0" w:tplc="DCC614E0">
      <w:start w:val="1"/>
      <w:numFmt w:val="bullet"/>
      <w:lvlText w:val=""/>
      <w:lvlJc w:val="left"/>
      <w:pPr>
        <w:ind w:left="720" w:hanging="360"/>
      </w:pPr>
      <w:rPr>
        <w:rFonts w:ascii="Symbol" w:hAnsi="Symbol" w:hint="default"/>
      </w:rPr>
    </w:lvl>
    <w:lvl w:ilvl="1" w:tplc="570E20DC">
      <w:start w:val="1"/>
      <w:numFmt w:val="bullet"/>
      <w:lvlText w:val="o"/>
      <w:lvlJc w:val="left"/>
      <w:pPr>
        <w:ind w:left="1440" w:hanging="360"/>
      </w:pPr>
      <w:rPr>
        <w:rFonts w:ascii="Courier New" w:hAnsi="Courier New" w:cs="Courier New" w:hint="default"/>
      </w:rPr>
    </w:lvl>
    <w:lvl w:ilvl="2" w:tplc="22BCFB12">
      <w:start w:val="1"/>
      <w:numFmt w:val="bullet"/>
      <w:lvlText w:val=""/>
      <w:lvlJc w:val="left"/>
      <w:pPr>
        <w:ind w:left="2160" w:hanging="360"/>
      </w:pPr>
      <w:rPr>
        <w:rFonts w:ascii="Wingdings" w:hAnsi="Wingdings" w:hint="default"/>
      </w:rPr>
    </w:lvl>
    <w:lvl w:ilvl="3" w:tplc="634278D2">
      <w:start w:val="1"/>
      <w:numFmt w:val="bullet"/>
      <w:lvlText w:val=""/>
      <w:lvlJc w:val="left"/>
      <w:pPr>
        <w:ind w:left="2880" w:hanging="360"/>
      </w:pPr>
      <w:rPr>
        <w:rFonts w:ascii="Symbol" w:hAnsi="Symbol" w:hint="default"/>
      </w:rPr>
    </w:lvl>
    <w:lvl w:ilvl="4" w:tplc="89305BFA">
      <w:start w:val="1"/>
      <w:numFmt w:val="bullet"/>
      <w:lvlText w:val="o"/>
      <w:lvlJc w:val="left"/>
      <w:pPr>
        <w:ind w:left="3600" w:hanging="360"/>
      </w:pPr>
      <w:rPr>
        <w:rFonts w:ascii="Courier New" w:hAnsi="Courier New" w:cs="Courier New" w:hint="default"/>
      </w:rPr>
    </w:lvl>
    <w:lvl w:ilvl="5" w:tplc="01CA027E">
      <w:start w:val="1"/>
      <w:numFmt w:val="bullet"/>
      <w:lvlText w:val=""/>
      <w:lvlJc w:val="left"/>
      <w:pPr>
        <w:ind w:left="4320" w:hanging="360"/>
      </w:pPr>
      <w:rPr>
        <w:rFonts w:ascii="Wingdings" w:hAnsi="Wingdings" w:hint="default"/>
      </w:rPr>
    </w:lvl>
    <w:lvl w:ilvl="6" w:tplc="F5AC7AAE">
      <w:start w:val="1"/>
      <w:numFmt w:val="bullet"/>
      <w:lvlText w:val=""/>
      <w:lvlJc w:val="left"/>
      <w:pPr>
        <w:ind w:left="5040" w:hanging="360"/>
      </w:pPr>
      <w:rPr>
        <w:rFonts w:ascii="Symbol" w:hAnsi="Symbol" w:hint="default"/>
      </w:rPr>
    </w:lvl>
    <w:lvl w:ilvl="7" w:tplc="0B2C149A">
      <w:start w:val="1"/>
      <w:numFmt w:val="bullet"/>
      <w:lvlText w:val="o"/>
      <w:lvlJc w:val="left"/>
      <w:pPr>
        <w:ind w:left="5760" w:hanging="360"/>
      </w:pPr>
      <w:rPr>
        <w:rFonts w:ascii="Courier New" w:hAnsi="Courier New" w:cs="Courier New" w:hint="default"/>
      </w:rPr>
    </w:lvl>
    <w:lvl w:ilvl="8" w:tplc="D728C8FE">
      <w:start w:val="1"/>
      <w:numFmt w:val="bullet"/>
      <w:lvlText w:val=""/>
      <w:lvlJc w:val="left"/>
      <w:pPr>
        <w:ind w:left="6480" w:hanging="360"/>
      </w:pPr>
      <w:rPr>
        <w:rFonts w:ascii="Wingdings" w:hAnsi="Wingdings" w:hint="default"/>
      </w:rPr>
    </w:lvl>
  </w:abstractNum>
  <w:abstractNum w:abstractNumId="29" w15:restartNumberingAfterBreak="0">
    <w:nsid w:val="6F87549D"/>
    <w:multiLevelType w:val="hybridMultilevel"/>
    <w:tmpl w:val="C9DC8730"/>
    <w:lvl w:ilvl="0" w:tplc="DE76E426">
      <w:start w:val="1"/>
      <w:numFmt w:val="decimal"/>
      <w:lvlText w:val="%1."/>
      <w:lvlJc w:val="left"/>
      <w:pPr>
        <w:ind w:left="720" w:hanging="360"/>
      </w:pPr>
    </w:lvl>
    <w:lvl w:ilvl="1" w:tplc="055AB1C0">
      <w:start w:val="1"/>
      <w:numFmt w:val="lowerLetter"/>
      <w:lvlText w:val="%2."/>
      <w:lvlJc w:val="left"/>
      <w:pPr>
        <w:ind w:left="1440" w:hanging="360"/>
      </w:pPr>
    </w:lvl>
    <w:lvl w:ilvl="2" w:tplc="BBB815E0">
      <w:start w:val="1"/>
      <w:numFmt w:val="lowerRoman"/>
      <w:lvlText w:val="%3."/>
      <w:lvlJc w:val="right"/>
      <w:pPr>
        <w:ind w:left="2160" w:hanging="180"/>
      </w:pPr>
    </w:lvl>
    <w:lvl w:ilvl="3" w:tplc="87961388">
      <w:start w:val="1"/>
      <w:numFmt w:val="decimal"/>
      <w:lvlText w:val="%4."/>
      <w:lvlJc w:val="left"/>
      <w:pPr>
        <w:ind w:left="2880" w:hanging="360"/>
      </w:pPr>
    </w:lvl>
    <w:lvl w:ilvl="4" w:tplc="B5D66420">
      <w:start w:val="1"/>
      <w:numFmt w:val="lowerLetter"/>
      <w:lvlText w:val="%5."/>
      <w:lvlJc w:val="left"/>
      <w:pPr>
        <w:ind w:left="3600" w:hanging="360"/>
      </w:pPr>
    </w:lvl>
    <w:lvl w:ilvl="5" w:tplc="93E8B2AE">
      <w:start w:val="1"/>
      <w:numFmt w:val="lowerRoman"/>
      <w:lvlText w:val="%6."/>
      <w:lvlJc w:val="right"/>
      <w:pPr>
        <w:ind w:left="4320" w:hanging="180"/>
      </w:pPr>
    </w:lvl>
    <w:lvl w:ilvl="6" w:tplc="46B88F7E">
      <w:start w:val="1"/>
      <w:numFmt w:val="decimal"/>
      <w:lvlText w:val="%7."/>
      <w:lvlJc w:val="left"/>
      <w:pPr>
        <w:ind w:left="5040" w:hanging="360"/>
      </w:pPr>
    </w:lvl>
    <w:lvl w:ilvl="7" w:tplc="62B41C6E">
      <w:start w:val="1"/>
      <w:numFmt w:val="lowerLetter"/>
      <w:lvlText w:val="%8."/>
      <w:lvlJc w:val="left"/>
      <w:pPr>
        <w:ind w:left="5760" w:hanging="360"/>
      </w:pPr>
    </w:lvl>
    <w:lvl w:ilvl="8" w:tplc="330A95B8">
      <w:start w:val="1"/>
      <w:numFmt w:val="lowerRoman"/>
      <w:lvlText w:val="%9."/>
      <w:lvlJc w:val="right"/>
      <w:pPr>
        <w:ind w:left="6480" w:hanging="180"/>
      </w:pPr>
    </w:lvl>
  </w:abstractNum>
  <w:abstractNum w:abstractNumId="30" w15:restartNumberingAfterBreak="0">
    <w:nsid w:val="73A711E4"/>
    <w:multiLevelType w:val="multilevel"/>
    <w:tmpl w:val="2B3E763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8BC0967"/>
    <w:multiLevelType w:val="multilevel"/>
    <w:tmpl w:val="AC54BC0C"/>
    <w:lvl w:ilvl="0">
      <w:start w:val="1"/>
      <w:numFmt w:val="decimal"/>
      <w:lvlText w:val="%1."/>
      <w:lvlJc w:val="left"/>
      <w:pPr>
        <w:ind w:left="720" w:hanging="360"/>
      </w:pPr>
      <w:rPr>
        <w:rFonts w:hint="default"/>
      </w:rPr>
    </w:lvl>
    <w:lvl w:ilvl="1">
      <w:start w:val="1"/>
      <w:numFmt w:val="decimal"/>
      <w:isLgl/>
      <w:lvlText w:val="%1.%2"/>
      <w:lvlJc w:val="left"/>
      <w:pPr>
        <w:ind w:left="860"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7B16471E"/>
    <w:multiLevelType w:val="hybridMultilevel"/>
    <w:tmpl w:val="3774A414"/>
    <w:lvl w:ilvl="0" w:tplc="0AB6446C">
      <w:start w:val="1"/>
      <w:numFmt w:val="decimal"/>
      <w:lvlText w:val="%1."/>
      <w:lvlJc w:val="left"/>
      <w:pPr>
        <w:ind w:left="720" w:hanging="360"/>
      </w:pPr>
      <w:rPr>
        <w:rFonts w:hint="default"/>
      </w:rPr>
    </w:lvl>
    <w:lvl w:ilvl="1" w:tplc="41E20DEC">
      <w:start w:val="1"/>
      <w:numFmt w:val="lowerLetter"/>
      <w:lvlText w:val="%2."/>
      <w:lvlJc w:val="left"/>
      <w:pPr>
        <w:ind w:left="1440" w:hanging="360"/>
      </w:pPr>
    </w:lvl>
    <w:lvl w:ilvl="2" w:tplc="688EA5B8">
      <w:start w:val="1"/>
      <w:numFmt w:val="lowerRoman"/>
      <w:lvlText w:val="%3."/>
      <w:lvlJc w:val="right"/>
      <w:pPr>
        <w:ind w:left="2160" w:hanging="180"/>
      </w:pPr>
    </w:lvl>
    <w:lvl w:ilvl="3" w:tplc="0FF47C60">
      <w:start w:val="1"/>
      <w:numFmt w:val="decimal"/>
      <w:lvlText w:val="%4."/>
      <w:lvlJc w:val="left"/>
      <w:pPr>
        <w:ind w:left="2880" w:hanging="360"/>
      </w:pPr>
    </w:lvl>
    <w:lvl w:ilvl="4" w:tplc="E8988E66">
      <w:start w:val="1"/>
      <w:numFmt w:val="lowerLetter"/>
      <w:lvlText w:val="%5."/>
      <w:lvlJc w:val="left"/>
      <w:pPr>
        <w:ind w:left="3600" w:hanging="360"/>
      </w:pPr>
    </w:lvl>
    <w:lvl w:ilvl="5" w:tplc="86A6FC08">
      <w:start w:val="1"/>
      <w:numFmt w:val="lowerRoman"/>
      <w:lvlText w:val="%6."/>
      <w:lvlJc w:val="right"/>
      <w:pPr>
        <w:ind w:left="4320" w:hanging="180"/>
      </w:pPr>
    </w:lvl>
    <w:lvl w:ilvl="6" w:tplc="5ADAAEEC">
      <w:start w:val="1"/>
      <w:numFmt w:val="decimal"/>
      <w:lvlText w:val="%7."/>
      <w:lvlJc w:val="left"/>
      <w:pPr>
        <w:ind w:left="5040" w:hanging="360"/>
      </w:pPr>
    </w:lvl>
    <w:lvl w:ilvl="7" w:tplc="23582EB4">
      <w:start w:val="1"/>
      <w:numFmt w:val="lowerLetter"/>
      <w:lvlText w:val="%8."/>
      <w:lvlJc w:val="left"/>
      <w:pPr>
        <w:ind w:left="5760" w:hanging="360"/>
      </w:pPr>
    </w:lvl>
    <w:lvl w:ilvl="8" w:tplc="27AEC50C">
      <w:start w:val="1"/>
      <w:numFmt w:val="lowerRoman"/>
      <w:lvlText w:val="%9."/>
      <w:lvlJc w:val="right"/>
      <w:pPr>
        <w:ind w:left="6480" w:hanging="180"/>
      </w:pPr>
    </w:lvl>
  </w:abstractNum>
  <w:abstractNum w:abstractNumId="33" w15:restartNumberingAfterBreak="0">
    <w:nsid w:val="7B2F033E"/>
    <w:multiLevelType w:val="hybridMultilevel"/>
    <w:tmpl w:val="111A933A"/>
    <w:lvl w:ilvl="0" w:tplc="C3A2BF0C">
      <w:start w:val="1"/>
      <w:numFmt w:val="bullet"/>
      <w:lvlText w:val=""/>
      <w:lvlJc w:val="left"/>
      <w:pPr>
        <w:ind w:left="720" w:hanging="360"/>
      </w:pPr>
      <w:rPr>
        <w:rFonts w:ascii="Symbol" w:hAnsi="Symbol" w:hint="default"/>
      </w:rPr>
    </w:lvl>
    <w:lvl w:ilvl="1" w:tplc="CF4A092E">
      <w:start w:val="1"/>
      <w:numFmt w:val="bullet"/>
      <w:lvlText w:val="o"/>
      <w:lvlJc w:val="left"/>
      <w:pPr>
        <w:ind w:left="1440" w:hanging="360"/>
      </w:pPr>
      <w:rPr>
        <w:rFonts w:ascii="Courier New" w:hAnsi="Courier New" w:cs="Courier New" w:hint="default"/>
      </w:rPr>
    </w:lvl>
    <w:lvl w:ilvl="2" w:tplc="7848ED4C">
      <w:start w:val="1"/>
      <w:numFmt w:val="bullet"/>
      <w:lvlText w:val=""/>
      <w:lvlJc w:val="left"/>
      <w:pPr>
        <w:ind w:left="2160" w:hanging="360"/>
      </w:pPr>
      <w:rPr>
        <w:rFonts w:ascii="Wingdings" w:hAnsi="Wingdings" w:hint="default"/>
      </w:rPr>
    </w:lvl>
    <w:lvl w:ilvl="3" w:tplc="3988A280">
      <w:start w:val="1"/>
      <w:numFmt w:val="bullet"/>
      <w:lvlText w:val=""/>
      <w:lvlJc w:val="left"/>
      <w:pPr>
        <w:ind w:left="2880" w:hanging="360"/>
      </w:pPr>
      <w:rPr>
        <w:rFonts w:ascii="Symbol" w:hAnsi="Symbol" w:hint="default"/>
      </w:rPr>
    </w:lvl>
    <w:lvl w:ilvl="4" w:tplc="7C30A900">
      <w:start w:val="1"/>
      <w:numFmt w:val="bullet"/>
      <w:lvlText w:val="o"/>
      <w:lvlJc w:val="left"/>
      <w:pPr>
        <w:ind w:left="3600" w:hanging="360"/>
      </w:pPr>
      <w:rPr>
        <w:rFonts w:ascii="Courier New" w:hAnsi="Courier New" w:cs="Courier New" w:hint="default"/>
      </w:rPr>
    </w:lvl>
    <w:lvl w:ilvl="5" w:tplc="0F42A152">
      <w:start w:val="1"/>
      <w:numFmt w:val="bullet"/>
      <w:lvlText w:val=""/>
      <w:lvlJc w:val="left"/>
      <w:pPr>
        <w:ind w:left="4320" w:hanging="360"/>
      </w:pPr>
      <w:rPr>
        <w:rFonts w:ascii="Wingdings" w:hAnsi="Wingdings" w:hint="default"/>
      </w:rPr>
    </w:lvl>
    <w:lvl w:ilvl="6" w:tplc="448C2D9C">
      <w:start w:val="1"/>
      <w:numFmt w:val="bullet"/>
      <w:lvlText w:val=""/>
      <w:lvlJc w:val="left"/>
      <w:pPr>
        <w:ind w:left="5040" w:hanging="360"/>
      </w:pPr>
      <w:rPr>
        <w:rFonts w:ascii="Symbol" w:hAnsi="Symbol" w:hint="default"/>
      </w:rPr>
    </w:lvl>
    <w:lvl w:ilvl="7" w:tplc="2B3052EE">
      <w:start w:val="1"/>
      <w:numFmt w:val="bullet"/>
      <w:lvlText w:val="o"/>
      <w:lvlJc w:val="left"/>
      <w:pPr>
        <w:ind w:left="5760" w:hanging="360"/>
      </w:pPr>
      <w:rPr>
        <w:rFonts w:ascii="Courier New" w:hAnsi="Courier New" w:cs="Courier New" w:hint="default"/>
      </w:rPr>
    </w:lvl>
    <w:lvl w:ilvl="8" w:tplc="FD06767A">
      <w:start w:val="1"/>
      <w:numFmt w:val="bullet"/>
      <w:lvlText w:val=""/>
      <w:lvlJc w:val="left"/>
      <w:pPr>
        <w:ind w:left="6480" w:hanging="360"/>
      </w:pPr>
      <w:rPr>
        <w:rFonts w:ascii="Wingdings" w:hAnsi="Wingdings" w:hint="default"/>
      </w:rPr>
    </w:lvl>
  </w:abstractNum>
  <w:abstractNum w:abstractNumId="34" w15:restartNumberingAfterBreak="0">
    <w:nsid w:val="7D5A3D63"/>
    <w:multiLevelType w:val="multilevel"/>
    <w:tmpl w:val="CC661D7E"/>
    <w:lvl w:ilvl="0">
      <w:start w:val="1"/>
      <w:numFmt w:val="decimal"/>
      <w:lvlText w:val="%1."/>
      <w:lvlJc w:val="left"/>
      <w:pPr>
        <w:ind w:left="284" w:hanging="28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0" w:firstLine="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E474624"/>
    <w:multiLevelType w:val="multilevel"/>
    <w:tmpl w:val="DB46CA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84876168">
    <w:abstractNumId w:val="32"/>
  </w:num>
  <w:num w:numId="2" w16cid:durableId="907150264">
    <w:abstractNumId w:val="21"/>
  </w:num>
  <w:num w:numId="3" w16cid:durableId="591165280">
    <w:abstractNumId w:val="9"/>
  </w:num>
  <w:num w:numId="4" w16cid:durableId="1660382575">
    <w:abstractNumId w:val="25"/>
  </w:num>
  <w:num w:numId="5" w16cid:durableId="362172735">
    <w:abstractNumId w:val="19"/>
  </w:num>
  <w:num w:numId="6" w16cid:durableId="138301765">
    <w:abstractNumId w:val="0"/>
  </w:num>
  <w:num w:numId="7" w16cid:durableId="519897744">
    <w:abstractNumId w:val="29"/>
  </w:num>
  <w:num w:numId="8" w16cid:durableId="3829273">
    <w:abstractNumId w:val="20"/>
  </w:num>
  <w:num w:numId="9" w16cid:durableId="312486238">
    <w:abstractNumId w:val="14"/>
  </w:num>
  <w:num w:numId="10" w16cid:durableId="1720859062">
    <w:abstractNumId w:val="10"/>
  </w:num>
  <w:num w:numId="11" w16cid:durableId="1420104774">
    <w:abstractNumId w:val="1"/>
  </w:num>
  <w:num w:numId="12" w16cid:durableId="1357807409">
    <w:abstractNumId w:val="28"/>
  </w:num>
  <w:num w:numId="13" w16cid:durableId="805396056">
    <w:abstractNumId w:val="27"/>
  </w:num>
  <w:num w:numId="14" w16cid:durableId="1477798962">
    <w:abstractNumId w:val="23"/>
  </w:num>
  <w:num w:numId="15" w16cid:durableId="1691834350">
    <w:abstractNumId w:val="0"/>
    <w:lvlOverride w:ilvl="0">
      <w:startOverride w:val="3"/>
    </w:lvlOverride>
  </w:num>
  <w:num w:numId="16" w16cid:durableId="1632322977">
    <w:abstractNumId w:val="33"/>
  </w:num>
  <w:num w:numId="17" w16cid:durableId="1014069097">
    <w:abstractNumId w:val="24"/>
  </w:num>
  <w:num w:numId="18" w16cid:durableId="717433211">
    <w:abstractNumId w:val="13"/>
  </w:num>
  <w:num w:numId="19" w16cid:durableId="2090613558">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7930735">
    <w:abstractNumId w:val="12"/>
  </w:num>
  <w:num w:numId="21" w16cid:durableId="283318375">
    <w:abstractNumId w:val="11"/>
  </w:num>
  <w:num w:numId="22" w16cid:durableId="367024669">
    <w:abstractNumId w:val="34"/>
  </w:num>
  <w:num w:numId="23" w16cid:durableId="1900820662">
    <w:abstractNumId w:val="35"/>
  </w:num>
  <w:num w:numId="24" w16cid:durableId="1962298525">
    <w:abstractNumId w:val="18"/>
  </w:num>
  <w:num w:numId="25" w16cid:durableId="680394990">
    <w:abstractNumId w:val="8"/>
  </w:num>
  <w:num w:numId="26" w16cid:durableId="144401230">
    <w:abstractNumId w:val="31"/>
  </w:num>
  <w:num w:numId="27" w16cid:durableId="965618861">
    <w:abstractNumId w:val="2"/>
  </w:num>
  <w:num w:numId="28" w16cid:durableId="478693012">
    <w:abstractNumId w:val="22"/>
  </w:num>
  <w:num w:numId="29" w16cid:durableId="1613784585">
    <w:abstractNumId w:val="7"/>
  </w:num>
  <w:num w:numId="30" w16cid:durableId="141628259">
    <w:abstractNumId w:val="26"/>
  </w:num>
  <w:num w:numId="31" w16cid:durableId="752624228">
    <w:abstractNumId w:val="16"/>
  </w:num>
  <w:num w:numId="32" w16cid:durableId="699477308">
    <w:abstractNumId w:val="3"/>
  </w:num>
  <w:num w:numId="33" w16cid:durableId="253443969">
    <w:abstractNumId w:val="4"/>
  </w:num>
  <w:num w:numId="34" w16cid:durableId="848757017">
    <w:abstractNumId w:val="15"/>
  </w:num>
  <w:num w:numId="35" w16cid:durableId="596140691">
    <w:abstractNumId w:val="30"/>
  </w:num>
  <w:num w:numId="36" w16cid:durableId="296184940">
    <w:abstractNumId w:val="5"/>
  </w:num>
  <w:num w:numId="37" w16cid:durableId="337660299">
    <w:abstractNumId w:val="6"/>
  </w:num>
  <w:num w:numId="38" w16cid:durableId="1177987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488"/>
    <w:rsid w:val="000060DA"/>
    <w:rsid w:val="00044796"/>
    <w:rsid w:val="00100EC0"/>
    <w:rsid w:val="002D4C35"/>
    <w:rsid w:val="002E2B2B"/>
    <w:rsid w:val="00370D72"/>
    <w:rsid w:val="0037240B"/>
    <w:rsid w:val="0039610D"/>
    <w:rsid w:val="003A5730"/>
    <w:rsid w:val="003B7488"/>
    <w:rsid w:val="00416598"/>
    <w:rsid w:val="004C6F2F"/>
    <w:rsid w:val="004F2362"/>
    <w:rsid w:val="00502198"/>
    <w:rsid w:val="00513AF4"/>
    <w:rsid w:val="00547859"/>
    <w:rsid w:val="005E78A3"/>
    <w:rsid w:val="00615D7D"/>
    <w:rsid w:val="00637939"/>
    <w:rsid w:val="0067685C"/>
    <w:rsid w:val="006E33F4"/>
    <w:rsid w:val="006F11FA"/>
    <w:rsid w:val="006F1410"/>
    <w:rsid w:val="00706C36"/>
    <w:rsid w:val="007C17E5"/>
    <w:rsid w:val="00821D6C"/>
    <w:rsid w:val="008639BA"/>
    <w:rsid w:val="00874FAE"/>
    <w:rsid w:val="008C45F3"/>
    <w:rsid w:val="008C4855"/>
    <w:rsid w:val="008E6F1B"/>
    <w:rsid w:val="00904CCD"/>
    <w:rsid w:val="009465EA"/>
    <w:rsid w:val="009C02A1"/>
    <w:rsid w:val="00A20A83"/>
    <w:rsid w:val="00A236BF"/>
    <w:rsid w:val="00A23F43"/>
    <w:rsid w:val="00A6580B"/>
    <w:rsid w:val="00A80622"/>
    <w:rsid w:val="00A87249"/>
    <w:rsid w:val="00AE3517"/>
    <w:rsid w:val="00B448F6"/>
    <w:rsid w:val="00BB2836"/>
    <w:rsid w:val="00C503D0"/>
    <w:rsid w:val="00C5365F"/>
    <w:rsid w:val="00C712FB"/>
    <w:rsid w:val="00C7571A"/>
    <w:rsid w:val="00C81BDF"/>
    <w:rsid w:val="00CC01C5"/>
    <w:rsid w:val="00CE5C82"/>
    <w:rsid w:val="00CE7A9D"/>
    <w:rsid w:val="00CF393F"/>
    <w:rsid w:val="00D72C37"/>
    <w:rsid w:val="00E65A47"/>
    <w:rsid w:val="00E70820"/>
    <w:rsid w:val="00E716D2"/>
    <w:rsid w:val="00EF1EA2"/>
    <w:rsid w:val="00F15C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63109"/>
  <w15:docId w15:val="{96495BA4-D139-4A7C-ABB3-C2CCE75D1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480" w:lineRule="auto"/>
    </w:pPr>
    <w:rPr>
      <w:rFonts w:ascii="Times New Roman" w:eastAsia="Times New Roman" w:hAnsi="Times New Roman" w:cs="Times New Roman"/>
      <w:sz w:val="22"/>
      <w:szCs w:val="21"/>
      <w:lang w:val="en-GB" w:eastAsia="en-GB"/>
    </w:rPr>
  </w:style>
  <w:style w:type="paragraph" w:styleId="Heading1">
    <w:name w:val="heading 1"/>
    <w:basedOn w:val="Normal"/>
    <w:next w:val="Normal"/>
    <w:link w:val="Heading1Char"/>
    <w:uiPriority w:val="9"/>
    <w:qFormat/>
    <w:pPr>
      <w:numPr>
        <w:numId w:val="6"/>
      </w:numPr>
      <w:spacing w:before="240" w:after="120" w:line="360" w:lineRule="auto"/>
      <w:outlineLvl w:val="0"/>
    </w:pPr>
    <w:rPr>
      <w:rFonts w:eastAsiaTheme="majorEastAsia" w:cstheme="majorBidi"/>
      <w:b/>
      <w:szCs w:val="32"/>
    </w:rPr>
  </w:style>
  <w:style w:type="paragraph" w:styleId="Heading2">
    <w:name w:val="heading 2"/>
    <w:basedOn w:val="Heading1"/>
    <w:next w:val="Normal"/>
    <w:link w:val="Heading2Char"/>
    <w:uiPriority w:val="9"/>
    <w:unhideWhenUsed/>
    <w:qFormat/>
    <w:pPr>
      <w:numPr>
        <w:ilvl w:val="1"/>
      </w:numPr>
      <w:outlineLvl w:val="1"/>
    </w:pPr>
    <w:rPr>
      <w:bCs/>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szCs w:val="22"/>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szCs w:val="22"/>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szCs w:val="22"/>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character" w:customStyle="1" w:styleId="CaptionChar">
    <w:name w:val="Caption Char"/>
    <w:uiPriority w:val="99"/>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
    <w:name w:val="Grid Table 1 Light - Accent 61"/>
    <w:basedOn w:val="Table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1">
    <w:name w:val="Grid Table 2 - Accent 21"/>
    <w:basedOn w:val="Table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Table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Table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Table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1">
    <w:name w:val="Grid Table 2 - Accent 61"/>
    <w:basedOn w:val="Table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1">
    <w:name w:val="Grid Table 3 - Accent 21"/>
    <w:basedOn w:val="Table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Table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Table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Table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1">
    <w:name w:val="Grid Table 3 - Accent 61"/>
    <w:basedOn w:val="Table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1">
    <w:name w:val="Grid Table 4 - Accent 21"/>
    <w:basedOn w:val="Table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Table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Table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TableNormal"/>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1">
    <w:name w:val="Grid Table 4 - Accent 61"/>
    <w:basedOn w:val="Table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1">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1">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u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Normal"/>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Normal"/>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ridTable7Colou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Normal"/>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Normal"/>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1">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1">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1">
    <w:name w:val="List Table 2 - Accent 21"/>
    <w:basedOn w:val="Table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Table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Table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TableNormal"/>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1">
    <w:name w:val="List Table 2 - Accent 61"/>
    <w:basedOn w:val="Table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
    <w:name w:val="List Table 3 - Accent 21"/>
    <w:basedOn w:val="Table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Normal"/>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
    <w:name w:val="List Table 3 - Accent 61"/>
    <w:basedOn w:val="Table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1">
    <w:name w:val="List Table 4 - Accent 21"/>
    <w:basedOn w:val="Table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Table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Table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TableNormal"/>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1">
    <w:name w:val="List Table 4 - Accent 61"/>
    <w:basedOn w:val="Table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1">
    <w:name w:val="List Table 5 Dark - Accent 21"/>
    <w:basedOn w:val="Table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Table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Table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TableNormal"/>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1">
    <w:name w:val="List Table 5 Dark - Accent 61"/>
    <w:basedOn w:val="Table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u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Normal"/>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Normal"/>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u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Normal"/>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Normal"/>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Normal"/>
    <w:uiPriority w:val="99"/>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Normal"/>
    <w:uiPriority w:val="99"/>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rPr>
      <w:color w:val="404040"/>
      <w:sz w:val="20"/>
      <w:szCs w:val="20"/>
      <w:lang w:val="en-GB" w:eastAsia="en-GB"/>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sz w:val="20"/>
      <w:szCs w:val="20"/>
      <w:lang w:val="en-GB" w:eastAsia="en-GB"/>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Normal"/>
    <w:uiPriority w:val="99"/>
    <w:rPr>
      <w:color w:val="404040"/>
      <w:sz w:val="20"/>
      <w:szCs w:val="20"/>
      <w:lang w:val="en-GB" w:eastAsia="en-GB"/>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rPr>
      <w:color w:val="404040"/>
      <w:sz w:val="20"/>
      <w:szCs w:val="20"/>
      <w:lang w:val="en-GB" w:eastAsia="en-GB"/>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rPr>
      <w:color w:val="404040"/>
      <w:sz w:val="20"/>
      <w:szCs w:val="20"/>
      <w:lang w:val="en-GB" w:eastAsia="en-GB"/>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rPr>
      <w:color w:val="404040"/>
      <w:sz w:val="20"/>
      <w:szCs w:val="20"/>
      <w:lang w:val="en-GB" w:eastAsia="en-GB"/>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Normal"/>
    <w:uiPriority w:val="99"/>
    <w:rPr>
      <w:color w:val="404040"/>
      <w:sz w:val="20"/>
      <w:szCs w:val="20"/>
      <w:lang w:val="en-GB" w:eastAsia="en-GB"/>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pPr>
      <w:spacing w:line="240" w:lineRule="auto"/>
    </w:pPr>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character" w:customStyle="1" w:styleId="Heading1Char">
    <w:name w:val="Heading 1 Char"/>
    <w:basedOn w:val="DefaultParagraphFont"/>
    <w:link w:val="Heading1"/>
    <w:uiPriority w:val="9"/>
    <w:rPr>
      <w:rFonts w:ascii="Times New Roman" w:eastAsiaTheme="majorEastAsia" w:hAnsi="Times New Roman" w:cstheme="majorBidi"/>
      <w:b/>
      <w:sz w:val="22"/>
      <w:szCs w:val="32"/>
      <w:lang w:val="en-GB" w:eastAsia="en-GB"/>
    </w:rPr>
  </w:style>
  <w:style w:type="character" w:customStyle="1" w:styleId="Heading2Char">
    <w:name w:val="Heading 2 Char"/>
    <w:basedOn w:val="DefaultParagraphFont"/>
    <w:link w:val="Heading2"/>
    <w:uiPriority w:val="9"/>
    <w:rPr>
      <w:rFonts w:ascii="Times New Roman" w:eastAsiaTheme="majorEastAsia" w:hAnsi="Times New Roman" w:cstheme="majorBidi"/>
      <w:b/>
      <w:bCs/>
      <w:sz w:val="22"/>
      <w:szCs w:val="32"/>
      <w:lang w:val="en-GB" w:eastAsia="en-GB"/>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Calibri" w:hAnsi="Times New Roman" w:cs="Times New Roman"/>
      <w:sz w:val="22"/>
      <w:szCs w:val="20"/>
      <w:lang w:val="en-US"/>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Calibri" w:hAnsi="Times New Roman" w:cs="Times New Roman"/>
      <w:sz w:val="22"/>
      <w:szCs w:val="20"/>
      <w:lang w:val="en-US"/>
    </w:rPr>
  </w:style>
  <w:style w:type="paragraph" w:styleId="Caption">
    <w:name w:val="caption"/>
    <w:basedOn w:val="Normal"/>
    <w:next w:val="Normal"/>
    <w:uiPriority w:val="35"/>
    <w:unhideWhenUsed/>
    <w:qFormat/>
    <w:pPr>
      <w:spacing w:after="200"/>
    </w:pPr>
    <w:rPr>
      <w:i/>
      <w:iCs/>
      <w:color w:val="44546A" w:themeColor="text2"/>
      <w:sz w:val="18"/>
      <w:szCs w:val="18"/>
    </w:rPr>
  </w:style>
  <w:style w:type="character" w:styleId="LineNumber">
    <w:name w:val="line number"/>
    <w:basedOn w:val="DefaultParagraphFont"/>
    <w:uiPriority w:val="99"/>
    <w:semiHidden/>
    <w:unhideWhenUsed/>
  </w:style>
  <w:style w:type="character" w:styleId="Hyperlink">
    <w:name w:val="Hyperlink"/>
    <w:basedOn w:val="DefaultParagraphFont"/>
    <w:uiPriority w:val="99"/>
    <w:unhideWhenUsed/>
    <w:rPr>
      <w:color w:val="0563C1" w:themeColor="hyperlink"/>
      <w:u w:val="singl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rFonts w:ascii="Times New Roman" w:eastAsia="Calibri"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Calibri" w:hAnsi="Times New Roman" w:cs="Times New Roman"/>
      <w:b/>
      <w:bCs/>
      <w:sz w:val="20"/>
      <w:szCs w:val="20"/>
      <w:lang w:val="en-US"/>
    </w:rPr>
  </w:style>
  <w:style w:type="paragraph" w:styleId="NormalWeb">
    <w:name w:val="Normal (Web)"/>
    <w:basedOn w:val="Normal"/>
    <w:uiPriority w:val="99"/>
    <w:semiHidden/>
    <w:unhideWhenUsed/>
    <w:pPr>
      <w:spacing w:before="100" w:beforeAutospacing="1" w:after="100" w:afterAutospacing="1"/>
    </w:pPr>
    <w:rPr>
      <w:sz w:val="24"/>
      <w:szCs w:val="24"/>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NoSpacing">
    <w:name w:val="No Spacing"/>
    <w:uiPriority w:val="1"/>
    <w:qFormat/>
    <w:rPr>
      <w:rFonts w:ascii="Times New Roman" w:eastAsia="Calibri" w:hAnsi="Times New Roman" w:cs="Times New Roman"/>
      <w:sz w:val="22"/>
      <w:szCs w:val="20"/>
    </w:rPr>
  </w:style>
  <w:style w:type="paragraph" w:styleId="Bibliography">
    <w:name w:val="Bibliography"/>
    <w:basedOn w:val="Normal"/>
    <w:next w:val="Normal"/>
    <w:uiPriority w:val="37"/>
    <w:unhideWhenUsed/>
    <w:pPr>
      <w:ind w:left="720" w:hanging="720"/>
    </w:pPr>
  </w:style>
  <w:style w:type="character" w:styleId="PageNumber">
    <w:name w:val="page number"/>
    <w:basedOn w:val="DefaultParagraphFont"/>
    <w:uiPriority w:val="99"/>
    <w:semiHidden/>
    <w:unhideWhenUsed/>
  </w:style>
  <w:style w:type="paragraph" w:styleId="BalloonText">
    <w:name w:val="Balloon Text"/>
    <w:basedOn w:val="Normal"/>
    <w:link w:val="BalloonTextChar"/>
    <w:uiPriority w:val="99"/>
    <w:semiHidden/>
    <w:unhideWhenUsed/>
    <w:rsid w:val="00CE7A9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7A9D"/>
    <w:rPr>
      <w:rFonts w:ascii="Segoe UI" w:eastAsia="Times New Roman"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761715">
      <w:bodyDiv w:val="1"/>
      <w:marLeft w:val="0"/>
      <w:marRight w:val="0"/>
      <w:marTop w:val="0"/>
      <w:marBottom w:val="0"/>
      <w:divBdr>
        <w:top w:val="none" w:sz="0" w:space="0" w:color="auto"/>
        <w:left w:val="none" w:sz="0" w:space="0" w:color="auto"/>
        <w:bottom w:val="none" w:sz="0" w:space="0" w:color="auto"/>
        <w:right w:val="none" w:sz="0" w:space="0" w:color="auto"/>
      </w:divBdr>
    </w:div>
    <w:div w:id="1731733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10.png"/><Relationship Id="rId18" Type="http://schemas.openxmlformats.org/officeDocument/2006/relationships/image" Target="media/image20.pn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5.png"/><Relationship Id="rId7" Type="http://schemas.openxmlformats.org/officeDocument/2006/relationships/image" Target="media/image1.png"/><Relationship Id="rId25" Type="http://schemas.openxmlformats.org/officeDocument/2006/relationships/footer" Target="footer1.xml"/><Relationship Id="rId2" Type="http://schemas.openxmlformats.org/officeDocument/2006/relationships/styles" Target="styles.xm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doi.pangaea.de/10.1594/PANGAEA.943523" TargetMode="External"/><Relationship Id="rId28" Type="http://schemas.openxmlformats.org/officeDocument/2006/relationships/fontTable" Target="fontTable.xml"/><Relationship Id="rId19" Type="http://schemas.openxmlformats.org/officeDocument/2006/relationships/image" Target="media/image3.png"/><Relationship Id="rId4" Type="http://schemas.openxmlformats.org/officeDocument/2006/relationships/webSettings" Target="webSettings.xml"/><Relationship Id="rId14" Type="http://schemas.openxmlformats.org/officeDocument/2006/relationships/hyperlink" Target="mailto:tsager@geomar.de" TargetMode="External"/><Relationship Id="rId22" Type="http://schemas.openxmlformats.org/officeDocument/2006/relationships/image" Target="media/image6.png"/><Relationship Id="rId2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11</Pages>
  <Words>5211</Words>
  <Characters>29703</Characters>
  <Application>Microsoft Office Word</Application>
  <DocSecurity>0</DocSecurity>
  <Lines>247</Lines>
  <Paragraphs>69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thore sager</dc:creator>
  <cp:keywords/>
  <dc:description/>
  <cp:lastModifiedBy>thore sager</cp:lastModifiedBy>
  <cp:revision>3</cp:revision>
  <dcterms:created xsi:type="dcterms:W3CDTF">2022-11-26T10:56:00Z</dcterms:created>
  <dcterms:modified xsi:type="dcterms:W3CDTF">2022-11-30T10:29:00Z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zotero-version="6.0.18"&gt;&lt;session id="Xrn560W8"/&gt;&lt;style id="http://www.zotero.org/styles/apa" locale="en-US" hasBibliography="1" bibliographyStyleHasBeenSet="1"/&gt;&lt;prefs&gt;&lt;pref name="fieldType" value="Field"/&gt;&lt;/prefs&gt;&lt;/data&gt;</vt:lpwstr>
  </property>
</Properties>
</file>