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8AAE3E" w14:textId="1D06CAFE" w:rsidR="002E03E0" w:rsidRPr="002E03E0" w:rsidRDefault="002E03E0" w:rsidP="002E03E0">
      <w:pPr>
        <w:rPr>
          <w:rFonts w:ascii="Arial" w:hAnsi="Arial" w:cs="Arial"/>
        </w:rPr>
      </w:pPr>
      <w:r>
        <w:rPr>
          <w:rFonts w:ascii="Arial" w:hAnsi="Arial" w:cs="Arial"/>
          <w:b/>
          <w:bCs/>
        </w:rPr>
        <w:t xml:space="preserve">Supplementary file </w:t>
      </w:r>
      <w:r w:rsidR="0006471E">
        <w:rPr>
          <w:rFonts w:ascii="Arial" w:hAnsi="Arial" w:cs="Arial"/>
          <w:b/>
          <w:bCs/>
        </w:rPr>
        <w:t>5</w:t>
      </w:r>
      <w:r>
        <w:rPr>
          <w:rFonts w:ascii="Arial" w:hAnsi="Arial" w:cs="Arial"/>
          <w:b/>
          <w:bCs/>
        </w:rPr>
        <w:t xml:space="preserve"> – Extended methods</w:t>
      </w:r>
    </w:p>
    <w:p w14:paraId="314B410A" w14:textId="77777777" w:rsidR="002E03E0" w:rsidRPr="002E03E0" w:rsidRDefault="002E03E0" w:rsidP="002E03E0">
      <w:pPr>
        <w:rPr>
          <w:rFonts w:ascii="Arial" w:hAnsi="Arial" w:cs="Arial"/>
        </w:rPr>
      </w:pPr>
    </w:p>
    <w:p w14:paraId="4F2059D9" w14:textId="3EFBB944" w:rsidR="002E03E0" w:rsidRPr="002E03E0" w:rsidRDefault="002E03E0" w:rsidP="002E03E0">
      <w:pPr>
        <w:rPr>
          <w:rFonts w:ascii="Arial" w:hAnsi="Arial" w:cs="Arial"/>
          <w:b/>
          <w:bCs/>
        </w:rPr>
      </w:pPr>
      <w:r w:rsidRPr="002E03E0">
        <w:rPr>
          <w:rFonts w:ascii="Arial" w:hAnsi="Arial" w:cs="Arial"/>
          <w:b/>
          <w:bCs/>
        </w:rPr>
        <w:t>Mice</w:t>
      </w:r>
    </w:p>
    <w:p w14:paraId="21F824E8" w14:textId="59FF4EC0" w:rsidR="002E03E0" w:rsidRPr="002E03E0" w:rsidRDefault="002E03E0" w:rsidP="00A800D6">
      <w:pPr>
        <w:ind w:firstLine="720"/>
        <w:rPr>
          <w:rFonts w:ascii="Arial" w:hAnsi="Arial" w:cs="Arial"/>
        </w:rPr>
      </w:pPr>
      <w:r w:rsidRPr="002E03E0">
        <w:rPr>
          <w:rFonts w:ascii="Arial" w:hAnsi="Arial" w:cs="Arial"/>
        </w:rPr>
        <w:t>Col1α1-GFP reporter mice were obtained as a kind gift from Dr. Derek Radisky and have been described in more detail previously (14). Mice were housed in the Mayo Clinic animal facility and all procedures were performed in accordance with the Mayo Clinic Institutional Animal Care and use Committee. After all procedures, mice were monitored during recovery and administered Buprenorphine.</w:t>
      </w:r>
    </w:p>
    <w:p w14:paraId="4285B71F" w14:textId="02E2AA7B" w:rsidR="002E03E0" w:rsidRPr="002E03E0" w:rsidRDefault="002E03E0" w:rsidP="002E03E0">
      <w:pPr>
        <w:rPr>
          <w:rFonts w:ascii="Arial" w:hAnsi="Arial" w:cs="Arial"/>
          <w:b/>
          <w:bCs/>
        </w:rPr>
      </w:pPr>
      <w:r w:rsidRPr="002E03E0">
        <w:rPr>
          <w:rFonts w:ascii="Arial" w:hAnsi="Arial" w:cs="Arial"/>
          <w:b/>
          <w:bCs/>
        </w:rPr>
        <w:t>Bleomycin administration</w:t>
      </w:r>
    </w:p>
    <w:p w14:paraId="055AA940" w14:textId="5F737069" w:rsidR="002E03E0" w:rsidRPr="002E03E0" w:rsidRDefault="002E03E0" w:rsidP="00A800D6">
      <w:pPr>
        <w:ind w:firstLine="720"/>
        <w:rPr>
          <w:rFonts w:ascii="Arial" w:hAnsi="Arial" w:cs="Arial"/>
        </w:rPr>
      </w:pPr>
      <w:r w:rsidRPr="002E03E0">
        <w:rPr>
          <w:rFonts w:ascii="Arial" w:hAnsi="Arial" w:cs="Arial"/>
        </w:rPr>
        <w:t>1 U/kg bleomycin (APP Pharmaceutical</w:t>
      </w:r>
      <w:r w:rsidR="00A800D6">
        <w:rPr>
          <w:rFonts w:ascii="Arial" w:hAnsi="Arial" w:cs="Arial"/>
        </w:rPr>
        <w:t>, Schaumburg, IL, USA</w:t>
      </w:r>
      <w:r w:rsidRPr="002E03E0">
        <w:rPr>
          <w:rFonts w:ascii="Arial" w:hAnsi="Arial" w:cs="Arial"/>
        </w:rPr>
        <w:t>) or phosphate buffered saline (PBS, sham) was administered intratracheally using a MicroSprayer (Penn-Century</w:t>
      </w:r>
      <w:r w:rsidR="00A800D6">
        <w:rPr>
          <w:rFonts w:ascii="Arial" w:hAnsi="Arial" w:cs="Arial"/>
        </w:rPr>
        <w:t>, Wyndmoor, PA, USA</w:t>
      </w:r>
      <w:r w:rsidRPr="002E03E0">
        <w:rPr>
          <w:rFonts w:ascii="Arial" w:hAnsi="Arial" w:cs="Arial"/>
        </w:rPr>
        <w:t xml:space="preserve">). Mice were anesthetized with intraperitoneal injection of 90 mg/kg ketamine and 10 mg/kg xylazine prior to procedure. Mice were euthanized 14 days after bleomycin administration using intraperitoneal overdose of ketamine and xylazine, and death was confirmed by </w:t>
      </w:r>
      <w:r w:rsidR="0006471E">
        <w:rPr>
          <w:rFonts w:ascii="Arial" w:hAnsi="Arial" w:cs="Arial"/>
        </w:rPr>
        <w:t>orga</w:t>
      </w:r>
      <w:r w:rsidRPr="002E03E0">
        <w:rPr>
          <w:rFonts w:ascii="Arial" w:hAnsi="Arial" w:cs="Arial"/>
        </w:rPr>
        <w:t>n</w:t>
      </w:r>
      <w:r w:rsidR="0006471E">
        <w:rPr>
          <w:rFonts w:ascii="Arial" w:hAnsi="Arial" w:cs="Arial"/>
        </w:rPr>
        <w:t xml:space="preserve"> removal</w:t>
      </w:r>
      <w:r w:rsidRPr="002E03E0">
        <w:rPr>
          <w:rFonts w:ascii="Arial" w:hAnsi="Arial" w:cs="Arial"/>
        </w:rPr>
        <w:t>.</w:t>
      </w:r>
    </w:p>
    <w:p w14:paraId="7BBE1DE7" w14:textId="02B207D2" w:rsidR="002E03E0" w:rsidRPr="002E03E0" w:rsidRDefault="002E03E0" w:rsidP="002E03E0">
      <w:pPr>
        <w:rPr>
          <w:rFonts w:ascii="Arial" w:hAnsi="Arial" w:cs="Arial"/>
          <w:b/>
          <w:bCs/>
        </w:rPr>
      </w:pPr>
      <w:r w:rsidRPr="002E03E0">
        <w:rPr>
          <w:rFonts w:ascii="Arial" w:hAnsi="Arial" w:cs="Arial"/>
          <w:b/>
          <w:bCs/>
        </w:rPr>
        <w:t>Pneumonectomy</w:t>
      </w:r>
    </w:p>
    <w:p w14:paraId="09212CCD" w14:textId="03758F39" w:rsidR="002E03E0" w:rsidRPr="002E03E0" w:rsidRDefault="002E03E0" w:rsidP="00A800D6">
      <w:pPr>
        <w:ind w:firstLine="720"/>
        <w:rPr>
          <w:rFonts w:ascii="Arial" w:hAnsi="Arial" w:cs="Arial"/>
        </w:rPr>
      </w:pPr>
      <w:r w:rsidRPr="002E03E0">
        <w:rPr>
          <w:rFonts w:ascii="Arial" w:hAnsi="Arial" w:cs="Arial"/>
        </w:rPr>
        <w:t xml:space="preserve">Pneumonectomy was performed according to published protocols </w:t>
      </w:r>
      <w:r w:rsidR="0071162C">
        <w:rPr>
          <w:rFonts w:ascii="Arial" w:hAnsi="Arial" w:cs="Arial"/>
        </w:rPr>
        <w:fldChar w:fldCharType="begin"/>
      </w:r>
      <w:r w:rsidR="0071162C">
        <w:rPr>
          <w:rFonts w:ascii="Arial" w:hAnsi="Arial" w:cs="Arial"/>
        </w:rPr>
        <w:instrText xml:space="preserve"> ADDIN EN.CITE &lt;EndNote&gt;&lt;Cite&gt;&lt;Author&gt;Liu&lt;/Author&gt;&lt;Year&gt;2014&lt;/Year&gt;&lt;RecNum&gt;19&lt;/RecNum&gt;&lt;DisplayText&gt;(1)&lt;/DisplayText&gt;&lt;record&gt;&lt;rec-number&gt;19&lt;/rec-number&gt;&lt;foreign-keys&gt;&lt;key app="EN" db-id="rtp5rs5sx5fvxlezfe4pfe9b9rv5d5zp92tp" timestamp="1655488549"&gt;19&lt;/key&gt;&lt;/foreign-keys&gt;&lt;ref-type name="Journal Article"&gt;17&lt;/ref-type&gt;&lt;contributors&gt;&lt;authors&gt;&lt;author&gt;Liu, S.&lt;/author&gt;&lt;author&gt;Cimprich, J.&lt;/author&gt;&lt;author&gt;Varisco, B. M.&lt;/author&gt;&lt;/authors&gt;&lt;/contributors&gt;&lt;auth-address&gt;Division of Critical Care Medicine, Cincinnati Children&amp;apos;s Hospital Medical Center.&amp;#xD;Division of Critical Care Medicine, Cincinnati Children&amp;apos;s Hospital Medical Center; Brian.Varisco@cchmc.org.&lt;/auth-address&gt;&lt;titles&gt;&lt;title&gt;Mouse pneumonectomy model of compensatory lung growth&lt;/title&gt;&lt;secondary-title&gt;J Vis Exp&lt;/secondary-title&gt;&lt;/titles&gt;&lt;periodical&gt;&lt;full-title&gt;J Vis Exp&lt;/full-title&gt;&lt;/periodical&gt;&lt;number&gt;94&lt;/number&gt;&lt;edition&gt;2014/12/31&lt;/edition&gt;&lt;keywords&gt;&lt;keyword&gt;Animals&lt;/keyword&gt;&lt;keyword&gt;Lung/growth &amp;amp; development/*physiology/surgery&lt;/keyword&gt;&lt;keyword&gt;Male&lt;/keyword&gt;&lt;keyword&gt;Mice&lt;/keyword&gt;&lt;keyword&gt;Mice, Inbred C57BL&lt;/keyword&gt;&lt;keyword&gt;Mice, Transgenic&lt;/keyword&gt;&lt;keyword&gt;Models, Animal&lt;/keyword&gt;&lt;keyword&gt;Pneumonectomy/methods/*veterinary&lt;/keyword&gt;&lt;keyword&gt;Regeneration/physiology&lt;/keyword&gt;&lt;/keywords&gt;&lt;dates&gt;&lt;year&gt;2014&lt;/year&gt;&lt;pub-dates&gt;&lt;date&gt;Dec 17&lt;/date&gt;&lt;/pub-dates&gt;&lt;/dates&gt;&lt;isbn&gt;1940-087X (Electronic)&amp;#xD;1940-087X (Linking)&lt;/isbn&gt;&lt;accession-num&gt;25549004&lt;/accession-num&gt;&lt;urls&gt;&lt;related-urls&gt;&lt;url&gt;https://www.ncbi.nlm.nih.gov/pubmed/25549004&lt;/url&gt;&lt;/related-urls&gt;&lt;/urls&gt;&lt;custom2&gt;PMC4396963&lt;/custom2&gt;&lt;electronic-resource-num&gt;10.3791/52294&lt;/electronic-resource-num&gt;&lt;/record&gt;&lt;/Cite&gt;&lt;/EndNote&gt;</w:instrText>
      </w:r>
      <w:r w:rsidR="0071162C">
        <w:rPr>
          <w:rFonts w:ascii="Arial" w:hAnsi="Arial" w:cs="Arial"/>
        </w:rPr>
        <w:fldChar w:fldCharType="separate"/>
      </w:r>
      <w:r w:rsidR="0071162C">
        <w:rPr>
          <w:rFonts w:ascii="Arial" w:hAnsi="Arial" w:cs="Arial"/>
          <w:noProof/>
        </w:rPr>
        <w:t>(1)</w:t>
      </w:r>
      <w:r w:rsidR="0071162C">
        <w:rPr>
          <w:rFonts w:ascii="Arial" w:hAnsi="Arial" w:cs="Arial"/>
        </w:rPr>
        <w:fldChar w:fldCharType="end"/>
      </w:r>
      <w:r w:rsidRPr="002E03E0">
        <w:rPr>
          <w:rFonts w:ascii="Arial" w:hAnsi="Arial" w:cs="Arial"/>
        </w:rPr>
        <w:t xml:space="preserve">. Briefly, mice were anesthetized with intraperitoneal injection of 90 mg/kg ketamine and 10 mg/kg xylazine, a surgical window was </w:t>
      </w:r>
      <w:r w:rsidR="00A800D6" w:rsidRPr="002E03E0">
        <w:rPr>
          <w:rFonts w:ascii="Arial" w:hAnsi="Arial" w:cs="Arial"/>
        </w:rPr>
        <w:t>cut,</w:t>
      </w:r>
      <w:r w:rsidRPr="002E03E0">
        <w:rPr>
          <w:rFonts w:ascii="Arial" w:hAnsi="Arial" w:cs="Arial"/>
        </w:rPr>
        <w:t xml:space="preserve"> and the left lung was removed. Following lung removal, a suture clip was used to close the remaining lung, and the surgical window was closed using surgical glue. Mice were euthanized 14 days after pneumonectomy using intraperitoneal overdose of ketamine and xylazine, and death was confirmed by </w:t>
      </w:r>
      <w:r w:rsidR="0006471E">
        <w:rPr>
          <w:rFonts w:ascii="Arial" w:hAnsi="Arial" w:cs="Arial"/>
        </w:rPr>
        <w:t>organ removal</w:t>
      </w:r>
      <w:r w:rsidRPr="002E03E0">
        <w:rPr>
          <w:rFonts w:ascii="Arial" w:hAnsi="Arial" w:cs="Arial"/>
        </w:rPr>
        <w:t>.</w:t>
      </w:r>
    </w:p>
    <w:p w14:paraId="69B9976E" w14:textId="3D7ED677" w:rsidR="002E03E0" w:rsidRPr="002E03E0" w:rsidRDefault="002E03E0" w:rsidP="002E03E0">
      <w:pPr>
        <w:rPr>
          <w:rFonts w:ascii="Arial" w:hAnsi="Arial" w:cs="Arial"/>
          <w:b/>
          <w:bCs/>
        </w:rPr>
      </w:pPr>
      <w:r w:rsidRPr="002E03E0">
        <w:rPr>
          <w:rFonts w:ascii="Arial" w:hAnsi="Arial" w:cs="Arial"/>
          <w:b/>
          <w:bCs/>
        </w:rPr>
        <w:t>Tissue harvest and flow cytometry cell sorting</w:t>
      </w:r>
    </w:p>
    <w:p w14:paraId="0033B3AF" w14:textId="16DDEF0A" w:rsidR="002E03E0" w:rsidRPr="002E03E0" w:rsidRDefault="002E03E0" w:rsidP="00A800D6">
      <w:pPr>
        <w:ind w:firstLine="720"/>
        <w:rPr>
          <w:rFonts w:ascii="Arial" w:hAnsi="Arial" w:cs="Arial"/>
        </w:rPr>
      </w:pPr>
      <w:r w:rsidRPr="002E03E0">
        <w:rPr>
          <w:rFonts w:ascii="Arial" w:hAnsi="Arial" w:cs="Arial"/>
        </w:rPr>
        <w:t>Lungs were washed with ice-cold PBS, and immediately subject to mechanical digestion in a solution of DNAse and liberase in Dulbecco’s Modified Eagle’s Medium (DMEM</w:t>
      </w:r>
      <w:r w:rsidR="00A800D6">
        <w:rPr>
          <w:rFonts w:ascii="Arial" w:hAnsi="Arial" w:cs="Arial"/>
        </w:rPr>
        <w:t>, Thermo Fisher, Waltham, MA, USA</w:t>
      </w:r>
      <w:r w:rsidRPr="002E03E0">
        <w:rPr>
          <w:rFonts w:ascii="Arial" w:hAnsi="Arial" w:cs="Arial"/>
        </w:rPr>
        <w:t xml:space="preserve">). The resulting tissue was digested for 35 minutes at 37C. Following digestion, the digestion enzymes were inactivated with </w:t>
      </w:r>
      <w:r w:rsidR="008161F7">
        <w:rPr>
          <w:rFonts w:ascii="Arial" w:hAnsi="Arial" w:cs="Arial"/>
        </w:rPr>
        <w:t>10</w:t>
      </w:r>
      <w:r w:rsidRPr="002E03E0">
        <w:rPr>
          <w:rFonts w:ascii="Arial" w:hAnsi="Arial" w:cs="Arial"/>
        </w:rPr>
        <w:t>% fetal bovine serum (FBS). Solutions were filtered through a 40 µm filter followed by lysis of red blood cells. Fibroblasts were isolated using a BD FACSMelody flow sorter. Briefly, dead cells were gated out via detection of 4′,6-diamidino-2-phenylindole (DAPI). Antibodies were used to detect CD45 (leukocytes), epithelial cell adhesion molecule</w:t>
      </w:r>
      <w:r w:rsidR="008161F7">
        <w:rPr>
          <w:rFonts w:ascii="Arial" w:hAnsi="Arial" w:cs="Arial"/>
        </w:rPr>
        <w:t>/CD326</w:t>
      </w:r>
      <w:r w:rsidRPr="002E03E0">
        <w:rPr>
          <w:rFonts w:ascii="Arial" w:hAnsi="Arial" w:cs="Arial"/>
        </w:rPr>
        <w:t xml:space="preserve"> (epithelial cells), and CD31 (endothelial cells). Cells positive for these markers were gated out, and cells positive for GFP+ of this lineage negative population were taken to be fibroblasts. Immediately after sorting, isolated cells were lysed in RNA lysis buffer</w:t>
      </w:r>
      <w:r w:rsidR="008161F7">
        <w:rPr>
          <w:rFonts w:ascii="Arial" w:hAnsi="Arial" w:cs="Arial"/>
        </w:rPr>
        <w:t xml:space="preserve"> with 1% β-mercaptoethanol</w:t>
      </w:r>
      <w:r w:rsidRPr="002E03E0">
        <w:rPr>
          <w:rFonts w:ascii="Arial" w:hAnsi="Arial" w:cs="Arial"/>
        </w:rPr>
        <w:t xml:space="preserve"> (QIAGEN</w:t>
      </w:r>
      <w:r w:rsidR="00F230B6">
        <w:rPr>
          <w:rFonts w:ascii="Arial" w:hAnsi="Arial" w:cs="Arial"/>
        </w:rPr>
        <w:t>, Hilden, Germany</w:t>
      </w:r>
      <w:r w:rsidRPr="002E03E0">
        <w:rPr>
          <w:rFonts w:ascii="Arial" w:hAnsi="Arial" w:cs="Arial"/>
        </w:rPr>
        <w:t>) and stored at -80C. In a separate set of experiments, lungs were fixed in 1</w:t>
      </w:r>
      <w:r w:rsidR="008161F7">
        <w:rPr>
          <w:rFonts w:ascii="Arial" w:hAnsi="Arial" w:cs="Arial"/>
        </w:rPr>
        <w:t>0</w:t>
      </w:r>
      <w:r w:rsidRPr="002E03E0">
        <w:rPr>
          <w:rFonts w:ascii="Arial" w:hAnsi="Arial" w:cs="Arial"/>
        </w:rPr>
        <w:t>% neutral buffered formalin and stained with hematoxylin and eosin (H&amp;E) to visualize lung remodeling, or to quantify lung collagen content with hydroxyproline assay.</w:t>
      </w:r>
    </w:p>
    <w:p w14:paraId="1DEC01BF" w14:textId="3DB26A2D" w:rsidR="002E03E0" w:rsidRDefault="002E03E0" w:rsidP="002E03E0">
      <w:pPr>
        <w:rPr>
          <w:rFonts w:ascii="Arial" w:hAnsi="Arial" w:cs="Arial"/>
          <w:b/>
          <w:bCs/>
        </w:rPr>
      </w:pPr>
      <w:r w:rsidRPr="002E03E0">
        <w:rPr>
          <w:rFonts w:ascii="Arial" w:hAnsi="Arial" w:cs="Arial"/>
          <w:b/>
          <w:bCs/>
        </w:rPr>
        <w:t>Hydroxyproline assay</w:t>
      </w:r>
    </w:p>
    <w:p w14:paraId="00A00B35" w14:textId="70031AD3" w:rsidR="00DA4251" w:rsidRPr="00C4021D" w:rsidRDefault="00DA4251" w:rsidP="00A800D6">
      <w:pPr>
        <w:ind w:firstLine="720"/>
        <w:rPr>
          <w:rFonts w:ascii="Arial" w:hAnsi="Arial" w:cs="Arial"/>
        </w:rPr>
      </w:pPr>
      <w:r>
        <w:rPr>
          <w:rFonts w:ascii="Arial" w:hAnsi="Arial" w:cs="Arial"/>
        </w:rPr>
        <w:t>Lung hydroxyproline content was measured using a hydroxyproline assay kit (Bio</w:t>
      </w:r>
      <w:r w:rsidR="00F230B6">
        <w:rPr>
          <w:rFonts w:ascii="Arial" w:hAnsi="Arial" w:cs="Arial"/>
        </w:rPr>
        <w:t>Vision, Milpitas, CA, USA</w:t>
      </w:r>
      <w:r>
        <w:rPr>
          <w:rFonts w:ascii="Arial" w:hAnsi="Arial" w:cs="Arial"/>
        </w:rPr>
        <w:t xml:space="preserve">) as previously described </w:t>
      </w:r>
      <w:r w:rsidR="00C4021D">
        <w:rPr>
          <w:rFonts w:ascii="Arial" w:hAnsi="Arial" w:cs="Arial"/>
        </w:rPr>
        <w:fldChar w:fldCharType="begin">
          <w:fldData xml:space="preserve">PEVuZE5vdGU+PENpdGU+PEF1dGhvcj5IYWFrPC9BdXRob3I+PFllYXI+MjAxOTwvWWVhcj48UmVj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</w:fldData>
        </w:fldChar>
      </w:r>
      <w:r w:rsidR="00C4021D">
        <w:rPr>
          <w:rFonts w:ascii="Arial" w:hAnsi="Arial" w:cs="Arial"/>
        </w:rPr>
        <w:instrText xml:space="preserve"> ADDIN EN.CITE </w:instrText>
      </w:r>
      <w:r w:rsidR="00C4021D">
        <w:rPr>
          <w:rFonts w:ascii="Arial" w:hAnsi="Arial" w:cs="Arial"/>
        </w:rPr>
        <w:fldChar w:fldCharType="begin">
          <w:fldData xml:space="preserve">PEVuZE5vdGU+PENpdGU+PEF1dGhvcj5IYWFrPC9BdXRob3I+PFllYXI+MjAxOTwvWWVhcj48UmVj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</w:fldData>
        </w:fldChar>
      </w:r>
      <w:r w:rsidR="00C4021D">
        <w:rPr>
          <w:rFonts w:ascii="Arial" w:hAnsi="Arial" w:cs="Arial"/>
        </w:rPr>
        <w:instrText xml:space="preserve"> ADDIN EN.CITE.DATA </w:instrText>
      </w:r>
      <w:r w:rsidR="00C4021D">
        <w:rPr>
          <w:rFonts w:ascii="Arial" w:hAnsi="Arial" w:cs="Arial"/>
        </w:rPr>
      </w:r>
      <w:r w:rsidR="00C4021D">
        <w:rPr>
          <w:rFonts w:ascii="Arial" w:hAnsi="Arial" w:cs="Arial"/>
        </w:rPr>
        <w:fldChar w:fldCharType="end"/>
      </w:r>
      <w:r w:rsidR="00C4021D">
        <w:rPr>
          <w:rFonts w:ascii="Arial" w:hAnsi="Arial" w:cs="Arial"/>
        </w:rPr>
      </w:r>
      <w:r w:rsidR="00C4021D">
        <w:rPr>
          <w:rFonts w:ascii="Arial" w:hAnsi="Arial" w:cs="Arial"/>
        </w:rPr>
        <w:fldChar w:fldCharType="separate"/>
      </w:r>
      <w:r w:rsidR="00C4021D">
        <w:rPr>
          <w:rFonts w:ascii="Arial" w:hAnsi="Arial" w:cs="Arial"/>
          <w:noProof/>
        </w:rPr>
        <w:t>(2)</w:t>
      </w:r>
      <w:r w:rsidR="00C4021D">
        <w:rPr>
          <w:rFonts w:ascii="Arial" w:hAnsi="Arial" w:cs="Arial"/>
        </w:rPr>
        <w:fldChar w:fldCharType="end"/>
      </w:r>
      <w:r w:rsidR="00C4021D">
        <w:rPr>
          <w:rFonts w:ascii="Arial" w:hAnsi="Arial" w:cs="Arial"/>
        </w:rPr>
        <w:t xml:space="preserve">. Briefly, tissue was homogenized in sterile water at a ratio of 10 mg tissue to 100 µl </w:t>
      </w:r>
      <w:r w:rsidR="00F230B6">
        <w:rPr>
          <w:rFonts w:ascii="Arial" w:hAnsi="Arial" w:cs="Arial"/>
        </w:rPr>
        <w:t>water and</w:t>
      </w:r>
      <w:r w:rsidR="00C4021D">
        <w:rPr>
          <w:rFonts w:ascii="Arial" w:hAnsi="Arial" w:cs="Arial"/>
        </w:rPr>
        <w:t xml:space="preserve"> hydrolyzed in 12N HCl at 120ºC for 3 hours. Hydrolyzed samples were then filtered through a 45 µm Spin-X</w:t>
      </w:r>
      <w:r w:rsidR="00C4021D" w:rsidRPr="00C4021D">
        <w:rPr>
          <w:rFonts w:ascii="Arial" w:hAnsi="Arial" w:cs="Arial"/>
          <w:vertAlign w:val="superscript"/>
        </w:rPr>
        <w:t>®</w:t>
      </w:r>
      <w:r w:rsidR="00C4021D">
        <w:rPr>
          <w:rFonts w:ascii="Arial" w:hAnsi="Arial" w:cs="Arial"/>
          <w:vertAlign w:val="superscript"/>
        </w:rPr>
        <w:t xml:space="preserve"> </w:t>
      </w:r>
      <w:r w:rsidR="00C4021D">
        <w:rPr>
          <w:rFonts w:ascii="Arial" w:hAnsi="Arial" w:cs="Arial"/>
        </w:rPr>
        <w:t>filter (Corning</w:t>
      </w:r>
      <w:r w:rsidR="00F230B6">
        <w:rPr>
          <w:rFonts w:ascii="Arial" w:hAnsi="Arial" w:cs="Arial"/>
        </w:rPr>
        <w:t>, Corning, NY, USA</w:t>
      </w:r>
      <w:r w:rsidR="00C4021D">
        <w:rPr>
          <w:rFonts w:ascii="Arial" w:hAnsi="Arial" w:cs="Arial"/>
        </w:rPr>
        <w:t>). 10 µl of sample was then dried in a speed vacuum for 2 hours, then incubated with 100 µl chloramine T reagent for 5 min</w:t>
      </w:r>
      <w:r w:rsidR="00D068AF">
        <w:rPr>
          <w:rFonts w:ascii="Arial" w:hAnsi="Arial" w:cs="Arial"/>
        </w:rPr>
        <w:t xml:space="preserve">utes at room temperature and 100 µl </w:t>
      </w:r>
      <w:r w:rsidR="00D068AF" w:rsidRPr="00D068AF">
        <w:rPr>
          <w:rFonts w:ascii="Arial" w:hAnsi="Arial" w:cs="Arial"/>
        </w:rPr>
        <w:t>4</w:t>
      </w:r>
      <w:r w:rsidR="00D068AF" w:rsidRPr="00D068AF">
        <w:rPr>
          <w:rFonts w:ascii="Cambria Math" w:hAnsi="Cambria Math" w:cs="Cambria Math"/>
        </w:rPr>
        <w:t>‐</w:t>
      </w:r>
      <w:r w:rsidR="00D068AF" w:rsidRPr="00D068AF">
        <w:rPr>
          <w:rFonts w:ascii="Arial" w:hAnsi="Arial" w:cs="Arial"/>
        </w:rPr>
        <w:t>(Dimethylamino) benzaldehyde (DMAB) for 90 minutes at 60°C</w:t>
      </w:r>
      <w:r w:rsidR="00D068AF">
        <w:rPr>
          <w:rFonts w:ascii="Arial" w:hAnsi="Arial" w:cs="Arial"/>
        </w:rPr>
        <w:t xml:space="preserve">. </w:t>
      </w:r>
      <w:r w:rsidR="00D068AF" w:rsidRPr="00D068AF">
        <w:rPr>
          <w:rFonts w:ascii="Arial" w:hAnsi="Arial" w:cs="Arial"/>
        </w:rPr>
        <w:t>The absorbance of oxidized hydroxyproline was determined at 560 nm.</w:t>
      </w:r>
      <w:r w:rsidR="00D068AF">
        <w:rPr>
          <w:rFonts w:ascii="Arial" w:hAnsi="Arial" w:cs="Arial"/>
        </w:rPr>
        <w:t xml:space="preserve"> </w:t>
      </w:r>
      <w:r w:rsidR="00D068AF" w:rsidRPr="00D068AF">
        <w:rPr>
          <w:rFonts w:ascii="Arial" w:hAnsi="Arial" w:cs="Arial"/>
        </w:rPr>
        <w:t xml:space="preserve">Hydroxyproline concentrations were calculated from a standard curve generated using known concentrations of trans-4-hydroxyl-L-proline. The total amount of protein isolated from the weighed tissues was determined by using a protein assay kit (Bio-Rad, </w:t>
      </w:r>
      <w:r w:rsidR="00F230B6">
        <w:rPr>
          <w:rFonts w:ascii="Arial" w:hAnsi="Arial" w:cs="Arial"/>
        </w:rPr>
        <w:t xml:space="preserve">Hercules, CA, USA) measuring </w:t>
      </w:r>
      <w:r w:rsidR="00D068AF" w:rsidRPr="00D068AF">
        <w:rPr>
          <w:rFonts w:ascii="Arial" w:hAnsi="Arial" w:cs="Arial"/>
        </w:rPr>
        <w:t>absorbance at 595 nm. The amount of collagen was expressed in μg/mg total protein.</w:t>
      </w:r>
    </w:p>
    <w:p w14:paraId="17CDA749" w14:textId="7CD8F1D6" w:rsidR="002E03E0" w:rsidRPr="002E03E0" w:rsidRDefault="002E03E0" w:rsidP="002E03E0">
      <w:pPr>
        <w:rPr>
          <w:rFonts w:ascii="Arial" w:hAnsi="Arial" w:cs="Arial"/>
          <w:b/>
          <w:bCs/>
        </w:rPr>
      </w:pPr>
      <w:r w:rsidRPr="002E03E0">
        <w:rPr>
          <w:rFonts w:ascii="Arial" w:hAnsi="Arial" w:cs="Arial"/>
          <w:b/>
          <w:bCs/>
        </w:rPr>
        <w:t>RNA sequencing and analysis</w:t>
      </w:r>
    </w:p>
    <w:p w14:paraId="12BE7551" w14:textId="303A326A" w:rsidR="002E03E0" w:rsidRPr="00386B8F" w:rsidRDefault="002E03E0" w:rsidP="00A800D6">
      <w:pPr>
        <w:ind w:firstLine="720"/>
        <w:rPr>
          <w:rFonts w:ascii="Arial" w:hAnsi="Arial" w:cs="Arial"/>
        </w:rPr>
      </w:pPr>
      <w:r w:rsidRPr="002E03E0">
        <w:rPr>
          <w:rFonts w:ascii="Arial" w:hAnsi="Arial" w:cs="Arial"/>
        </w:rPr>
        <w:lastRenderedPageBreak/>
        <w:t xml:space="preserve">RNA from sorted fibroblasts was isolated using a QIAGEN RNEasy MicroKit (QIAGEN) according to the manufacturer’s instructions. RNA sequencing was performed on sorted fibroblasts from sham, bleomycin-treated, and pneumonectomized mice using Mayo Clinic’s Genome Analysis Core. RNA libraries were </w:t>
      </w:r>
      <w:r w:rsidRPr="00386B8F">
        <w:rPr>
          <w:rFonts w:ascii="Arial" w:hAnsi="Arial" w:cs="Arial"/>
        </w:rPr>
        <w:t xml:space="preserve">prepared using the Illumina cBot and HiSeq 3000 PE Cluster Kit, yielding 33-40 million reads per sample. </w:t>
      </w:r>
      <w:r w:rsidR="00C00F44">
        <w:rPr>
          <w:rFonts w:ascii="Arial" w:hAnsi="Arial" w:cs="Arial"/>
        </w:rPr>
        <w:t>RNA-sequencing on cultured normal human lung fibroblasts was</w:t>
      </w:r>
      <w:r w:rsidR="006C6515">
        <w:rPr>
          <w:rFonts w:ascii="Arial" w:hAnsi="Arial" w:cs="Arial"/>
        </w:rPr>
        <w:t xml:space="preserve"> conducted by the Beijing Genome Institute (Shenzhen, China). </w:t>
      </w:r>
      <w:r w:rsidRPr="00386B8F">
        <w:rPr>
          <w:rFonts w:ascii="Arial" w:hAnsi="Arial" w:cs="Arial"/>
        </w:rPr>
        <w:t>Differential expression analysis was performed by a trained biostatistician</w:t>
      </w:r>
      <w:r w:rsidR="00C00F44">
        <w:rPr>
          <w:rFonts w:ascii="Arial" w:hAnsi="Arial" w:cs="Arial"/>
        </w:rPr>
        <w:t xml:space="preserve"> and</w:t>
      </w:r>
      <w:r w:rsidR="00640100" w:rsidRPr="00386B8F">
        <w:rPr>
          <w:rFonts w:ascii="Arial" w:hAnsi="Arial" w:cs="Arial"/>
        </w:rPr>
        <w:t xml:space="preserve"> </w:t>
      </w:r>
      <w:r w:rsidR="00C00F44">
        <w:rPr>
          <w:rFonts w:ascii="Arial" w:hAnsi="Arial" w:cs="Arial"/>
        </w:rPr>
        <w:t xml:space="preserve">differential expression </w:t>
      </w:r>
      <w:r w:rsidR="00640100" w:rsidRPr="00386B8F">
        <w:rPr>
          <w:rFonts w:ascii="Arial" w:hAnsi="Arial" w:cs="Arial"/>
        </w:rPr>
        <w:t xml:space="preserve">was determined using the DESeq2 algorithm </w:t>
      </w:r>
      <w:r w:rsidR="00FE7A77" w:rsidRPr="00386B8F">
        <w:rPr>
          <w:rFonts w:ascii="Arial" w:hAnsi="Arial" w:cs="Arial"/>
        </w:rPr>
        <w:fldChar w:fldCharType="begin"/>
      </w:r>
      <w:r w:rsidR="00C4021D">
        <w:rPr>
          <w:rFonts w:ascii="Arial" w:hAnsi="Arial" w:cs="Arial"/>
        </w:rPr>
        <w:instrText xml:space="preserve"> ADDIN EN.CITE &lt;EndNote&gt;&lt;Cite&gt;&lt;Author&gt;Love&lt;/Author&gt;&lt;Year&gt;2014&lt;/Year&gt;&lt;RecNum&gt;55&lt;/RecNum&gt;&lt;DisplayText&gt;(3)&lt;/DisplayText&gt;&lt;record&gt;&lt;rec-number&gt;55&lt;/rec-number&gt;&lt;foreign-keys&gt;&lt;key app="EN" db-id="rtp5rs5sx5fvxlezfe4pfe9b9rv5d5zp92tp" timestamp="1663172685"&gt;55&lt;/key&gt;&lt;/foreign-keys&gt;&lt;ref-type name="Journal Article"&gt;17&lt;/ref-type&gt;&lt;contributors&gt;&lt;authors&gt;&lt;author&gt;Love, M. I.&lt;/author&gt;&lt;author&gt;Huber, W.&lt;/author&gt;&lt;author&gt;Anders, S.&lt;/author&gt;&lt;/authors&gt;&lt;/contributors&gt;&lt;titles&gt;&lt;title&gt;Moderated estimation of fold change and dispersion for RNA-seq data with DESeq2&lt;/title&gt;&lt;secondary-title&gt;Genome Biol&lt;/secondary-title&gt;&lt;/titles&gt;&lt;periodical&gt;&lt;full-title&gt;Genome Biol&lt;/full-title&gt;&lt;/periodical&gt;&lt;pages&gt;550&lt;/pages&gt;&lt;volume&gt;15&lt;/volume&gt;&lt;number&gt;12&lt;/number&gt;&lt;edition&gt;2014/12/18&lt;/edition&gt;&lt;keywords&gt;&lt;keyword&gt;Algorithms&lt;/keyword&gt;&lt;keyword&gt;Computational Biology/*methods&lt;/keyword&gt;&lt;keyword&gt;High-Throughput Nucleotide Sequencing&lt;/keyword&gt;&lt;keyword&gt;Models, Genetic&lt;/keyword&gt;&lt;keyword&gt;RNA/*analysis&lt;/keyword&gt;&lt;keyword&gt;Sequence Analysis, RNA&lt;/keyword&gt;&lt;keyword&gt;*Software&lt;/keyword&gt;&lt;/keywords&gt;&lt;dates&gt;&lt;year&gt;2014&lt;/year&gt;&lt;/dates&gt;&lt;isbn&gt;1474-760X (Electronic)&amp;#xD;1474-7596 (Linking)&lt;/isbn&gt;&lt;accession-num&gt;25516281&lt;/accession-num&gt;&lt;urls&gt;&lt;related-urls&gt;&lt;url&gt;https://www.ncbi.nlm.nih.gov/pubmed/25516281&lt;/url&gt;&lt;/related-urls&gt;&lt;/urls&gt;&lt;custom2&gt;PMC4302049&lt;/custom2&gt;&lt;electronic-resource-num&gt;10.1186/s13059-014-0550-8&lt;/electronic-resource-num&gt;&lt;/record&gt;&lt;/Cite&gt;&lt;/EndNote&gt;</w:instrText>
      </w:r>
      <w:r w:rsidR="00FE7A77" w:rsidRPr="00386B8F">
        <w:rPr>
          <w:rFonts w:ascii="Arial" w:hAnsi="Arial" w:cs="Arial"/>
        </w:rPr>
        <w:fldChar w:fldCharType="separate"/>
      </w:r>
      <w:r w:rsidR="00C4021D">
        <w:rPr>
          <w:rFonts w:ascii="Arial" w:hAnsi="Arial" w:cs="Arial"/>
          <w:noProof/>
        </w:rPr>
        <w:t>(3)</w:t>
      </w:r>
      <w:r w:rsidR="00FE7A77" w:rsidRPr="00386B8F">
        <w:rPr>
          <w:rFonts w:ascii="Arial" w:hAnsi="Arial" w:cs="Arial"/>
        </w:rPr>
        <w:fldChar w:fldCharType="end"/>
      </w:r>
      <w:r w:rsidR="00FE7A77" w:rsidRPr="00386B8F">
        <w:rPr>
          <w:rFonts w:ascii="Arial" w:hAnsi="Arial" w:cs="Arial"/>
        </w:rPr>
        <w:t>. Genes were considered differentially expressed if they had a Benjamini-Hochberg-adjusted p-value less than .05 and an absolute log-2 fold-change greater than 1.</w:t>
      </w:r>
      <w:r w:rsidR="00386B8F" w:rsidRPr="00386B8F">
        <w:rPr>
          <w:rFonts w:ascii="Arial" w:hAnsi="Arial" w:cs="Arial"/>
        </w:rPr>
        <w:t xml:space="preserve"> Venn diagrams were prepared using the webtool Venny (</w:t>
      </w:r>
      <w:hyperlink r:id="rId5" w:history="1">
        <w:r w:rsidR="00386B8F" w:rsidRPr="00386B8F">
          <w:rPr>
            <w:rStyle w:val="Hyperlink"/>
            <w:rFonts w:ascii="Arial" w:hAnsi="Arial" w:cs="Arial"/>
          </w:rPr>
          <w:t>https://bioinfogp.cnb.csic.es/tools/venny/index.html</w:t>
        </w:r>
      </w:hyperlink>
      <w:r w:rsidR="00386B8F" w:rsidRPr="00386B8F">
        <w:rPr>
          <w:rFonts w:ascii="Arial" w:hAnsi="Arial" w:cs="Arial"/>
        </w:rPr>
        <w:t>). Heatmaps were prepared using Morpheus (</w:t>
      </w:r>
      <w:hyperlink r:id="rId6" w:history="1">
        <w:r w:rsidR="00386B8F" w:rsidRPr="00386B8F">
          <w:rPr>
            <w:rStyle w:val="Hyperlink"/>
            <w:rFonts w:ascii="Arial" w:hAnsi="Arial" w:cs="Arial"/>
            <w:shd w:val="clear" w:color="auto" w:fill="FFFFFF"/>
          </w:rPr>
          <w:t>https://software.broadinstitute.org/morpheus</w:t>
        </w:r>
      </w:hyperlink>
      <w:r w:rsidR="00386B8F" w:rsidRPr="00386B8F">
        <w:rPr>
          <w:rFonts w:ascii="Arial" w:hAnsi="Arial" w:cs="Arial"/>
          <w:color w:val="333333"/>
          <w:shd w:val="clear" w:color="auto" w:fill="FFFFFF"/>
        </w:rPr>
        <w:t>).</w:t>
      </w:r>
    </w:p>
    <w:p w14:paraId="6DA7BEA8" w14:textId="1FC4BB51" w:rsidR="00B37E04" w:rsidRDefault="00B37E04" w:rsidP="002E03E0">
      <w:pPr>
        <w:rPr>
          <w:rFonts w:ascii="Arial" w:hAnsi="Arial" w:cs="Arial"/>
        </w:rPr>
      </w:pPr>
      <w:r>
        <w:rPr>
          <w:rFonts w:ascii="Arial" w:hAnsi="Arial" w:cs="Arial"/>
          <w:b/>
          <w:bCs/>
        </w:rPr>
        <w:t>Pathway enrichment analysis</w:t>
      </w:r>
    </w:p>
    <w:p w14:paraId="5952CDC5" w14:textId="4E6E92E4" w:rsidR="00B37E04" w:rsidRPr="00B37E04" w:rsidRDefault="00B37E04" w:rsidP="00A800D6">
      <w:pPr>
        <w:ind w:firstLine="720"/>
        <w:rPr>
          <w:rFonts w:ascii="Arial" w:hAnsi="Arial" w:cs="Arial"/>
        </w:rPr>
      </w:pPr>
      <w:r>
        <w:rPr>
          <w:rFonts w:ascii="Arial" w:hAnsi="Arial" w:cs="Arial"/>
        </w:rPr>
        <w:t>Pathway enrichment analysis was conducted using Qiagen’s Ingenuity Pathway Analysis (IPA) software</w:t>
      </w:r>
      <w:r w:rsidR="00EE2070">
        <w:rPr>
          <w:rFonts w:ascii="Arial" w:hAnsi="Arial" w:cs="Arial"/>
        </w:rPr>
        <w:t xml:space="preserve">. Genes differentially expressed in either direction were used for this analysis, which accounts for the magnitude of the fold-change of individual genes. Upstream regulators were predicted in IPA software and filtered to display only biologic regulators (i.e. genes, mRNAs, and proteins). Kyoto Encyclopedia of Genes and Genomes (KEGG) pathway </w:t>
      </w:r>
      <w:r w:rsidR="00047491">
        <w:rPr>
          <w:rFonts w:ascii="Arial" w:hAnsi="Arial" w:cs="Arial"/>
        </w:rPr>
        <w:t>and gene ontology (GO) enrichment analysis were</w:t>
      </w:r>
      <w:r w:rsidR="00EE2070">
        <w:rPr>
          <w:rFonts w:ascii="Arial" w:hAnsi="Arial" w:cs="Arial"/>
        </w:rPr>
        <w:t xml:space="preserve"> conducted using </w:t>
      </w:r>
      <w:r w:rsidR="00047491">
        <w:rPr>
          <w:rFonts w:ascii="Arial" w:hAnsi="Arial" w:cs="Arial"/>
        </w:rPr>
        <w:t xml:space="preserve">the </w:t>
      </w:r>
      <w:r w:rsidR="00047491" w:rsidRPr="00047491">
        <w:rPr>
          <w:rFonts w:ascii="Arial" w:hAnsi="Arial" w:cs="Arial"/>
        </w:rPr>
        <w:t xml:space="preserve">Database for Annotation, Visualization and Integrated Discovery (DAVID) </w:t>
      </w:r>
      <w:r w:rsidR="00EE2070">
        <w:rPr>
          <w:rFonts w:ascii="Arial" w:hAnsi="Arial" w:cs="Arial"/>
        </w:rPr>
        <w:fldChar w:fldCharType="begin"/>
      </w:r>
      <w:r w:rsidR="00C4021D">
        <w:rPr>
          <w:rFonts w:ascii="Arial" w:hAnsi="Arial" w:cs="Arial"/>
        </w:rPr>
        <w:instrText xml:space="preserve"> ADDIN EN.CITE &lt;EndNote&gt;&lt;Cite&gt;&lt;Author&gt;Huang da&lt;/Author&gt;&lt;Year&gt;2009&lt;/Year&gt;&lt;RecNum&gt;56&lt;/RecNum&gt;&lt;DisplayText&gt;(4)&lt;/DisplayText&gt;&lt;record&gt;&lt;rec-number&gt;56&lt;/rec-number&gt;&lt;foreign-keys&gt;&lt;key app="EN" db-id="rtp5rs5sx5fvxlezfe4pfe9b9rv5d5zp92tp" timestamp="1663178158"&gt;56&lt;/key&gt;&lt;/foreign-keys&gt;&lt;ref-type name="Journal Article"&gt;17&lt;/ref-type&gt;&lt;contributors&gt;&lt;authors&gt;&lt;author&gt;Huang da, W.&lt;/author&gt;&lt;author&gt;Sherman, B. T.&lt;/author&gt;&lt;author&gt;Lempicki, R. A.&lt;/author&gt;&lt;/authors&gt;&lt;/contributors&gt;&lt;auth-address&gt;Laboratory of Immunopathogenesis and Bioinformatics, Clinical Services Program, SAIC-Frederick Inc., National Cancer Institute at Frederick, Frederick, Maryland 21702, USA.&lt;/auth-address&gt;&lt;titles&gt;&lt;title&gt;Systematic and integrative analysis of large gene lists using DAVID bioinformatics resources&lt;/title&gt;&lt;secondary-title&gt;Nat Protoc&lt;/secondary-title&gt;&lt;/titles&gt;&lt;periodical&gt;&lt;full-title&gt;Nat Protoc&lt;/full-title&gt;&lt;/periodical&gt;&lt;pages&gt;44-57&lt;/pages&gt;&lt;volume&gt;4&lt;/volume&gt;&lt;number&gt;1&lt;/number&gt;&lt;edition&gt;2009/01/10&lt;/edition&gt;&lt;keywords&gt;&lt;keyword&gt;Computational Biology/*methods&lt;/keyword&gt;&lt;keyword&gt;Data Interpretation, Statistical&lt;/keyword&gt;&lt;keyword&gt;Genes/*genetics&lt;/keyword&gt;&lt;keyword&gt;Genomics/*methods&lt;/keyword&gt;&lt;keyword&gt;*Internet&lt;/keyword&gt;&lt;keyword&gt;*Software&lt;/keyword&gt;&lt;/keywords&gt;&lt;dates&gt;&lt;year&gt;2009&lt;/year&gt;&lt;/dates&gt;&lt;isbn&gt;1750-2799 (Electronic)&amp;#xD;1750-2799 (Linking)&lt;/isbn&gt;&lt;accession-num&gt;19131956&lt;/accession-num&gt;&lt;urls&gt;&lt;related-urls&gt;&lt;url&gt;https://www.ncbi.nlm.nih.gov/pubmed/19131956&lt;/url&gt;&lt;/related-urls&gt;&lt;/urls&gt;&lt;electronic-resource-num&gt;10.1038/nprot.2008.211&lt;/electronic-resource-num&gt;&lt;/record&gt;&lt;/Cite&gt;&lt;/EndNote&gt;</w:instrText>
      </w:r>
      <w:r w:rsidR="00EE2070">
        <w:rPr>
          <w:rFonts w:ascii="Arial" w:hAnsi="Arial" w:cs="Arial"/>
        </w:rPr>
        <w:fldChar w:fldCharType="separate"/>
      </w:r>
      <w:r w:rsidR="00C4021D">
        <w:rPr>
          <w:rFonts w:ascii="Arial" w:hAnsi="Arial" w:cs="Arial"/>
          <w:noProof/>
        </w:rPr>
        <w:t>(4)</w:t>
      </w:r>
      <w:r w:rsidR="00EE2070">
        <w:rPr>
          <w:rFonts w:ascii="Arial" w:hAnsi="Arial" w:cs="Arial"/>
        </w:rPr>
        <w:fldChar w:fldCharType="end"/>
      </w:r>
      <w:r w:rsidR="00047491">
        <w:rPr>
          <w:rFonts w:ascii="Arial" w:hAnsi="Arial" w:cs="Arial"/>
        </w:rPr>
        <w:t xml:space="preserve">. </w:t>
      </w:r>
    </w:p>
    <w:p w14:paraId="6F7BF476" w14:textId="175E758F" w:rsidR="00465B7D" w:rsidRDefault="0071162C" w:rsidP="002E03E0">
      <w:pPr>
        <w:rPr>
          <w:rFonts w:ascii="Arial" w:hAnsi="Arial" w:cs="Arial"/>
          <w:b/>
          <w:bCs/>
        </w:rPr>
      </w:pPr>
      <w:r>
        <w:rPr>
          <w:rFonts w:ascii="Arial" w:hAnsi="Arial" w:cs="Arial"/>
          <w:b/>
          <w:bCs/>
        </w:rPr>
        <w:t>Motif enrichment prediction</w:t>
      </w:r>
    </w:p>
    <w:p w14:paraId="1DD0A01B" w14:textId="14C68F0B" w:rsidR="0071162C" w:rsidRPr="0071162C" w:rsidRDefault="00640100" w:rsidP="00A800D6">
      <w:pPr>
        <w:ind w:firstLine="720"/>
        <w:rPr>
          <w:rFonts w:ascii="Arial" w:hAnsi="Arial" w:cs="Arial"/>
        </w:rPr>
      </w:pPr>
      <w:r>
        <w:rPr>
          <w:rFonts w:ascii="Arial" w:hAnsi="Arial" w:cs="Arial"/>
        </w:rPr>
        <w:t xml:space="preserve">Motif enrichment prediction was performed on RNA-sequencing data using iRegulon </w:t>
      </w:r>
      <w:r>
        <w:rPr>
          <w:rFonts w:ascii="Arial" w:hAnsi="Arial" w:cs="Arial"/>
        </w:rPr>
        <w:fldChar w:fldCharType="begin">
          <w:fldData xml:space="preserve">PEVuZE5vdGU+PENpdGU+PEF1dGhvcj5KYW5reTwvQXV0aG9yPjxZZWFyPjIwMTQ8L1llYXI+PFJl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</w:fldData>
        </w:fldChar>
      </w:r>
      <w:r w:rsidR="00C4021D">
        <w:rPr>
          <w:rFonts w:ascii="Arial" w:hAnsi="Arial" w:cs="Arial"/>
        </w:rPr>
        <w:instrText xml:space="preserve"> ADDIN EN.CITE </w:instrText>
      </w:r>
      <w:r w:rsidR="00C4021D">
        <w:rPr>
          <w:rFonts w:ascii="Arial" w:hAnsi="Arial" w:cs="Arial"/>
        </w:rPr>
        <w:fldChar w:fldCharType="begin">
          <w:fldData xml:space="preserve">PEVuZE5vdGU+PENpdGU+PEF1dGhvcj5KYW5reTwvQXV0aG9yPjxZZWFyPjIwMTQ8L1llYXI+PFJl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</w:fldData>
        </w:fldChar>
      </w:r>
      <w:r w:rsidR="00C4021D">
        <w:rPr>
          <w:rFonts w:ascii="Arial" w:hAnsi="Arial" w:cs="Arial"/>
        </w:rPr>
        <w:instrText xml:space="preserve"> ADDIN EN.CITE.DATA </w:instrText>
      </w:r>
      <w:r w:rsidR="00C4021D">
        <w:rPr>
          <w:rFonts w:ascii="Arial" w:hAnsi="Arial" w:cs="Arial"/>
        </w:rPr>
      </w:r>
      <w:r w:rsidR="00C4021D">
        <w:rPr>
          <w:rFonts w:ascii="Arial" w:hAnsi="Arial" w:cs="Arial"/>
        </w:rPr>
        <w:fldChar w:fldCharType="end"/>
      </w:r>
      <w:r>
        <w:rPr>
          <w:rFonts w:ascii="Arial" w:hAnsi="Arial" w:cs="Arial"/>
        </w:rPr>
      </w:r>
      <w:r>
        <w:rPr>
          <w:rFonts w:ascii="Arial" w:hAnsi="Arial" w:cs="Arial"/>
        </w:rPr>
        <w:fldChar w:fldCharType="separate"/>
      </w:r>
      <w:r w:rsidR="00C4021D">
        <w:rPr>
          <w:rFonts w:ascii="Arial" w:hAnsi="Arial" w:cs="Arial"/>
          <w:noProof/>
        </w:rPr>
        <w:t>(5)</w:t>
      </w:r>
      <w:r>
        <w:rPr>
          <w:rFonts w:ascii="Arial" w:hAnsi="Arial" w:cs="Arial"/>
        </w:rPr>
        <w:fldChar w:fldCharType="end"/>
      </w:r>
      <w:r>
        <w:rPr>
          <w:rFonts w:ascii="Arial" w:hAnsi="Arial" w:cs="Arial"/>
        </w:rPr>
        <w:t>, a</w:t>
      </w:r>
      <w:r w:rsidR="000B3CBC">
        <w:rPr>
          <w:rFonts w:ascii="Arial" w:hAnsi="Arial" w:cs="Arial"/>
        </w:rPr>
        <w:t xml:space="preserve">n add-on </w:t>
      </w:r>
      <w:r>
        <w:rPr>
          <w:rFonts w:ascii="Arial" w:hAnsi="Arial" w:cs="Arial"/>
        </w:rPr>
        <w:t xml:space="preserve">for the software Cytoscape </w:t>
      </w:r>
      <w:r>
        <w:rPr>
          <w:rFonts w:ascii="Arial" w:hAnsi="Arial" w:cs="Arial"/>
        </w:rPr>
        <w:fldChar w:fldCharType="begin"/>
      </w:r>
      <w:r w:rsidR="00C4021D">
        <w:rPr>
          <w:rFonts w:ascii="Arial" w:hAnsi="Arial" w:cs="Arial"/>
        </w:rPr>
        <w:instrText xml:space="preserve"> ADDIN EN.CITE &lt;EndNote&gt;&lt;Cite&gt;&lt;Author&gt;Shannon&lt;/Author&gt;&lt;Year&gt;2003&lt;/Year&gt;&lt;RecNum&gt;54&lt;/RecNum&gt;&lt;DisplayText&gt;(6)&lt;/DisplayText&gt;&lt;record&gt;&lt;rec-number&gt;54&lt;/rec-number&gt;&lt;foreign-keys&gt;&lt;key app="EN" db-id="rtp5rs5sx5fvxlezfe4pfe9b9rv5d5zp92tp" timestamp="1663172528"&gt;54&lt;/key&gt;&lt;/foreign-keys&gt;&lt;ref-type name="Journal Article"&gt;17&lt;/ref-type&gt;&lt;contributors&gt;&lt;authors&gt;&lt;author&gt;Shannon, P.&lt;/author&gt;&lt;author&gt;Markiel, A.&lt;/author&gt;&lt;author&gt;Ozier, O.&lt;/author&gt;&lt;author&gt;Baliga, N. S.&lt;/author&gt;&lt;author&gt;Wang, J. T.&lt;/author&gt;&lt;author&gt;Ramage, D.&lt;/author&gt;&lt;author&gt;Amin, N.&lt;/author&gt;&lt;author&gt;Schwikowski, B.&lt;/author&gt;&lt;author&gt;Ideker, T.&lt;/author&gt;&lt;/authors&gt;&lt;/contributors&gt;&lt;auth-address&gt;Institute for Systems Biology, Seattle, Washington 98103, USA.&lt;/auth-address&gt;&lt;titles&gt;&lt;title&gt;Cytoscape: a software environment for integrated models of biomolecular interaction networks&lt;/title&gt;&lt;secondary-title&gt;Genome Res&lt;/secondary-title&gt;&lt;/titles&gt;&lt;periodical&gt;&lt;full-title&gt;Genome Res&lt;/full-title&gt;&lt;/periodical&gt;&lt;pages&gt;2498-504&lt;/pages&gt;&lt;volume&gt;13&lt;/volume&gt;&lt;number&gt;11&lt;/number&gt;&lt;edition&gt;2003/11/05&lt;/edition&gt;&lt;keywords&gt;&lt;keyword&gt;Algorithms&lt;/keyword&gt;&lt;keyword&gt;Archaeal Proteins/chemistry/metabolism&lt;/keyword&gt;&lt;keyword&gt;Bacteriophage lambda/physiology&lt;/keyword&gt;&lt;keyword&gt;Computational Biology/*methods&lt;/keyword&gt;&lt;keyword&gt;Halobacterium/chemistry/cytology/physiology&lt;/keyword&gt;&lt;keyword&gt;Internet&lt;/keyword&gt;&lt;keyword&gt;*Models, Biological&lt;/keyword&gt;&lt;keyword&gt;*Neural Networks, Computer&lt;/keyword&gt;&lt;keyword&gt;Phenotype&lt;/keyword&gt;&lt;keyword&gt;Software/*trends&lt;/keyword&gt;&lt;keyword&gt;*Software Design&lt;/keyword&gt;&lt;keyword&gt;Stochastic Processes&lt;/keyword&gt;&lt;/keywords&gt;&lt;dates&gt;&lt;year&gt;2003&lt;/year&gt;&lt;pub-dates&gt;&lt;date&gt;Nov&lt;/date&gt;&lt;/pub-dates&gt;&lt;/dates&gt;&lt;isbn&gt;1088-9051 (Print)&amp;#xD;1088-9051 (Linking)&lt;/isbn&gt;&lt;accession-num&gt;14597658&lt;/accession-num&gt;&lt;urls&gt;&lt;related-urls&gt;&lt;url&gt;https://www.ncbi.nlm.nih.gov/pubmed/14597658&lt;/url&gt;&lt;/related-urls&gt;&lt;/urls&gt;&lt;custom2&gt;PMC403769&lt;/custom2&gt;&lt;electronic-resource-num&gt;10.1101/gr.1239303&lt;/electronic-resource-num&gt;&lt;/record&gt;&lt;/Cite&gt;&lt;/EndNote&gt;</w:instrText>
      </w:r>
      <w:r>
        <w:rPr>
          <w:rFonts w:ascii="Arial" w:hAnsi="Arial" w:cs="Arial"/>
        </w:rPr>
        <w:fldChar w:fldCharType="separate"/>
      </w:r>
      <w:r w:rsidR="00C4021D">
        <w:rPr>
          <w:rFonts w:ascii="Arial" w:hAnsi="Arial" w:cs="Arial"/>
          <w:noProof/>
        </w:rPr>
        <w:t>(6)</w:t>
      </w:r>
      <w:r>
        <w:rPr>
          <w:rFonts w:ascii="Arial" w:hAnsi="Arial" w:cs="Arial"/>
        </w:rPr>
        <w:fldChar w:fldCharType="end"/>
      </w:r>
      <w:r w:rsidR="00B37E04">
        <w:rPr>
          <w:rFonts w:ascii="Arial" w:hAnsi="Arial" w:cs="Arial"/>
        </w:rPr>
        <w:t xml:space="preserve"> </w:t>
      </w:r>
      <w:r>
        <w:rPr>
          <w:rFonts w:ascii="Arial" w:hAnsi="Arial" w:cs="Arial"/>
        </w:rPr>
        <w:t xml:space="preserve"> </w:t>
      </w:r>
      <w:r w:rsidR="00F12794">
        <w:rPr>
          <w:rFonts w:ascii="Arial" w:hAnsi="Arial" w:cs="Arial"/>
        </w:rPr>
        <w:t>Enriched motifs associated with either bleomycin, pneumonectomy, or ITPKC overexpression were predicted using significantly up-regulated genes compared to sham or control.</w:t>
      </w:r>
    </w:p>
    <w:p w14:paraId="4076FB04" w14:textId="2813D5C9" w:rsidR="002E03E0" w:rsidRPr="002E03E0" w:rsidRDefault="002E03E0" w:rsidP="002E03E0">
      <w:pPr>
        <w:rPr>
          <w:rFonts w:ascii="Arial" w:hAnsi="Arial" w:cs="Arial"/>
          <w:b/>
          <w:bCs/>
        </w:rPr>
      </w:pPr>
      <w:r w:rsidRPr="002E03E0">
        <w:rPr>
          <w:rFonts w:ascii="Arial" w:hAnsi="Arial" w:cs="Arial"/>
          <w:b/>
          <w:bCs/>
        </w:rPr>
        <w:t>Cell culture and quantitative real-time PCR</w:t>
      </w:r>
    </w:p>
    <w:p w14:paraId="5B1CC8BE" w14:textId="048DE7D4" w:rsidR="002E03E0" w:rsidRPr="002E03E0" w:rsidRDefault="002E03E0" w:rsidP="00A800D6">
      <w:pPr>
        <w:ind w:firstLine="720"/>
        <w:rPr>
          <w:rFonts w:ascii="Arial" w:hAnsi="Arial" w:cs="Arial"/>
        </w:rPr>
      </w:pPr>
      <w:r w:rsidRPr="002E03E0">
        <w:rPr>
          <w:rFonts w:ascii="Arial" w:hAnsi="Arial" w:cs="Arial"/>
        </w:rPr>
        <w:t>Primary normal human lung fibroblasts (NHLFs) were kindly provided by Peter Bitterman and Craig Henke at the University of Minnesota under a protocol approved by the University of Minnesota Institutional Review Board. Cells were cultured in DMEM with 10% FBS and a 1% antimicrobial/antifungal solution. Transient transfection was performed using a Lipofectamine 3000 kit (Invitrogen) according to the manufacturer’s instructions.</w:t>
      </w:r>
      <w:r w:rsidR="00C53BBF">
        <w:rPr>
          <w:rFonts w:ascii="Arial" w:hAnsi="Arial" w:cs="Arial"/>
        </w:rPr>
        <w:t xml:space="preserve"> ITPKC was overexpressed using plasmid #134603 from Addgene </w:t>
      </w:r>
      <w:r w:rsidR="00C53BBF">
        <w:rPr>
          <w:rFonts w:ascii="Arial" w:hAnsi="Arial" w:cs="Arial"/>
        </w:rPr>
        <w:fldChar w:fldCharType="begin">
          <w:fldData xml:space="preserve">PEVuZE5vdGU+PENpdGU+PEF1dGhvcj5EZXdhc3RlPC9BdXRob3I+PFllYXI+MjAwMzwvWWVhcj48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=
</w:fldData>
        </w:fldChar>
      </w:r>
      <w:r w:rsidR="00C53BBF">
        <w:rPr>
          <w:rFonts w:ascii="Arial" w:hAnsi="Arial" w:cs="Arial"/>
        </w:rPr>
        <w:instrText xml:space="preserve"> ADDIN EN.CITE </w:instrText>
      </w:r>
      <w:r w:rsidR="00C53BBF">
        <w:rPr>
          <w:rFonts w:ascii="Arial" w:hAnsi="Arial" w:cs="Arial"/>
        </w:rPr>
        <w:fldChar w:fldCharType="begin">
          <w:fldData xml:space="preserve">PEVuZE5vdGU+PENpdGU+PEF1dGhvcj5EZXdhc3RlPC9BdXRob3I+PFllYXI+MjAwMzwvWWVhcj48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=
</w:fldData>
        </w:fldChar>
      </w:r>
      <w:r w:rsidR="00C53BBF">
        <w:rPr>
          <w:rFonts w:ascii="Arial" w:hAnsi="Arial" w:cs="Arial"/>
        </w:rPr>
        <w:instrText xml:space="preserve"> ADDIN EN.CITE.DATA </w:instrText>
      </w:r>
      <w:r w:rsidR="00C53BBF">
        <w:rPr>
          <w:rFonts w:ascii="Arial" w:hAnsi="Arial" w:cs="Arial"/>
        </w:rPr>
      </w:r>
      <w:r w:rsidR="00C53BBF">
        <w:rPr>
          <w:rFonts w:ascii="Arial" w:hAnsi="Arial" w:cs="Arial"/>
        </w:rPr>
        <w:fldChar w:fldCharType="end"/>
      </w:r>
      <w:r w:rsidR="00C53BBF">
        <w:rPr>
          <w:rFonts w:ascii="Arial" w:hAnsi="Arial" w:cs="Arial"/>
        </w:rPr>
      </w:r>
      <w:r w:rsidR="00C53BBF">
        <w:rPr>
          <w:rFonts w:ascii="Arial" w:hAnsi="Arial" w:cs="Arial"/>
        </w:rPr>
        <w:fldChar w:fldCharType="separate"/>
      </w:r>
      <w:r w:rsidR="00C53BBF">
        <w:rPr>
          <w:rFonts w:ascii="Arial" w:hAnsi="Arial" w:cs="Arial"/>
          <w:noProof/>
        </w:rPr>
        <w:t>(7)</w:t>
      </w:r>
      <w:r w:rsidR="00C53BBF">
        <w:rPr>
          <w:rFonts w:ascii="Arial" w:hAnsi="Arial" w:cs="Arial"/>
        </w:rPr>
        <w:fldChar w:fldCharType="end"/>
      </w:r>
      <w:r w:rsidR="00C53BBF">
        <w:rPr>
          <w:rFonts w:ascii="Arial" w:hAnsi="Arial" w:cs="Arial"/>
        </w:rPr>
        <w:t>.</w:t>
      </w:r>
      <w:r w:rsidRPr="002E03E0">
        <w:rPr>
          <w:rFonts w:ascii="Arial" w:hAnsi="Arial" w:cs="Arial"/>
        </w:rPr>
        <w:t xml:space="preserve"> Quantitative real-time PCR (qRT-PCR) was performed by isolating RNA from NHLFs and synthesizing complementary DNA using a SuperScript III cDNA synthesis kit (</w:t>
      </w:r>
      <w:r w:rsidR="00F431CB" w:rsidRPr="00F431CB">
        <w:rPr>
          <w:rFonts w:ascii="Arial" w:hAnsi="Arial" w:cs="Arial"/>
        </w:rPr>
        <w:t>Thermo Fisher</w:t>
      </w:r>
      <w:r w:rsidRPr="002E03E0">
        <w:rPr>
          <w:rFonts w:ascii="Arial" w:hAnsi="Arial" w:cs="Arial"/>
        </w:rPr>
        <w:t>).</w:t>
      </w:r>
      <w:r w:rsidR="00595C67">
        <w:rPr>
          <w:rFonts w:ascii="Arial" w:hAnsi="Arial" w:cs="Arial"/>
        </w:rPr>
        <w:t xml:space="preserve"> Recombinant human TGF-β1 (R&amp;D Systems, Minneapolis, MN, USA, #240-B-002/CF) was added at a final concentration of 10ng/ml</w:t>
      </w:r>
      <w:r w:rsidR="00BA573F">
        <w:rPr>
          <w:rFonts w:ascii="Arial" w:hAnsi="Arial" w:cs="Arial"/>
        </w:rPr>
        <w:t xml:space="preserve">. 2-APB (Tocris, Bristol, UK, #1224) was added at a concentration of 50µM. </w:t>
      </w:r>
      <w:r w:rsidR="008F11AE">
        <w:rPr>
          <w:rFonts w:ascii="Arial" w:hAnsi="Arial" w:cs="Arial"/>
        </w:rPr>
        <w:t xml:space="preserve">Thapsigargin (Tocris, #1138) was added at a concentration of </w:t>
      </w:r>
      <w:r w:rsidR="00CD53CE">
        <w:rPr>
          <w:rFonts w:ascii="Arial" w:hAnsi="Arial" w:cs="Arial"/>
        </w:rPr>
        <w:t>5µM.</w:t>
      </w:r>
    </w:p>
    <w:p w14:paraId="64EC9F87" w14:textId="397BB6E3" w:rsidR="002750EC" w:rsidRDefault="002750EC" w:rsidP="002E03E0">
      <w:pPr>
        <w:spacing w:line="240" w:lineRule="auto"/>
        <w:contextualSpacing/>
        <w:rPr>
          <w:rFonts w:ascii="Arial" w:hAnsi="Arial" w:cs="Arial"/>
          <w:b/>
          <w:bCs/>
        </w:rPr>
      </w:pPr>
      <w:r>
        <w:rPr>
          <w:rFonts w:ascii="Arial" w:hAnsi="Arial" w:cs="Arial"/>
          <w:b/>
          <w:bCs/>
        </w:rPr>
        <w:t>PCR primers</w:t>
      </w:r>
    </w:p>
    <w:p w14:paraId="5A240046" w14:textId="322B6728" w:rsidR="002750EC" w:rsidRDefault="002750EC" w:rsidP="002E03E0">
      <w:pPr>
        <w:spacing w:line="240" w:lineRule="auto"/>
        <w:contextualSpacing/>
        <w:rPr>
          <w:rFonts w:ascii="Arial" w:hAnsi="Arial" w:cs="Arial"/>
          <w:b/>
          <w:bCs/>
        </w:rPr>
      </w:pPr>
    </w:p>
    <w:p w14:paraId="46212852" w14:textId="2165365F" w:rsidR="002750EC" w:rsidRDefault="002E1CF3" w:rsidP="00A800D6">
      <w:pPr>
        <w:spacing w:line="240" w:lineRule="auto"/>
        <w:ind w:firstLine="720"/>
        <w:contextualSpacing/>
        <w:rPr>
          <w:rFonts w:ascii="Arial" w:hAnsi="Arial" w:cs="Arial"/>
        </w:rPr>
      </w:pPr>
      <w:r>
        <w:rPr>
          <w:rFonts w:ascii="Arial" w:hAnsi="Arial" w:cs="Arial"/>
        </w:rPr>
        <w:t>Primers were purchased from Integrated DNA Technologies.</w:t>
      </w:r>
      <w:r w:rsidR="00A34849">
        <w:rPr>
          <w:rFonts w:ascii="Arial" w:hAnsi="Arial" w:cs="Arial"/>
        </w:rPr>
        <w:t xml:space="preserve"> “F” indicates forward and “R” indicates reverse primer sequence.</w:t>
      </w:r>
    </w:p>
    <w:p w14:paraId="27E551F4" w14:textId="77777777" w:rsidR="002B5B3F" w:rsidRDefault="002B5B3F" w:rsidP="002E03E0">
      <w:pPr>
        <w:spacing w:line="240" w:lineRule="auto"/>
        <w:contextualSpacing/>
        <w:rPr>
          <w:rFonts w:ascii="Arial" w:hAnsi="Arial" w:cs="Arial"/>
        </w:rPr>
      </w:pPr>
    </w:p>
    <w:p w14:paraId="2D4E275E" w14:textId="7F3091A8" w:rsidR="00A34849" w:rsidRDefault="00A34849" w:rsidP="002E03E0">
      <w:pPr>
        <w:spacing w:line="240" w:lineRule="auto"/>
        <w:contextualSpacing/>
        <w:rPr>
          <w:rFonts w:ascii="Arial" w:hAnsi="Arial" w:cs="Arial"/>
        </w:rPr>
      </w:pPr>
      <w:r>
        <w:rPr>
          <w:rFonts w:ascii="Arial" w:hAnsi="Arial" w:cs="Arial"/>
        </w:rPr>
        <w:t xml:space="preserve">Human GAPDH-F: </w:t>
      </w:r>
      <w:r w:rsidRPr="00A34849">
        <w:rPr>
          <w:rFonts w:ascii="Arial" w:hAnsi="Arial" w:cs="Arial"/>
        </w:rPr>
        <w:t>AATGAAGGGGTCATTGATGG</w:t>
      </w:r>
    </w:p>
    <w:p w14:paraId="0550C4E2" w14:textId="631E02D8" w:rsidR="00A34849" w:rsidRDefault="00A34849" w:rsidP="002E03E0">
      <w:pPr>
        <w:spacing w:line="240" w:lineRule="auto"/>
        <w:contextualSpacing/>
        <w:rPr>
          <w:rFonts w:ascii="Arial" w:hAnsi="Arial" w:cs="Arial"/>
        </w:rPr>
      </w:pPr>
      <w:r>
        <w:rPr>
          <w:rFonts w:ascii="Arial" w:hAnsi="Arial" w:cs="Arial"/>
        </w:rPr>
        <w:t xml:space="preserve">Human GAPDH-R: </w:t>
      </w:r>
      <w:r w:rsidRPr="00A34849">
        <w:rPr>
          <w:rFonts w:ascii="Arial" w:hAnsi="Arial" w:cs="Arial"/>
        </w:rPr>
        <w:t>AAGGTGAAGGTCGGAGTCAA</w:t>
      </w:r>
    </w:p>
    <w:p w14:paraId="4FC5C2CA" w14:textId="77777777" w:rsidR="00A34849" w:rsidRDefault="00A34849" w:rsidP="002E03E0">
      <w:pPr>
        <w:spacing w:line="240" w:lineRule="auto"/>
        <w:contextualSpacing/>
        <w:rPr>
          <w:rFonts w:ascii="Arial" w:hAnsi="Arial" w:cs="Arial"/>
        </w:rPr>
      </w:pPr>
    </w:p>
    <w:p w14:paraId="2AF6A3FA" w14:textId="2A490EB3" w:rsidR="002E1CF3" w:rsidRDefault="002E1CF3" w:rsidP="002E03E0">
      <w:pPr>
        <w:spacing w:line="240" w:lineRule="auto"/>
        <w:contextualSpacing/>
        <w:rPr>
          <w:rFonts w:ascii="Arial" w:hAnsi="Arial" w:cs="Arial"/>
        </w:rPr>
      </w:pPr>
      <w:r>
        <w:rPr>
          <w:rFonts w:ascii="Arial" w:hAnsi="Arial" w:cs="Arial"/>
        </w:rPr>
        <w:t xml:space="preserve">Human COL1A1-F: </w:t>
      </w:r>
      <w:r w:rsidRPr="002E1CF3">
        <w:rPr>
          <w:rFonts w:ascii="Arial" w:hAnsi="Arial" w:cs="Arial"/>
        </w:rPr>
        <w:t>GAGGGCCAAGACGAAGACATC</w:t>
      </w:r>
    </w:p>
    <w:p w14:paraId="5E18F8D7" w14:textId="03D2A8CB" w:rsidR="002B5B3F" w:rsidRDefault="002B5B3F" w:rsidP="002E03E0">
      <w:pPr>
        <w:spacing w:line="240" w:lineRule="auto"/>
        <w:contextualSpacing/>
        <w:rPr>
          <w:rFonts w:ascii="Arial" w:hAnsi="Arial" w:cs="Arial"/>
        </w:rPr>
      </w:pPr>
      <w:r>
        <w:rPr>
          <w:rFonts w:ascii="Arial" w:hAnsi="Arial" w:cs="Arial"/>
        </w:rPr>
        <w:t xml:space="preserve">Human COL1A1-R: </w:t>
      </w:r>
      <w:r w:rsidRPr="002B5B3F">
        <w:rPr>
          <w:rFonts w:ascii="Arial" w:hAnsi="Arial" w:cs="Arial"/>
        </w:rPr>
        <w:t>CAGATCACGTCATCGCACAAC</w:t>
      </w:r>
    </w:p>
    <w:p w14:paraId="43A22353" w14:textId="6C3F7787" w:rsidR="002B5B3F" w:rsidRDefault="002B5B3F" w:rsidP="002E03E0">
      <w:pPr>
        <w:spacing w:line="240" w:lineRule="auto"/>
        <w:contextualSpacing/>
        <w:rPr>
          <w:rFonts w:ascii="Arial" w:hAnsi="Arial" w:cs="Arial"/>
        </w:rPr>
      </w:pPr>
    </w:p>
    <w:p w14:paraId="59D9774B" w14:textId="3B342BDA" w:rsidR="00A34849" w:rsidRDefault="00A34849" w:rsidP="002E03E0">
      <w:pPr>
        <w:spacing w:line="240" w:lineRule="auto"/>
        <w:contextualSpacing/>
        <w:rPr>
          <w:rFonts w:ascii="Arial" w:hAnsi="Arial" w:cs="Arial"/>
        </w:rPr>
      </w:pPr>
      <w:r>
        <w:rPr>
          <w:rFonts w:ascii="Arial" w:hAnsi="Arial" w:cs="Arial"/>
        </w:rPr>
        <w:t xml:space="preserve">Human ACTA2-F: </w:t>
      </w:r>
      <w:r w:rsidRPr="00A34849">
        <w:rPr>
          <w:rFonts w:ascii="Arial" w:hAnsi="Arial" w:cs="Arial"/>
        </w:rPr>
        <w:t>GTGTTGCCCCTGAAGAGCAT</w:t>
      </w:r>
    </w:p>
    <w:p w14:paraId="5B830C48" w14:textId="3A323466" w:rsidR="00A34849" w:rsidRDefault="00A34849" w:rsidP="002E03E0">
      <w:pPr>
        <w:spacing w:line="240" w:lineRule="auto"/>
        <w:contextualSpacing/>
        <w:rPr>
          <w:rFonts w:ascii="Arial" w:hAnsi="Arial" w:cs="Arial"/>
        </w:rPr>
      </w:pPr>
      <w:r>
        <w:rPr>
          <w:rFonts w:ascii="Arial" w:hAnsi="Arial" w:cs="Arial"/>
        </w:rPr>
        <w:t xml:space="preserve">Human ACTA2-R: </w:t>
      </w:r>
      <w:r w:rsidRPr="00A34849">
        <w:rPr>
          <w:rFonts w:ascii="Arial" w:hAnsi="Arial" w:cs="Arial"/>
        </w:rPr>
        <w:t>GCTGGGACATTGAAAGTCTCA</w:t>
      </w:r>
    </w:p>
    <w:p w14:paraId="69BC91AD" w14:textId="77777777" w:rsidR="00A34849" w:rsidRDefault="00A34849" w:rsidP="002E03E0">
      <w:pPr>
        <w:spacing w:line="240" w:lineRule="auto"/>
        <w:contextualSpacing/>
        <w:rPr>
          <w:rFonts w:ascii="Arial" w:hAnsi="Arial" w:cs="Arial"/>
        </w:rPr>
      </w:pPr>
    </w:p>
    <w:p w14:paraId="2153EB51" w14:textId="440A2277" w:rsidR="002B5B3F" w:rsidRDefault="002B5B3F" w:rsidP="002E03E0">
      <w:pPr>
        <w:spacing w:line="240" w:lineRule="auto"/>
        <w:contextualSpacing/>
        <w:rPr>
          <w:rFonts w:ascii="Arial" w:hAnsi="Arial" w:cs="Arial"/>
        </w:rPr>
      </w:pPr>
      <w:r>
        <w:rPr>
          <w:rFonts w:ascii="Arial" w:hAnsi="Arial" w:cs="Arial"/>
        </w:rPr>
        <w:t xml:space="preserve">Human CTGF-F: </w:t>
      </w:r>
      <w:r w:rsidRPr="002B5B3F">
        <w:rPr>
          <w:rFonts w:ascii="Arial" w:hAnsi="Arial" w:cs="Arial"/>
        </w:rPr>
        <w:t>CAGCATGGACGTTCGTCTG</w:t>
      </w:r>
    </w:p>
    <w:p w14:paraId="53D8F609" w14:textId="1160044B" w:rsidR="002B5B3F" w:rsidRDefault="002B5B3F" w:rsidP="002E03E0">
      <w:pPr>
        <w:spacing w:line="240" w:lineRule="auto"/>
        <w:contextualSpacing/>
        <w:rPr>
          <w:rFonts w:ascii="Arial" w:hAnsi="Arial" w:cs="Arial"/>
        </w:rPr>
      </w:pPr>
      <w:r>
        <w:rPr>
          <w:rFonts w:ascii="Arial" w:hAnsi="Arial" w:cs="Arial"/>
        </w:rPr>
        <w:t xml:space="preserve">Human CTGF-R: </w:t>
      </w:r>
      <w:r w:rsidRPr="002B5B3F">
        <w:rPr>
          <w:rFonts w:ascii="Arial" w:hAnsi="Arial" w:cs="Arial"/>
        </w:rPr>
        <w:t>AACCACGGTTTGGTCCTTGG</w:t>
      </w:r>
    </w:p>
    <w:p w14:paraId="2B917356" w14:textId="060265AA" w:rsidR="00A34849" w:rsidRDefault="00A34849" w:rsidP="002E03E0">
      <w:pPr>
        <w:spacing w:line="240" w:lineRule="auto"/>
        <w:contextualSpacing/>
        <w:rPr>
          <w:rFonts w:ascii="Arial" w:hAnsi="Arial" w:cs="Arial"/>
        </w:rPr>
      </w:pPr>
    </w:p>
    <w:p w14:paraId="2502DFCF" w14:textId="4D6358DA" w:rsidR="00A34849" w:rsidRDefault="00A34849" w:rsidP="002E03E0">
      <w:pPr>
        <w:spacing w:line="240" w:lineRule="auto"/>
        <w:contextualSpacing/>
        <w:rPr>
          <w:rFonts w:ascii="Arial" w:hAnsi="Arial" w:cs="Arial"/>
        </w:rPr>
      </w:pPr>
      <w:r>
        <w:rPr>
          <w:rFonts w:ascii="Arial" w:hAnsi="Arial" w:cs="Arial"/>
        </w:rPr>
        <w:t xml:space="preserve">Human FN1-F: </w:t>
      </w:r>
      <w:r w:rsidRPr="00A34849">
        <w:rPr>
          <w:rFonts w:ascii="Arial" w:hAnsi="Arial" w:cs="Arial"/>
        </w:rPr>
        <w:t>AGGAAGCCGAGGTTTTAACTG</w:t>
      </w:r>
    </w:p>
    <w:p w14:paraId="77549336" w14:textId="56F547D2" w:rsidR="00A34849" w:rsidRDefault="00A34849" w:rsidP="002E03E0">
      <w:pPr>
        <w:spacing w:line="240" w:lineRule="auto"/>
        <w:contextualSpacing/>
        <w:rPr>
          <w:rFonts w:ascii="Arial" w:hAnsi="Arial" w:cs="Arial"/>
        </w:rPr>
      </w:pPr>
      <w:r>
        <w:rPr>
          <w:rFonts w:ascii="Arial" w:hAnsi="Arial" w:cs="Arial"/>
        </w:rPr>
        <w:t xml:space="preserve">Human FN1-R: </w:t>
      </w:r>
      <w:r w:rsidRPr="00A34849">
        <w:rPr>
          <w:rFonts w:ascii="Arial" w:hAnsi="Arial" w:cs="Arial"/>
        </w:rPr>
        <w:t>AGGACGCTCATAAGTGTCACC</w:t>
      </w:r>
    </w:p>
    <w:p w14:paraId="60E07D8B" w14:textId="1F3D1FCE" w:rsidR="002B5B3F" w:rsidRDefault="002B5B3F" w:rsidP="002E03E0">
      <w:pPr>
        <w:spacing w:line="240" w:lineRule="auto"/>
        <w:contextualSpacing/>
        <w:rPr>
          <w:rFonts w:ascii="Arial" w:hAnsi="Arial" w:cs="Arial"/>
        </w:rPr>
      </w:pPr>
    </w:p>
    <w:p w14:paraId="06F9E14E" w14:textId="01EFC548" w:rsidR="002B5B3F" w:rsidRDefault="00A34849" w:rsidP="002E03E0">
      <w:pPr>
        <w:spacing w:line="240" w:lineRule="auto"/>
        <w:contextualSpacing/>
        <w:rPr>
          <w:rFonts w:ascii="Arial" w:hAnsi="Arial" w:cs="Arial"/>
        </w:rPr>
      </w:pPr>
      <w:r>
        <w:rPr>
          <w:rFonts w:ascii="Arial" w:hAnsi="Arial" w:cs="Arial"/>
        </w:rPr>
        <w:t xml:space="preserve">Human ITPKC-F: </w:t>
      </w:r>
      <w:r w:rsidRPr="00A34849">
        <w:rPr>
          <w:rFonts w:ascii="Arial" w:hAnsi="Arial" w:cs="Arial"/>
        </w:rPr>
        <w:t>TGGACACAACCTAGCACTGAC</w:t>
      </w:r>
    </w:p>
    <w:p w14:paraId="666FFEF8" w14:textId="08DB56FB" w:rsidR="00A34849" w:rsidRPr="002750EC" w:rsidRDefault="00A34849" w:rsidP="002E03E0">
      <w:pPr>
        <w:spacing w:line="240" w:lineRule="auto"/>
        <w:contextualSpacing/>
        <w:rPr>
          <w:rFonts w:ascii="Arial" w:hAnsi="Arial" w:cs="Arial"/>
        </w:rPr>
      </w:pPr>
      <w:r>
        <w:rPr>
          <w:rFonts w:ascii="Arial" w:hAnsi="Arial" w:cs="Arial"/>
        </w:rPr>
        <w:t xml:space="preserve">Human ITPKC-R: </w:t>
      </w:r>
      <w:r w:rsidRPr="00A34849">
        <w:rPr>
          <w:rFonts w:ascii="Arial" w:hAnsi="Arial" w:cs="Arial"/>
        </w:rPr>
        <w:t>TGGTTCCTCTAATGGGCCATC</w:t>
      </w:r>
    </w:p>
    <w:p w14:paraId="73339E48" w14:textId="77777777" w:rsidR="002750EC" w:rsidRDefault="002750EC" w:rsidP="002E03E0">
      <w:pPr>
        <w:spacing w:line="240" w:lineRule="auto"/>
        <w:contextualSpacing/>
        <w:rPr>
          <w:rFonts w:ascii="Arial" w:hAnsi="Arial" w:cs="Arial"/>
          <w:b/>
          <w:bCs/>
        </w:rPr>
      </w:pPr>
    </w:p>
    <w:p w14:paraId="0CCC82ED" w14:textId="64B0F1A8" w:rsidR="0071162C" w:rsidRDefault="002750EC" w:rsidP="002E03E0">
      <w:pPr>
        <w:spacing w:line="240" w:lineRule="auto"/>
        <w:contextualSpacing/>
        <w:rPr>
          <w:rFonts w:ascii="Arial" w:hAnsi="Arial" w:cs="Arial"/>
          <w:b/>
          <w:bCs/>
        </w:rPr>
      </w:pPr>
      <w:r>
        <w:rPr>
          <w:rFonts w:ascii="Arial" w:hAnsi="Arial" w:cs="Arial"/>
          <w:b/>
          <w:bCs/>
        </w:rPr>
        <w:t>Western blotting</w:t>
      </w:r>
    </w:p>
    <w:p w14:paraId="5C1B4A4A" w14:textId="53E5EA6B" w:rsidR="002750EC" w:rsidRDefault="002750EC" w:rsidP="002E03E0">
      <w:pPr>
        <w:spacing w:line="240" w:lineRule="auto"/>
        <w:contextualSpacing/>
        <w:rPr>
          <w:rFonts w:ascii="Arial" w:hAnsi="Arial" w:cs="Arial"/>
          <w:b/>
          <w:bCs/>
        </w:rPr>
      </w:pPr>
    </w:p>
    <w:p w14:paraId="365EEC81" w14:textId="13F349FF" w:rsidR="002750EC" w:rsidRPr="00E97492" w:rsidRDefault="00E97492" w:rsidP="002E03E0">
      <w:pPr>
        <w:spacing w:line="240" w:lineRule="auto"/>
        <w:contextualSpacing/>
        <w:rPr>
          <w:rFonts w:ascii="Arial" w:hAnsi="Arial" w:cs="Arial"/>
        </w:rPr>
      </w:pPr>
      <w:r>
        <w:rPr>
          <w:rFonts w:ascii="Arial" w:hAnsi="Arial" w:cs="Arial"/>
        </w:rPr>
        <w:t xml:space="preserve">Cells were lysed in RIPA buffer with Halt protease and phosphatase inhibitor cocktail (Thermo Fisher). Lysate protein concentration was measure using Pierce BCA protein assay kit (Thermo Fisher) and </w:t>
      </w:r>
      <w:r w:rsidR="008161F7">
        <w:rPr>
          <w:rFonts w:ascii="Arial" w:hAnsi="Arial" w:cs="Arial"/>
        </w:rPr>
        <w:t>10µg</w:t>
      </w:r>
      <w:r>
        <w:rPr>
          <w:rFonts w:ascii="Arial" w:hAnsi="Arial" w:cs="Arial"/>
        </w:rPr>
        <w:t xml:space="preserve"> of protein was run on 4-15% Mini-PROTEAN</w:t>
      </w:r>
      <w:r w:rsidRPr="00E97492">
        <w:rPr>
          <w:rFonts w:ascii="Arial" w:hAnsi="Arial" w:cs="Arial"/>
          <w:vertAlign w:val="superscript"/>
        </w:rPr>
        <w:t>®</w:t>
      </w:r>
      <w:r>
        <w:rPr>
          <w:rFonts w:ascii="Arial" w:hAnsi="Arial" w:cs="Arial"/>
        </w:rPr>
        <w:t xml:space="preserve"> TGX™ gels (Bio-Rad, Hercules). Proteins</w:t>
      </w:r>
      <w:r w:rsidR="009A5A7C">
        <w:rPr>
          <w:rFonts w:ascii="Arial" w:hAnsi="Arial" w:cs="Arial"/>
        </w:rPr>
        <w:t xml:space="preserve"> were transferred to PVDF membranes with Trans-Blot Turbo transfer system (Bio-Rad). PVDF membranes were then blocked for 1 hour at room temperature with 5% w/v nonfat dry milk in TBST. Membranes were probed with antibodies against COL1A1</w:t>
      </w:r>
      <w:r w:rsidR="00D521C0">
        <w:rPr>
          <w:rFonts w:ascii="Arial" w:hAnsi="Arial" w:cs="Arial"/>
        </w:rPr>
        <w:t xml:space="preserve"> (</w:t>
      </w:r>
      <w:r w:rsidR="00715638">
        <w:rPr>
          <w:rFonts w:ascii="Arial" w:hAnsi="Arial" w:cs="Arial"/>
        </w:rPr>
        <w:t>#</w:t>
      </w:r>
      <w:r w:rsidR="00D521C0">
        <w:rPr>
          <w:rFonts w:ascii="Arial" w:hAnsi="Arial" w:cs="Arial"/>
        </w:rPr>
        <w:t>NB600-408, Novus Biologicals, Littleton, CO, USA), α-SMA (</w:t>
      </w:r>
      <w:r w:rsidR="00715638">
        <w:rPr>
          <w:rFonts w:ascii="Arial" w:hAnsi="Arial" w:cs="Arial"/>
        </w:rPr>
        <w:t>#</w:t>
      </w:r>
      <w:r w:rsidR="00D521C0">
        <w:rPr>
          <w:rFonts w:ascii="Arial" w:hAnsi="Arial" w:cs="Arial"/>
        </w:rPr>
        <w:t xml:space="preserve">F3777, Sigma-Aldrich, St. Louis, MO, USA), and </w:t>
      </w:r>
      <w:r w:rsidR="0007029F" w:rsidRPr="00756426">
        <w:rPr>
          <w:rFonts w:ascii="Arial" w:hAnsi="Arial" w:cs="Arial"/>
        </w:rPr>
        <w:t>GAPDH (Cell Signaling Technology</w:t>
      </w:r>
      <w:r w:rsidR="0007029F">
        <w:rPr>
          <w:rFonts w:ascii="Arial" w:hAnsi="Arial" w:cs="Arial"/>
        </w:rPr>
        <w:t xml:space="preserve">) </w:t>
      </w:r>
      <w:r w:rsidR="00664C31">
        <w:rPr>
          <w:rFonts w:ascii="Arial" w:hAnsi="Arial" w:cs="Arial"/>
        </w:rPr>
        <w:t xml:space="preserve">overnight at 4ºC. Membranes were then </w:t>
      </w:r>
      <w:r w:rsidR="00CA0651">
        <w:rPr>
          <w:rFonts w:ascii="Arial" w:hAnsi="Arial" w:cs="Arial"/>
        </w:rPr>
        <w:t>incubated with HRP-conjugated secondary antibodies (</w:t>
      </w:r>
      <w:r w:rsidR="0007029F" w:rsidRPr="00756426">
        <w:rPr>
          <w:rFonts w:ascii="Arial" w:hAnsi="Arial" w:cs="Arial"/>
        </w:rPr>
        <w:t>Promega</w:t>
      </w:r>
      <w:r w:rsidR="00CA0651">
        <w:rPr>
          <w:rFonts w:ascii="Arial" w:hAnsi="Arial" w:cs="Arial"/>
        </w:rPr>
        <w:t>). Bands were detected using Super Signal West Pico Plus (Thermo Fisher) and imaged using a Bio-Rad ChemiDoc system.</w:t>
      </w:r>
    </w:p>
    <w:p w14:paraId="13958267" w14:textId="77777777" w:rsidR="002750EC" w:rsidRPr="00E97492" w:rsidRDefault="002750EC" w:rsidP="002E03E0">
      <w:pPr>
        <w:spacing w:line="240" w:lineRule="auto"/>
        <w:contextualSpacing/>
        <w:rPr>
          <w:rFonts w:ascii="Arial" w:hAnsi="Arial" w:cs="Arial"/>
          <w:b/>
          <w:bCs/>
        </w:rPr>
      </w:pPr>
    </w:p>
    <w:p w14:paraId="34B7147F" w14:textId="77777777" w:rsidR="00C53BBF" w:rsidRPr="00C53BBF" w:rsidRDefault="0071162C" w:rsidP="00C53BBF">
      <w:pPr>
        <w:pStyle w:val="EndNoteBibliography"/>
        <w:spacing w:after="0"/>
        <w:ind w:left="720" w:hanging="720"/>
      </w:pPr>
      <w:r>
        <w:rPr>
          <w:rFonts w:ascii="Arial" w:hAnsi="Arial" w:cs="Arial"/>
          <w:b/>
          <w:bCs/>
        </w:rPr>
        <w:fldChar w:fldCharType="begin"/>
      </w:r>
      <w:r>
        <w:rPr>
          <w:rFonts w:ascii="Arial" w:hAnsi="Arial" w:cs="Arial"/>
          <w:b/>
          <w:bCs/>
        </w:rPr>
        <w:instrText xml:space="preserve"> ADDIN EN.REFLIST </w:instrText>
      </w:r>
      <w:r>
        <w:rPr>
          <w:rFonts w:ascii="Arial" w:hAnsi="Arial" w:cs="Arial"/>
          <w:b/>
          <w:bCs/>
        </w:rPr>
        <w:fldChar w:fldCharType="separate"/>
      </w:r>
      <w:r w:rsidR="00C53BBF" w:rsidRPr="00C53BBF">
        <w:t xml:space="preserve">1. Liu S, Cimprich J, Varisco BM. Mouse pneumonectomy model of compensatory lung growth. </w:t>
      </w:r>
      <w:r w:rsidR="00C53BBF" w:rsidRPr="00C53BBF">
        <w:rPr>
          <w:i/>
        </w:rPr>
        <w:t xml:space="preserve">J Vis Exp </w:t>
      </w:r>
      <w:r w:rsidR="00C53BBF" w:rsidRPr="00C53BBF">
        <w:t>2014.</w:t>
      </w:r>
    </w:p>
    <w:p w14:paraId="3189E692" w14:textId="77777777" w:rsidR="00C53BBF" w:rsidRPr="00C53BBF" w:rsidRDefault="00C53BBF" w:rsidP="00C53BBF">
      <w:pPr>
        <w:pStyle w:val="EndNoteBibliography"/>
        <w:spacing w:after="0"/>
        <w:ind w:left="720" w:hanging="720"/>
      </w:pPr>
      <w:r w:rsidRPr="00C53BBF">
        <w:t xml:space="preserve">2. Haak AJ, Kostallari E, Sicard D, Ligresti G, Choi KM, Caporarello N, Jones DL, Tan Q, Meridew J, Diaz Espinosa AM, Aravamudhan A, Maiers JL, Britt RD, Jr., Roden AC, Pabelick CM, Prakash YS, Nouraie SM, Li X, Zhang Y, Kass DJ, Lagares D, Tager AM, Varelas X, Shah VH, Tschumperlin DJ. Selective YAP/TAZ inhibition in fibroblasts via dopamine receptor D1 agonism reverses fibrosis. </w:t>
      </w:r>
      <w:r w:rsidRPr="00C53BBF">
        <w:rPr>
          <w:i/>
        </w:rPr>
        <w:t xml:space="preserve">Sci Transl Med </w:t>
      </w:r>
      <w:r w:rsidRPr="00C53BBF">
        <w:t>2019; 11.</w:t>
      </w:r>
    </w:p>
    <w:p w14:paraId="6C0E7652" w14:textId="77777777" w:rsidR="00C53BBF" w:rsidRPr="00C53BBF" w:rsidRDefault="00C53BBF" w:rsidP="00C53BBF">
      <w:pPr>
        <w:pStyle w:val="EndNoteBibliography"/>
        <w:spacing w:after="0"/>
        <w:ind w:left="720" w:hanging="720"/>
      </w:pPr>
      <w:r w:rsidRPr="00C53BBF">
        <w:t xml:space="preserve">3. Love MI, Huber W, Anders S. Moderated estimation of fold change and dispersion for RNA-seq data with DESeq2. </w:t>
      </w:r>
      <w:r w:rsidRPr="00C53BBF">
        <w:rPr>
          <w:i/>
        </w:rPr>
        <w:t xml:space="preserve">Genome Biol </w:t>
      </w:r>
      <w:r w:rsidRPr="00C53BBF">
        <w:t>2014; 15: 550.</w:t>
      </w:r>
    </w:p>
    <w:p w14:paraId="1F343D3E" w14:textId="77777777" w:rsidR="00C53BBF" w:rsidRPr="00C53BBF" w:rsidRDefault="00C53BBF" w:rsidP="00C53BBF">
      <w:pPr>
        <w:pStyle w:val="EndNoteBibliography"/>
        <w:spacing w:after="0"/>
        <w:ind w:left="720" w:hanging="720"/>
      </w:pPr>
      <w:r w:rsidRPr="00C53BBF">
        <w:t xml:space="preserve">4. Huang da W, Sherman BT, Lempicki RA. Systematic and integrative analysis of large gene lists using DAVID bioinformatics resources. </w:t>
      </w:r>
      <w:r w:rsidRPr="00C53BBF">
        <w:rPr>
          <w:i/>
        </w:rPr>
        <w:t xml:space="preserve">Nat Protoc </w:t>
      </w:r>
      <w:r w:rsidRPr="00C53BBF">
        <w:t>2009; 4: 44-57.</w:t>
      </w:r>
    </w:p>
    <w:p w14:paraId="5D7CBF96" w14:textId="77777777" w:rsidR="00C53BBF" w:rsidRPr="00C53BBF" w:rsidRDefault="00C53BBF" w:rsidP="00C53BBF">
      <w:pPr>
        <w:pStyle w:val="EndNoteBibliography"/>
        <w:spacing w:after="0"/>
        <w:ind w:left="720" w:hanging="720"/>
      </w:pPr>
      <w:r w:rsidRPr="00C53BBF">
        <w:t xml:space="preserve">5. Janky R, Verfaillie A, Imrichova H, Van de Sande B, Standaert L, Christiaens V, Hulselmans G, Herten K, Naval Sanchez M, Potier D, Svetlichnyy D, Kalender Atak Z, Fiers M, Marine JC, Aerts S. iRegulon: from a gene list to a gene regulatory network using large motif and track collections. </w:t>
      </w:r>
      <w:r w:rsidRPr="00C53BBF">
        <w:rPr>
          <w:i/>
        </w:rPr>
        <w:t xml:space="preserve">PLoS Comput Biol </w:t>
      </w:r>
      <w:r w:rsidRPr="00C53BBF">
        <w:t>2014; 10: e1003731.</w:t>
      </w:r>
    </w:p>
    <w:p w14:paraId="40907517" w14:textId="77777777" w:rsidR="00C53BBF" w:rsidRPr="00C53BBF" w:rsidRDefault="00C53BBF" w:rsidP="00C53BBF">
      <w:pPr>
        <w:pStyle w:val="EndNoteBibliography"/>
        <w:spacing w:after="0"/>
        <w:ind w:left="720" w:hanging="720"/>
      </w:pPr>
      <w:r w:rsidRPr="00C53BBF">
        <w:t xml:space="preserve">6. Shannon P, Markiel A, Ozier O, Baliga NS, Wang JT, Ramage D, Amin N, Schwikowski B, Ideker T. Cytoscape: a software environment for integrated models of biomolecular interaction networks. </w:t>
      </w:r>
      <w:r w:rsidRPr="00C53BBF">
        <w:rPr>
          <w:i/>
        </w:rPr>
        <w:t xml:space="preserve">Genome Res </w:t>
      </w:r>
      <w:r w:rsidRPr="00C53BBF">
        <w:t>2003; 13: 2498-2504.</w:t>
      </w:r>
    </w:p>
    <w:p w14:paraId="4F6DF16C" w14:textId="77777777" w:rsidR="00C53BBF" w:rsidRPr="00C53BBF" w:rsidRDefault="00C53BBF" w:rsidP="00C53BBF">
      <w:pPr>
        <w:pStyle w:val="EndNoteBibliography"/>
        <w:ind w:left="720" w:hanging="720"/>
      </w:pPr>
      <w:r w:rsidRPr="00C53BBF">
        <w:t xml:space="preserve">7. Dewaste V, Moreau C, De Smedt F, Bex F, De Smedt H, Wuytack F, Missiaen L, Erneux C. The three isoenzymes of human inositol-1,4,5-trisphosphate 3-kinase show specific intracellular localization but comparable Ca2+ responses on transfection in COS-7 cells. </w:t>
      </w:r>
      <w:r w:rsidRPr="00C53BBF">
        <w:rPr>
          <w:i/>
        </w:rPr>
        <w:t xml:space="preserve">Biochem J </w:t>
      </w:r>
      <w:r w:rsidRPr="00C53BBF">
        <w:t>2003; 374: 41-49.</w:t>
      </w:r>
    </w:p>
    <w:p w14:paraId="54BF22C0" w14:textId="28A5EC40" w:rsidR="000F10E6" w:rsidRPr="002E03E0" w:rsidRDefault="0071162C" w:rsidP="002E03E0">
      <w:pPr>
        <w:spacing w:line="240" w:lineRule="auto"/>
        <w:contextualSpacing/>
        <w:rPr>
          <w:rFonts w:ascii="Arial" w:hAnsi="Arial" w:cs="Arial"/>
          <w:b/>
          <w:bCs/>
        </w:rPr>
      </w:pPr>
      <w:r>
        <w:rPr>
          <w:rFonts w:ascii="Arial" w:hAnsi="Arial" w:cs="Arial"/>
          <w:b/>
          <w:bCs/>
        </w:rPr>
        <w:fldChar w:fldCharType="end"/>
      </w:r>
    </w:p>
    <w:sectPr w:rsidR="000F10E6" w:rsidRPr="002E03E0" w:rsidSect="002E03E0">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Amer J Resp Crit Care Med&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rtp5rs5sx5fvxlezfe4pfe9b9rv5d5zp92tp&quot;&gt;ITPKC_paper&lt;record-ids&gt;&lt;item&gt;19&lt;/item&gt;&lt;item&gt;25&lt;/item&gt;&lt;item&gt;54&lt;/item&gt;&lt;item&gt;55&lt;/item&gt;&lt;item&gt;56&lt;/item&gt;&lt;item&gt;57&lt;/item&gt;&lt;item&gt;58&lt;/item&gt;&lt;/record-ids&gt;&lt;/item&gt;&lt;/Libraries&gt;"/>
  </w:docVars>
  <w:rsids>
    <w:rsidRoot w:val="002E03E0"/>
    <w:rsid w:val="00047491"/>
    <w:rsid w:val="0006471E"/>
    <w:rsid w:val="0007029F"/>
    <w:rsid w:val="000B3CBC"/>
    <w:rsid w:val="000F10E6"/>
    <w:rsid w:val="002750EC"/>
    <w:rsid w:val="002B5B3F"/>
    <w:rsid w:val="002E03E0"/>
    <w:rsid w:val="002E1CF3"/>
    <w:rsid w:val="00386B8F"/>
    <w:rsid w:val="003E61C9"/>
    <w:rsid w:val="00465B7D"/>
    <w:rsid w:val="0051261C"/>
    <w:rsid w:val="0059106E"/>
    <w:rsid w:val="00595C67"/>
    <w:rsid w:val="00627227"/>
    <w:rsid w:val="00640100"/>
    <w:rsid w:val="00664C31"/>
    <w:rsid w:val="006C6515"/>
    <w:rsid w:val="0071162C"/>
    <w:rsid w:val="00715638"/>
    <w:rsid w:val="00795771"/>
    <w:rsid w:val="008161F7"/>
    <w:rsid w:val="008D2190"/>
    <w:rsid w:val="008F11AE"/>
    <w:rsid w:val="009A5A7C"/>
    <w:rsid w:val="00A34849"/>
    <w:rsid w:val="00A800D6"/>
    <w:rsid w:val="00B12FEE"/>
    <w:rsid w:val="00B37E04"/>
    <w:rsid w:val="00BA573F"/>
    <w:rsid w:val="00C00F44"/>
    <w:rsid w:val="00C4021D"/>
    <w:rsid w:val="00C53BBF"/>
    <w:rsid w:val="00CA0651"/>
    <w:rsid w:val="00CB69C9"/>
    <w:rsid w:val="00CD53CE"/>
    <w:rsid w:val="00D068AF"/>
    <w:rsid w:val="00D21483"/>
    <w:rsid w:val="00D521C0"/>
    <w:rsid w:val="00DA4251"/>
    <w:rsid w:val="00DF1412"/>
    <w:rsid w:val="00E97492"/>
    <w:rsid w:val="00EE2070"/>
    <w:rsid w:val="00F12794"/>
    <w:rsid w:val="00F230B6"/>
    <w:rsid w:val="00F431CB"/>
    <w:rsid w:val="00FE7A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B4B6CA"/>
  <w15:chartTrackingRefBased/>
  <w15:docId w15:val="{953E4C4D-0DA5-44EF-8FE7-46030CE258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ndNoteBibliographyTitle">
    <w:name w:val="EndNote Bibliography Title"/>
    <w:basedOn w:val="Normal"/>
    <w:link w:val="EndNoteBibliographyTitleChar"/>
    <w:rsid w:val="0071162C"/>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71162C"/>
    <w:rPr>
      <w:rFonts w:ascii="Calibri" w:hAnsi="Calibri" w:cs="Calibri"/>
      <w:noProof/>
    </w:rPr>
  </w:style>
  <w:style w:type="paragraph" w:customStyle="1" w:styleId="EndNoteBibliography">
    <w:name w:val="EndNote Bibliography"/>
    <w:basedOn w:val="Normal"/>
    <w:link w:val="EndNoteBibliographyChar"/>
    <w:rsid w:val="0071162C"/>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71162C"/>
    <w:rPr>
      <w:rFonts w:ascii="Calibri" w:hAnsi="Calibri" w:cs="Calibri"/>
      <w:noProof/>
    </w:rPr>
  </w:style>
  <w:style w:type="character" w:styleId="Hyperlink">
    <w:name w:val="Hyperlink"/>
    <w:basedOn w:val="DefaultParagraphFont"/>
    <w:uiPriority w:val="99"/>
    <w:unhideWhenUsed/>
    <w:rsid w:val="00386B8F"/>
    <w:rPr>
      <w:color w:val="0563C1" w:themeColor="hyperlink"/>
      <w:u w:val="single"/>
    </w:rPr>
  </w:style>
  <w:style w:type="character" w:styleId="UnresolvedMention">
    <w:name w:val="Unresolved Mention"/>
    <w:basedOn w:val="DefaultParagraphFont"/>
    <w:uiPriority w:val="99"/>
    <w:semiHidden/>
    <w:unhideWhenUsed/>
    <w:rsid w:val="00386B8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6131474">
      <w:bodyDiv w:val="1"/>
      <w:marLeft w:val="0"/>
      <w:marRight w:val="0"/>
      <w:marTop w:val="0"/>
      <w:marBottom w:val="0"/>
      <w:divBdr>
        <w:top w:val="none" w:sz="0" w:space="0" w:color="auto"/>
        <w:left w:val="none" w:sz="0" w:space="0" w:color="auto"/>
        <w:bottom w:val="none" w:sz="0" w:space="0" w:color="auto"/>
        <w:right w:val="none" w:sz="0" w:space="0" w:color="auto"/>
      </w:divBdr>
    </w:div>
    <w:div w:id="701901086">
      <w:bodyDiv w:val="1"/>
      <w:marLeft w:val="0"/>
      <w:marRight w:val="0"/>
      <w:marTop w:val="0"/>
      <w:marBottom w:val="0"/>
      <w:divBdr>
        <w:top w:val="none" w:sz="0" w:space="0" w:color="auto"/>
        <w:left w:val="none" w:sz="0" w:space="0" w:color="auto"/>
        <w:bottom w:val="none" w:sz="0" w:space="0" w:color="auto"/>
        <w:right w:val="none" w:sz="0" w:space="0" w:color="auto"/>
      </w:divBdr>
    </w:div>
    <w:div w:id="17642611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s://software.broadinstitute.org/morpheus" TargetMode="External"/><Relationship Id="rId5" Type="http://schemas.openxmlformats.org/officeDocument/2006/relationships/hyperlink" Target="https://bioinfogp.cnb.csic.es/tools/venny/index.htm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24E98E-A1B7-4F9D-9385-CA38C0C64C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1860</TotalTime>
  <Pages>3</Pages>
  <Words>2493</Words>
  <Characters>14216</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Wellmerling, Jack H., Ph.D.</dc:creator>
  <cp:keywords/>
  <dc:description/>
  <cp:lastModifiedBy>Tan, Qi, Ph.D.</cp:lastModifiedBy>
  <cp:revision>16</cp:revision>
  <dcterms:created xsi:type="dcterms:W3CDTF">2022-09-13T20:47:00Z</dcterms:created>
  <dcterms:modified xsi:type="dcterms:W3CDTF">2022-11-02T00:22:00Z</dcterms:modified>
</cp:coreProperties>
</file>