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A3C" w:rsidRPr="00D80A04" w:rsidRDefault="00BB5A3C" w:rsidP="005F5A70">
      <w:pPr>
        <w:spacing w:line="240" w:lineRule="auto"/>
        <w:rPr>
          <w:rStyle w:val="Fett"/>
          <w:sz w:val="32"/>
          <w:szCs w:val="32"/>
        </w:rPr>
      </w:pPr>
      <w:r w:rsidRPr="00D80A04">
        <w:rPr>
          <w:rStyle w:val="Fett"/>
          <w:sz w:val="32"/>
          <w:szCs w:val="32"/>
        </w:rPr>
        <w:t>Supplemental material</w:t>
      </w:r>
    </w:p>
    <w:p w:rsidR="00BB5A3C" w:rsidRPr="00D80A04" w:rsidRDefault="00BB5A3C" w:rsidP="005F5A70">
      <w:pPr>
        <w:spacing w:line="240" w:lineRule="auto"/>
        <w:rPr>
          <w:rStyle w:val="Fett"/>
          <w:sz w:val="28"/>
          <w:szCs w:val="28"/>
        </w:rPr>
      </w:pPr>
      <w:r w:rsidRPr="00D80A04">
        <w:rPr>
          <w:rStyle w:val="Fett"/>
          <w:sz w:val="28"/>
          <w:szCs w:val="28"/>
        </w:rPr>
        <w:t>Supplemental figure</w:t>
      </w:r>
      <w:r w:rsidRPr="00D80A04">
        <w:rPr>
          <w:rStyle w:val="Fett"/>
          <w:sz w:val="28"/>
          <w:szCs w:val="28"/>
        </w:rPr>
        <w:t>s</w:t>
      </w:r>
    </w:p>
    <w:p w:rsidR="00BB5A3C" w:rsidRDefault="00702842" w:rsidP="005F5A70">
      <w:pPr>
        <w:spacing w:line="240" w:lineRule="auto"/>
        <w:rPr>
          <w:rStyle w:val="Fett"/>
        </w:rPr>
      </w:pPr>
      <w:r>
        <w:rPr>
          <w:b/>
          <w:bCs/>
          <w:noProof/>
        </w:rPr>
        <w:drawing>
          <wp:inline distT="0" distB="0" distL="0" distR="0">
            <wp:extent cx="4147794" cy="623824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f1-5_Figure_S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51"/>
                    <a:stretch/>
                  </pic:blipFill>
                  <pic:spPr bwMode="auto">
                    <a:xfrm>
                      <a:off x="0" y="0"/>
                      <a:ext cx="4147794" cy="62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A3C" w:rsidRDefault="00BB5A3C" w:rsidP="005F5A70">
      <w:pPr>
        <w:spacing w:line="240" w:lineRule="auto"/>
        <w:rPr>
          <w:lang w:val="en-GB" w:bidi="de-DE"/>
        </w:rPr>
      </w:pPr>
      <w:r w:rsidRPr="00430C11">
        <w:rPr>
          <w:b/>
          <w:lang w:bidi="de-DE"/>
        </w:rPr>
        <w:t xml:space="preserve">Figure S1. </w:t>
      </w:r>
      <w:r w:rsidRPr="0068508B">
        <w:rPr>
          <w:lang w:bidi="de-DE"/>
        </w:rPr>
        <w:t xml:space="preserve">EM micrographs support the </w:t>
      </w:r>
      <w:r>
        <w:rPr>
          <w:lang w:bidi="de-DE"/>
        </w:rPr>
        <w:t xml:space="preserve">observation that vacuoles in </w:t>
      </w:r>
      <w:r w:rsidRPr="00987069">
        <w:rPr>
          <w:i/>
          <w:iCs/>
          <w:lang w:bidi="de-DE"/>
        </w:rPr>
        <w:t>cof1-5</w:t>
      </w:r>
      <w:r>
        <w:rPr>
          <w:lang w:bidi="de-DE"/>
        </w:rPr>
        <w:t xml:space="preserve"> can appear highly fragmented. </w:t>
      </w:r>
      <w:r>
        <w:rPr>
          <w:lang w:val="en-GB" w:bidi="de-DE"/>
        </w:rPr>
        <w:t>V, vacuole; LD, lipid droplet; N, nucleus; MS, membrane stack.</w:t>
      </w:r>
    </w:p>
    <w:p w:rsidR="00BB5A3C" w:rsidRDefault="00BB5A3C" w:rsidP="005F5A70">
      <w:pPr>
        <w:spacing w:line="240" w:lineRule="auto"/>
        <w:rPr>
          <w:b/>
          <w:bCs/>
        </w:rPr>
      </w:pPr>
    </w:p>
    <w:p w:rsidR="00702842" w:rsidRPr="0068508B" w:rsidRDefault="00702842" w:rsidP="005F5A70">
      <w:pPr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56910" cy="27774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f1-5_Figure_S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3C" w:rsidRDefault="00BB5A3C" w:rsidP="005F5A70">
      <w:pPr>
        <w:spacing w:line="240" w:lineRule="auto"/>
        <w:rPr>
          <w:lang w:val="en-GB" w:bidi="de-DE"/>
        </w:rPr>
      </w:pPr>
      <w:r w:rsidRPr="0068508B">
        <w:rPr>
          <w:b/>
          <w:lang w:bidi="de-DE"/>
        </w:rPr>
        <w:t>Figure S4.</w:t>
      </w:r>
      <w:r w:rsidRPr="0068508B">
        <w:rPr>
          <w:lang w:bidi="de-DE"/>
        </w:rPr>
        <w:t xml:space="preserve"> </w:t>
      </w:r>
      <w:r>
        <w:rPr>
          <w:lang w:val="en-GB" w:bidi="de-DE"/>
        </w:rPr>
        <w:t xml:space="preserve">Slt2-phosphorylation is responsive to calcofluor white treatment. </w:t>
      </w:r>
      <w:r w:rsidRPr="00896145">
        <w:rPr>
          <w:lang w:val="en-GB" w:bidi="de-DE"/>
        </w:rPr>
        <w:t>(A-C)</w:t>
      </w:r>
      <w:r w:rsidRPr="008B6618">
        <w:rPr>
          <w:lang w:val="en-GB" w:bidi="de-DE"/>
        </w:rPr>
        <w:t xml:space="preserve"> </w:t>
      </w:r>
      <w:r>
        <w:rPr>
          <w:lang w:val="en-GB" w:bidi="de-DE"/>
        </w:rPr>
        <w:t xml:space="preserve">Anti-phospho-Slt2 immunoblotting shows increased Slt2-phosphorylation upon calcofluor white (CFW) treatment in a concentration dependent manner. A representative </w:t>
      </w:r>
      <w:proofErr w:type="gramStart"/>
      <w:r>
        <w:rPr>
          <w:lang w:val="en-GB" w:bidi="de-DE"/>
        </w:rPr>
        <w:t>immunoblot</w:t>
      </w:r>
      <w:proofErr w:type="gramEnd"/>
      <w:r>
        <w:rPr>
          <w:lang w:val="en-GB" w:bidi="de-DE"/>
        </w:rPr>
        <w:t xml:space="preserve"> at 24 h (A) and quantifications of immunoblots at 24 h (B) and 48 h (C) are shown. Slt2-phosphorylation is reduced in </w:t>
      </w:r>
      <w:r w:rsidRPr="009C75CD">
        <w:rPr>
          <w:i/>
          <w:iCs/>
          <w:lang w:val="en-GB" w:bidi="de-DE"/>
        </w:rPr>
        <w:t>por1</w:t>
      </w:r>
      <w:r>
        <w:rPr>
          <w:lang w:val="en-GB" w:bidi="de-DE"/>
        </w:rPr>
        <w:t>∆ (D).</w:t>
      </w:r>
      <w:r>
        <w:rPr>
          <w:i/>
          <w:iCs/>
          <w:lang w:val="en-GB" w:bidi="de-DE"/>
        </w:rPr>
        <w:t xml:space="preserve"> </w:t>
      </w:r>
      <w:r w:rsidRPr="00861B0F">
        <w:rPr>
          <w:lang w:val="en-GB" w:bidi="de-DE"/>
        </w:rPr>
        <w:t>Statistical significance in (</w:t>
      </w:r>
      <w:r>
        <w:rPr>
          <w:lang w:val="en-GB" w:bidi="de-DE"/>
        </w:rPr>
        <w:t>B</w:t>
      </w:r>
      <w:r w:rsidRPr="00861B0F">
        <w:rPr>
          <w:lang w:val="en-GB" w:bidi="de-DE"/>
        </w:rPr>
        <w:t>)</w:t>
      </w:r>
      <w:r>
        <w:rPr>
          <w:lang w:val="en-GB" w:bidi="de-DE"/>
        </w:rPr>
        <w:t xml:space="preserve"> </w:t>
      </w:r>
      <w:r w:rsidRPr="00861B0F">
        <w:rPr>
          <w:lang w:val="en-GB" w:bidi="de-DE"/>
        </w:rPr>
        <w:t>was assessed using Welch</w:t>
      </w:r>
      <w:r>
        <w:rPr>
          <w:lang w:val="en-GB" w:bidi="de-DE"/>
        </w:rPr>
        <w:t xml:space="preserve"> ANOVA and ordinary one-way ANOVA was performed in (C).</w:t>
      </w:r>
    </w:p>
    <w:p w:rsidR="00581D1F" w:rsidRPr="0061300B" w:rsidRDefault="00581D1F" w:rsidP="005F5A70">
      <w:pPr>
        <w:spacing w:line="240" w:lineRule="auto"/>
        <w:rPr>
          <w:lang w:val="en-GB"/>
        </w:rPr>
      </w:pPr>
    </w:p>
    <w:p w:rsidR="00BB5A3C" w:rsidRPr="00391E14" w:rsidRDefault="00702842" w:rsidP="005F5A70">
      <w:pPr>
        <w:spacing w:line="24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524500" cy="35687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f1-5_Figure_S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3C" w:rsidRPr="0061300B" w:rsidRDefault="00BB5A3C" w:rsidP="005F5A70">
      <w:pPr>
        <w:spacing w:line="240" w:lineRule="auto"/>
        <w:rPr>
          <w:lang w:val="en-GB"/>
        </w:rPr>
      </w:pPr>
      <w:r w:rsidRPr="007409F7">
        <w:rPr>
          <w:b/>
          <w:bCs/>
          <w:lang w:val="en-GB" w:bidi="de-DE"/>
        </w:rPr>
        <w:t>Figure S</w:t>
      </w:r>
      <w:r>
        <w:rPr>
          <w:b/>
          <w:bCs/>
          <w:lang w:val="en-GB" w:bidi="de-DE"/>
        </w:rPr>
        <w:t>5</w:t>
      </w:r>
      <w:r w:rsidRPr="007409F7">
        <w:rPr>
          <w:b/>
          <w:bCs/>
          <w:lang w:val="en-GB" w:bidi="de-DE"/>
        </w:rPr>
        <w:t>.</w:t>
      </w:r>
      <w:r w:rsidRPr="00FF0B4E">
        <w:rPr>
          <w:lang w:val="en-GB" w:bidi="de-DE"/>
        </w:rPr>
        <w:t xml:space="preserve"> </w:t>
      </w:r>
      <w:r w:rsidRPr="008B6618">
        <w:rPr>
          <w:lang w:val="en-GB" w:bidi="de-DE"/>
        </w:rPr>
        <w:t xml:space="preserve">(A) </w:t>
      </w:r>
      <w:r w:rsidR="00581D1F">
        <w:rPr>
          <w:lang w:val="en-GB" w:bidi="de-DE"/>
        </w:rPr>
        <w:t xml:space="preserve">Fluorescence microscopy pictures of Slt2-GFP expressing cells with </w:t>
      </w:r>
      <w:proofErr w:type="spellStart"/>
      <w:r w:rsidR="00581D1F">
        <w:rPr>
          <w:lang w:val="en-GB" w:bidi="de-DE"/>
        </w:rPr>
        <w:t>autodot</w:t>
      </w:r>
      <w:proofErr w:type="spellEnd"/>
      <w:r w:rsidR="00581D1F">
        <w:rPr>
          <w:lang w:val="en-GB" w:bidi="de-DE"/>
        </w:rPr>
        <w:t xml:space="preserve"> staining for LDs. </w:t>
      </w:r>
      <w:r w:rsidRPr="008B6618">
        <w:rPr>
          <w:lang w:val="en-GB" w:bidi="de-DE"/>
        </w:rPr>
        <w:t>Slt2-</w:t>
      </w:r>
      <w:r w:rsidR="00581D1F">
        <w:rPr>
          <w:lang w:val="en-GB" w:bidi="de-DE"/>
        </w:rPr>
        <w:t>GFP-</w:t>
      </w:r>
      <w:r w:rsidRPr="008B6618">
        <w:rPr>
          <w:lang w:val="en-GB" w:bidi="de-DE"/>
        </w:rPr>
        <w:t xml:space="preserve">foci in </w:t>
      </w:r>
      <w:r w:rsidRPr="00D038D7">
        <w:rPr>
          <w:i/>
          <w:iCs/>
          <w:lang w:val="en-GB" w:bidi="de-DE"/>
        </w:rPr>
        <w:t>cof1-5</w:t>
      </w:r>
      <w:r w:rsidRPr="008B6618">
        <w:rPr>
          <w:lang w:val="en-GB" w:bidi="de-DE"/>
        </w:rPr>
        <w:t xml:space="preserve"> do not colocalise with LDs (</w:t>
      </w:r>
      <w:proofErr w:type="spellStart"/>
      <w:r w:rsidRPr="008B6618">
        <w:rPr>
          <w:lang w:val="en-GB" w:bidi="de-DE"/>
        </w:rPr>
        <w:t>autodot</w:t>
      </w:r>
      <w:proofErr w:type="spellEnd"/>
      <w:r w:rsidRPr="008B6618">
        <w:rPr>
          <w:lang w:val="en-GB" w:bidi="de-DE"/>
        </w:rPr>
        <w:t xml:space="preserve"> staining</w:t>
      </w:r>
      <w:r w:rsidR="00581D1F">
        <w:rPr>
          <w:lang w:val="en-GB" w:bidi="de-DE"/>
        </w:rPr>
        <w:t xml:space="preserve"> in red</w:t>
      </w:r>
      <w:r w:rsidRPr="008B6618">
        <w:rPr>
          <w:lang w:val="en-GB" w:bidi="de-DE"/>
        </w:rPr>
        <w:t>).</w:t>
      </w:r>
      <w:bookmarkStart w:id="0" w:name="_GoBack"/>
      <w:bookmarkEnd w:id="0"/>
    </w:p>
    <w:p w:rsidR="00BB5A3C" w:rsidRPr="00531E19" w:rsidRDefault="00702842" w:rsidP="005F5A70">
      <w:pPr>
        <w:spacing w:line="240" w:lineRule="auto"/>
        <w:rPr>
          <w:lang w:val="en-GB" w:bidi="de-DE"/>
        </w:rPr>
      </w:pPr>
      <w:r>
        <w:rPr>
          <w:noProof/>
          <w:lang w:val="en-GB" w:bidi="de-DE"/>
        </w:rPr>
        <w:lastRenderedPageBreak/>
        <w:drawing>
          <wp:inline distT="0" distB="0" distL="0" distR="0">
            <wp:extent cx="5144235" cy="631595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f1-5_Figure_S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309" cy="63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3C" w:rsidRPr="00BA1FD8" w:rsidRDefault="00BB5A3C" w:rsidP="005F5A70">
      <w:pPr>
        <w:spacing w:line="240" w:lineRule="auto"/>
        <w:rPr>
          <w:lang w:val="en-GB" w:bidi="de-DE"/>
        </w:rPr>
      </w:pPr>
      <w:r w:rsidRPr="00391E14">
        <w:rPr>
          <w:b/>
          <w:bCs/>
          <w:lang w:val="en-GB" w:bidi="de-DE"/>
        </w:rPr>
        <w:t>Figure S</w:t>
      </w:r>
      <w:r>
        <w:rPr>
          <w:b/>
          <w:bCs/>
          <w:lang w:val="en-GB" w:bidi="de-DE"/>
        </w:rPr>
        <w:t>6</w:t>
      </w:r>
      <w:r w:rsidRPr="00391E14">
        <w:rPr>
          <w:b/>
          <w:bCs/>
          <w:lang w:val="en-GB" w:bidi="de-DE"/>
        </w:rPr>
        <w:t>.</w:t>
      </w:r>
      <w:r w:rsidRPr="00BA1FD8">
        <w:rPr>
          <w:lang w:val="en-GB" w:bidi="de-DE"/>
        </w:rPr>
        <w:t xml:space="preserve"> </w:t>
      </w:r>
      <w:r w:rsidRPr="00062EB8">
        <w:rPr>
          <w:lang w:val="en-GB" w:bidi="de-DE"/>
        </w:rPr>
        <w:t>(A</w:t>
      </w:r>
      <w:r>
        <w:rPr>
          <w:lang w:val="en-GB" w:bidi="de-DE"/>
        </w:rPr>
        <w:t>, B</w:t>
      </w:r>
      <w:r w:rsidRPr="00062EB8">
        <w:rPr>
          <w:lang w:val="en-GB" w:bidi="de-DE"/>
        </w:rPr>
        <w:t>)</w:t>
      </w:r>
      <w:r w:rsidRPr="00DE1149">
        <w:rPr>
          <w:lang w:val="en-GB" w:bidi="de-DE"/>
        </w:rPr>
        <w:t xml:space="preserve"> </w:t>
      </w:r>
      <w:r>
        <w:rPr>
          <w:lang w:val="en-GB" w:bidi="de-DE"/>
        </w:rPr>
        <w:t xml:space="preserve">Slt2-phosphorylation was reduced in gene knock-outs of </w:t>
      </w:r>
      <w:r w:rsidRPr="00D038D7">
        <w:rPr>
          <w:i/>
          <w:iCs/>
          <w:lang w:val="en-GB" w:bidi="de-DE"/>
        </w:rPr>
        <w:t>LRO1</w:t>
      </w:r>
      <w:r>
        <w:rPr>
          <w:i/>
          <w:iCs/>
          <w:lang w:val="en-GB" w:bidi="de-DE"/>
        </w:rPr>
        <w:t xml:space="preserve"> and LRO1 DGA1 </w:t>
      </w:r>
      <w:r w:rsidRPr="00447800">
        <w:rPr>
          <w:lang w:val="en-GB" w:bidi="de-DE"/>
        </w:rPr>
        <w:t>DKO</w:t>
      </w:r>
      <w:r>
        <w:rPr>
          <w:lang w:val="en-GB" w:bidi="de-DE"/>
        </w:rPr>
        <w:t>. A representative immunoblot is shown in (A</w:t>
      </w:r>
      <w:r w:rsidRPr="00D038D7">
        <w:rPr>
          <w:lang w:val="en-GB" w:bidi="de-DE"/>
        </w:rPr>
        <w:t>)</w:t>
      </w:r>
      <w:r>
        <w:rPr>
          <w:lang w:val="en-GB" w:bidi="de-DE"/>
        </w:rPr>
        <w:t xml:space="preserve"> and quantitative results are presented in (B)</w:t>
      </w:r>
      <w:r>
        <w:rPr>
          <w:i/>
          <w:iCs/>
          <w:lang w:val="en-GB" w:bidi="de-DE"/>
        </w:rPr>
        <w:t>.</w:t>
      </w:r>
      <w:r>
        <w:rPr>
          <w:lang w:val="en-GB" w:bidi="de-DE"/>
        </w:rPr>
        <w:t xml:space="preserve"> (C) </w:t>
      </w:r>
      <w:proofErr w:type="spellStart"/>
      <w:r>
        <w:rPr>
          <w:lang w:val="en-GB" w:bidi="de-DE"/>
        </w:rPr>
        <w:t>Bodipy</w:t>
      </w:r>
      <w:proofErr w:type="spellEnd"/>
      <w:r>
        <w:rPr>
          <w:lang w:val="en-GB" w:bidi="de-DE"/>
        </w:rPr>
        <w:t xml:space="preserve"> mean fluorescence intensity was measured in a time-course experiment. The mean </w:t>
      </w:r>
      <w:proofErr w:type="spellStart"/>
      <w:r>
        <w:rPr>
          <w:lang w:val="en-GB" w:bidi="de-DE"/>
        </w:rPr>
        <w:t>Bodipy</w:t>
      </w:r>
      <w:proofErr w:type="spellEnd"/>
      <w:r>
        <w:rPr>
          <w:lang w:val="en-GB" w:bidi="de-DE"/>
        </w:rPr>
        <w:t xml:space="preserve"> intensity is constantly increased in </w:t>
      </w:r>
      <w:r w:rsidRPr="00C93832">
        <w:rPr>
          <w:i/>
          <w:iCs/>
          <w:lang w:val="en-GB" w:bidi="de-DE"/>
        </w:rPr>
        <w:t>cof1-5</w:t>
      </w:r>
      <w:r>
        <w:rPr>
          <w:lang w:val="en-GB" w:bidi="de-DE"/>
        </w:rPr>
        <w:t xml:space="preserve"> cells. </w:t>
      </w:r>
      <w:r w:rsidRPr="00C93832">
        <w:rPr>
          <w:lang w:val="en-GB" w:bidi="de-DE"/>
        </w:rPr>
        <w:t>(</w:t>
      </w:r>
      <w:r>
        <w:rPr>
          <w:lang w:val="en-GB" w:bidi="de-DE"/>
        </w:rPr>
        <w:t>D</w:t>
      </w:r>
      <w:r w:rsidRPr="00C93832">
        <w:rPr>
          <w:lang w:val="en-GB" w:bidi="de-DE"/>
        </w:rPr>
        <w:t>)</w:t>
      </w:r>
      <w:r>
        <w:rPr>
          <w:lang w:val="en-GB" w:bidi="de-DE"/>
        </w:rPr>
        <w:t xml:space="preserve"> EM micrographs support the observations made by fluorescence microscopy suggesting that CFW treatment triggers an increase in LD numbers. V, vacuole; LD, lipid droplet; N, nucleus. </w:t>
      </w:r>
      <w:r w:rsidRPr="00861B0F">
        <w:rPr>
          <w:lang w:val="en-GB" w:bidi="de-DE"/>
        </w:rPr>
        <w:t>Statistical significance in (</w:t>
      </w:r>
      <w:r>
        <w:rPr>
          <w:lang w:val="en-GB" w:bidi="de-DE"/>
        </w:rPr>
        <w:t>B</w:t>
      </w:r>
      <w:r w:rsidRPr="00861B0F">
        <w:rPr>
          <w:lang w:val="en-GB" w:bidi="de-DE"/>
        </w:rPr>
        <w:t>)</w:t>
      </w:r>
      <w:r>
        <w:rPr>
          <w:lang w:val="en-GB" w:bidi="de-DE"/>
        </w:rPr>
        <w:t xml:space="preserve"> </w:t>
      </w:r>
      <w:r w:rsidRPr="00861B0F">
        <w:rPr>
          <w:lang w:val="en-GB" w:bidi="de-DE"/>
        </w:rPr>
        <w:t xml:space="preserve">was assessed using </w:t>
      </w:r>
      <w:r>
        <w:rPr>
          <w:lang w:val="en-GB" w:bidi="de-DE"/>
        </w:rPr>
        <w:t>2-way-ANOVA.</w:t>
      </w:r>
    </w:p>
    <w:p w:rsidR="00BB5A3C" w:rsidRPr="00D03852" w:rsidRDefault="00CD3440" w:rsidP="005F5A70">
      <w:pPr>
        <w:spacing w:line="240" w:lineRule="auto"/>
        <w:rPr>
          <w:lang w:val="en-GB" w:bidi="de-DE"/>
        </w:rPr>
      </w:pPr>
      <w:r>
        <w:rPr>
          <w:noProof/>
          <w:lang w:val="en-GB" w:bidi="de-DE"/>
        </w:rPr>
        <w:lastRenderedPageBreak/>
        <w:drawing>
          <wp:inline distT="0" distB="0" distL="0" distR="0">
            <wp:extent cx="5413375" cy="907288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f1-5_Figure_S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E7D" w:rsidRDefault="00BB5A3C" w:rsidP="005F5A70">
      <w:pPr>
        <w:spacing w:line="240" w:lineRule="auto"/>
        <w:rPr>
          <w:rStyle w:val="Fett"/>
        </w:rPr>
      </w:pPr>
      <w:r w:rsidRPr="00C93832">
        <w:rPr>
          <w:b/>
          <w:bCs/>
          <w:lang w:val="en-GB" w:bidi="de-DE"/>
        </w:rPr>
        <w:lastRenderedPageBreak/>
        <w:t>Figure S8.</w:t>
      </w:r>
      <w:r w:rsidRPr="00286A14">
        <w:rPr>
          <w:lang w:val="en-GB" w:bidi="de-DE"/>
        </w:rPr>
        <w:t xml:space="preserve"> </w:t>
      </w:r>
      <w:r>
        <w:rPr>
          <w:lang w:val="en-GB" w:bidi="de-DE"/>
        </w:rPr>
        <w:t xml:space="preserve">Relative phospholipid species as measured by MS-assisted </w:t>
      </w:r>
      <w:proofErr w:type="spellStart"/>
      <w:r>
        <w:rPr>
          <w:lang w:val="en-GB" w:bidi="de-DE"/>
        </w:rPr>
        <w:t>lipidomics</w:t>
      </w:r>
      <w:proofErr w:type="spellEnd"/>
      <w:r>
        <w:rPr>
          <w:lang w:val="en-GB" w:bidi="de-DE"/>
        </w:rPr>
        <w:t xml:space="preserve"> are shown in (A-D): </w:t>
      </w:r>
      <w:r w:rsidRPr="00FF0B4E">
        <w:rPr>
          <w:lang w:val="en-GB" w:bidi="de-DE"/>
        </w:rPr>
        <w:t xml:space="preserve">(A) relative DG-species </w:t>
      </w:r>
      <w:r w:rsidRPr="008B6618">
        <w:rPr>
          <w:lang w:val="en-GB" w:bidi="de-DE"/>
        </w:rPr>
        <w:t>over</w:t>
      </w:r>
      <w:r>
        <w:rPr>
          <w:lang w:val="en-GB" w:bidi="de-DE"/>
        </w:rPr>
        <w:t xml:space="preserve"> 2 </w:t>
      </w:r>
      <w:r w:rsidRPr="008B6618">
        <w:rPr>
          <w:lang w:val="en-GB" w:bidi="de-DE"/>
        </w:rPr>
        <w:t>%, (B) relative PE-species over</w:t>
      </w:r>
      <w:r>
        <w:rPr>
          <w:lang w:val="en-GB" w:bidi="de-DE"/>
        </w:rPr>
        <w:t xml:space="preserve"> 2 </w:t>
      </w:r>
      <w:r w:rsidRPr="008B6618">
        <w:rPr>
          <w:lang w:val="en-GB" w:bidi="de-DE"/>
        </w:rPr>
        <w:t xml:space="preserve">%, (C) relative </w:t>
      </w:r>
      <w:r w:rsidRPr="000317B6">
        <w:rPr>
          <w:lang w:val="en-GB" w:bidi="de-DE"/>
        </w:rPr>
        <w:t>PC-species over</w:t>
      </w:r>
      <w:r>
        <w:rPr>
          <w:lang w:val="en-GB" w:bidi="de-DE"/>
        </w:rPr>
        <w:t xml:space="preserve"> 5 </w:t>
      </w:r>
      <w:r w:rsidRPr="000317B6">
        <w:rPr>
          <w:lang w:val="en-GB" w:bidi="de-DE"/>
        </w:rPr>
        <w:t xml:space="preserve">%, (D) relative PA-species over </w:t>
      </w:r>
      <w:r>
        <w:rPr>
          <w:lang w:val="en-GB" w:bidi="de-DE"/>
        </w:rPr>
        <w:t xml:space="preserve">5 </w:t>
      </w:r>
      <w:r w:rsidRPr="000317B6">
        <w:rPr>
          <w:lang w:val="en-GB" w:bidi="de-DE"/>
        </w:rPr>
        <w:t>%</w:t>
      </w:r>
      <w:r>
        <w:rPr>
          <w:lang w:val="en-GB" w:bidi="de-DE"/>
        </w:rPr>
        <w:t>.</w:t>
      </w:r>
      <w:r w:rsidRPr="000317B6">
        <w:rPr>
          <w:lang w:val="en-GB" w:bidi="de-DE"/>
        </w:rPr>
        <w:t xml:space="preserve"> (</w:t>
      </w:r>
      <w:r w:rsidRPr="005D4324">
        <w:rPr>
          <w:lang w:val="en-GB" w:bidi="de-DE"/>
        </w:rPr>
        <w:t>E</w:t>
      </w:r>
      <w:r w:rsidRPr="007A2212">
        <w:rPr>
          <w:lang w:val="en-GB" w:bidi="de-DE"/>
        </w:rPr>
        <w:t xml:space="preserve">) </w:t>
      </w:r>
      <w:proofErr w:type="spellStart"/>
      <w:r w:rsidRPr="00C93832">
        <w:rPr>
          <w:lang w:val="en-GB" w:bidi="de-DE"/>
        </w:rPr>
        <w:t>Ergosterolester</w:t>
      </w:r>
      <w:proofErr w:type="spellEnd"/>
      <w:r w:rsidRPr="00C93832">
        <w:rPr>
          <w:lang w:val="en-GB" w:bidi="de-DE"/>
        </w:rPr>
        <w:t xml:space="preserve"> species</w:t>
      </w:r>
      <w:r>
        <w:rPr>
          <w:lang w:val="en-GB" w:bidi="de-DE"/>
        </w:rPr>
        <w:t xml:space="preserve"> as quantified by MS-assisted </w:t>
      </w:r>
      <w:proofErr w:type="spellStart"/>
      <w:r>
        <w:rPr>
          <w:lang w:val="en-GB" w:bidi="de-DE"/>
        </w:rPr>
        <w:t>lipidomics</w:t>
      </w:r>
      <w:proofErr w:type="spellEnd"/>
      <w:r w:rsidRPr="00C93832">
        <w:rPr>
          <w:lang w:val="en-GB" w:bidi="de-DE"/>
        </w:rPr>
        <w:t xml:space="preserve"> are homogenously increased in </w:t>
      </w:r>
      <w:r w:rsidRPr="00C93832">
        <w:rPr>
          <w:i/>
          <w:iCs/>
          <w:lang w:val="en-GB" w:bidi="de-DE"/>
        </w:rPr>
        <w:t>cof1-5</w:t>
      </w:r>
      <w:r w:rsidRPr="00C93832">
        <w:rPr>
          <w:lang w:val="en-GB" w:bidi="de-DE"/>
        </w:rPr>
        <w:t xml:space="preserve">. </w:t>
      </w:r>
      <w:r>
        <w:rPr>
          <w:lang w:val="en-GB" w:bidi="de-DE"/>
        </w:rPr>
        <w:t>(F-J) HPTLC-assisted total lipid quantification of DG (F), PC (G), PE (H), PI (I), and PS (J).</w:t>
      </w:r>
      <w:r w:rsidR="005F5A70" w:rsidRPr="00ED585A">
        <w:rPr>
          <w:rStyle w:val="Fett"/>
        </w:rPr>
        <w:t xml:space="preserve"> </w:t>
      </w:r>
    </w:p>
    <w:p w:rsidR="00ED4E7D" w:rsidRDefault="00ED4E7D" w:rsidP="005F5A70">
      <w:pPr>
        <w:spacing w:line="240" w:lineRule="auto"/>
        <w:rPr>
          <w:rStyle w:val="Fett"/>
        </w:rPr>
      </w:pPr>
    </w:p>
    <w:p w:rsidR="002D7258" w:rsidRPr="00ED585A" w:rsidRDefault="00BB5A3C" w:rsidP="005F5A70">
      <w:pPr>
        <w:spacing w:line="240" w:lineRule="auto"/>
        <w:rPr>
          <w:rStyle w:val="Fett"/>
        </w:rPr>
      </w:pPr>
      <w:r w:rsidRPr="00ED585A">
        <w:rPr>
          <w:rStyle w:val="Fett"/>
        </w:rPr>
        <w:t xml:space="preserve">Supplemental Tables </w:t>
      </w:r>
    </w:p>
    <w:p w:rsidR="00BB5A3C" w:rsidRDefault="00BB5A3C" w:rsidP="005F5A70">
      <w:pPr>
        <w:spacing w:line="240" w:lineRule="auto"/>
        <w:rPr>
          <w:i/>
          <w:iCs/>
          <w:lang w:val="en-GB" w:bidi="de-DE"/>
        </w:rPr>
      </w:pPr>
      <w:r>
        <w:rPr>
          <w:lang w:val="en-GB" w:bidi="de-DE"/>
        </w:rPr>
        <w:t xml:space="preserve">Table S1 – </w:t>
      </w:r>
      <w:r w:rsidR="005F5A70">
        <w:rPr>
          <w:lang w:val="en-GB" w:bidi="de-DE"/>
        </w:rPr>
        <w:t>G</w:t>
      </w:r>
      <w:r>
        <w:rPr>
          <w:lang w:val="en-GB" w:bidi="de-DE"/>
        </w:rPr>
        <w:t xml:space="preserve">enes </w:t>
      </w:r>
      <w:r w:rsidR="005F5A70">
        <w:rPr>
          <w:lang w:val="en-GB" w:bidi="de-DE"/>
        </w:rPr>
        <w:t xml:space="preserve">upregulated in </w:t>
      </w:r>
      <w:r w:rsidRPr="00C93832">
        <w:rPr>
          <w:i/>
          <w:iCs/>
          <w:lang w:val="en-GB" w:bidi="de-DE"/>
        </w:rPr>
        <w:t>act</w:t>
      </w:r>
      <w:r>
        <w:rPr>
          <w:i/>
          <w:iCs/>
          <w:lang w:val="en-GB" w:bidi="de-DE"/>
        </w:rPr>
        <w:t>1</w:t>
      </w:r>
      <w:r w:rsidRPr="00C93832">
        <w:rPr>
          <w:i/>
          <w:iCs/>
          <w:lang w:val="en-GB" w:bidi="de-DE"/>
        </w:rPr>
        <w:t>-159</w:t>
      </w:r>
    </w:p>
    <w:tbl>
      <w:tblPr>
        <w:tblW w:w="90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606"/>
      </w:tblGrid>
      <w:tr w:rsidR="005F5A70" w:rsidRPr="00E81C7E" w:rsidTr="00C9567D">
        <w:trPr>
          <w:trHeight w:val="8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81C7E">
              <w:rPr>
                <w:rFonts w:ascii="Arial" w:hAnsi="Arial" w:cs="Arial"/>
                <w:sz w:val="20"/>
                <w:szCs w:val="20"/>
              </w:rPr>
              <w:t>GO Process</w:t>
            </w:r>
          </w:p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81C7E">
              <w:rPr>
                <w:rFonts w:ascii="Arial" w:hAnsi="Arial" w:cs="Arial"/>
                <w:sz w:val="20"/>
                <w:szCs w:val="20"/>
              </w:rPr>
              <w:t xml:space="preserve">Genes upregulated in </w:t>
            </w:r>
            <w:r w:rsidRPr="00E81C7E">
              <w:rPr>
                <w:rFonts w:ascii="Arial" w:hAnsi="Arial" w:cs="Arial"/>
                <w:i/>
                <w:iCs/>
                <w:sz w:val="20"/>
                <w:szCs w:val="20"/>
              </w:rPr>
              <w:t>act1-159</w:t>
            </w:r>
            <w:r w:rsidRPr="00E81C7E">
              <w:rPr>
                <w:rFonts w:ascii="Arial" w:hAnsi="Arial" w:cs="Arial"/>
                <w:sz w:val="20"/>
                <w:szCs w:val="20"/>
              </w:rPr>
              <w:t xml:space="preserve"> cells</w:t>
            </w:r>
            <w:r w:rsidRPr="00DE57A2">
              <w:rPr>
                <w:rFonts w:ascii="Arial" w:hAnsi="Arial" w:cs="Arial"/>
                <w:sz w:val="20"/>
                <w:szCs w:val="20"/>
              </w:rPr>
              <w:t xml:space="preserve"> vs wild type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 xml:space="preserve">Response to stress 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FLO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1,EDE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1,ZTA1,FRM2,MXR2,GRX1,HSP30,YDL124W,NTH1,REG1,NRG1,UPC2,MHR1,TSA2,FRD1,HPA3,HSP12,SUT1,ASK10,SLT2,GRE3, DOT5,IML2,IXR1,UBR2,HAP1,GAD1,CUE1,DDR2,USV1,OPY2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cellular amino acid metabolic process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GDH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3,ADH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5,ILV6,CIT2,HOM2,TRP4,HPA3,UGA1,GTF1,DIA4,ARG4,THR1,LYS12,BNA1,BNA2,CPA2,STR2,MET17,NAM2,CAR2,LEU3,ADI1,ARG80,GAD1,HER2,IDH1,MET4,MET2,CIT1,IDH2,MSY1,SAM4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cell wall organization or biogenesis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FLC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2,TIP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1,SPS22,SED1,DIT1,HKR1,ZRG8,GSC2,CRH1,SLT2,KIC1,QDR1,YPS6,MHP1,CWP1,PIR3,KTR2,YPS3,NCW2,CCW14,MYO5,ROT1,DFG5,SLA2,RIM21,KRE1,PKH2,HPF1,PTP2,MKK1,SRL1,FLC1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ion transport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DRS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2,FLC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2,BAP2,FTH1,PCA1,ENA5,DNF2,CCC2,PIC2,AVT6,FTR1,AUA1,AFT1,VHT1,TPO2,CCH1,MTM1,HSE1,YKE4,MRS3,COX19,FRE6,UPS1,FET3,ALP1,ATO2,PHO91,FRE7,MCH5,COT1,FLC1,TPO3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carbohydrate metabolic process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DEP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1,ADH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5,MAL33,MAL32,GLK1,CIT2,NTH1,REG1,HKR1,GLC3,GPP2,SAK1,IGD1,HXK1,PYC1,AMS1,GSC2,CRH1,ENO1,MAL12,AAP1,GRE3,TDH1,SIP4,CBF1,RGT1,XYL2,GSY2,TSL1,GCR2,GDB1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chromatin organization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SWC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3,DEP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1,LDB7,CYC8,RIF1,NSI1,REG1,HDA2,SUM1,EAF1,DOT6,RPH1,EPL1,PNC1,TRA1,ORC6,YAP5,CBF1,JHD2,MLP1,IFH1,NAT4,ESC1,ZDS1,UBP10,SIN3,SAS5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mitochondrion organization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SSA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1,ATG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8,MIC12,SLM3,SED1,NUM1,MHR1,SDH6,SOM1,MDJ1,RPO41,MTO1,AIM17,MAS2,ARC15,NCA3,HOT13,PUF3,COX19,VPS13,COA4,ACO1,ATP11,YOR019W,MIP1,HSP82,ATG41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mitochondrial translation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MRPS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9,IMG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1,MRPL11,RSM10,MRX14,MRPL1,MRPL7,MHR1,MRP1,MRP20,MRF1,MRPS35,MRP4,DIA4,MAM33,RSM25,MRPL8,RSM7,MEF1,NAM2,MRPL4,YML6,MRPL3,MRPL19,RSM19,MSY1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signaling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FUS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3,EDE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1,SSK22,SNF3,SOK1,AFR1,HKR1,STE2,GPG1,MDS3,SIP2,PDE1,MSB2,SLT2,KOG1,SLN1,TPK1,SSK1,CMK2,PKH2,BAG7,PTP2,MKK1,RLM1,CLN2,OPY2</w:t>
            </w:r>
          </w:p>
        </w:tc>
      </w:tr>
      <w:tr w:rsidR="005F5A70" w:rsidRPr="00E81C7E" w:rsidTr="00C9567D">
        <w:trPr>
          <w:trHeight w:val="71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cytoskeleton organization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ABP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1,NUM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1,HSP42,LSB1,CAP2,ARC15,PRK1,PAN1,BBC1,MHP1,CAP1,SSK1,POM34,ENT2,VRP1,CTF13,ROT1,SPO1,SLA2,BNI1,PCL1,SCD5,ASR1,PIN3</w:t>
            </w:r>
          </w:p>
        </w:tc>
      </w:tr>
      <w:tr w:rsidR="005F5A70" w:rsidRPr="00E81C7E" w:rsidTr="00C9567D">
        <w:trPr>
          <w:trHeight w:val="48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generation of precursor metabolites and energy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ADH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5,GLK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1,REG1,SDH4,GLC3,IGD1,HXK1,ENO1,AAP1,MAM33,TDH1,PET10,PUF3,HAP1,GSY2,ACO1,PPA2,IDH1,GCR2,CIT1,IDH2,GDB1</w:t>
            </w:r>
          </w:p>
        </w:tc>
      </w:tr>
      <w:tr w:rsidR="005F5A70" w:rsidRPr="00E81C7E" w:rsidTr="00C9567D">
        <w:trPr>
          <w:trHeight w:val="48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endocytosis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DRS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2,SWH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1,EDE1,ECM21,FTH1,SDS24,OSH2,DNF2,RIM8,PRK1,PAN1,ALY2,OSH6,ENT2,VRP1,MYO5,YPT53,JJJ1,SLA2,SCD5,HRR25</w:t>
            </w:r>
          </w:p>
        </w:tc>
      </w:tr>
      <w:tr w:rsidR="005F5A70" w:rsidRPr="00E81C7E" w:rsidTr="00C9567D">
        <w:trPr>
          <w:trHeight w:val="48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protein phosphorylation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FUS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3,YIH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1,SSK22,SAK1,SIP2,SLT2,PRK1,SLN1,TPK1,HSL1,SSK1,PCL1,CMK2,PKH2,PTP2,MKK1,HRK1,YPL150W,HRR25,CLN2</w:t>
            </w:r>
          </w:p>
        </w:tc>
      </w:tr>
      <w:tr w:rsidR="005F5A70" w:rsidRPr="00E81C7E" w:rsidTr="00C9567D">
        <w:trPr>
          <w:trHeight w:val="959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E81C7E">
              <w:rPr>
                <w:rFonts w:ascii="Arial" w:hAnsi="Arial" w:cs="Arial"/>
                <w:sz w:val="16"/>
                <w:szCs w:val="16"/>
              </w:rPr>
              <w:t>transposition</w:t>
            </w:r>
          </w:p>
        </w:tc>
        <w:tc>
          <w:tcPr>
            <w:tcW w:w="6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8" w:type="dxa"/>
              <w:bottom w:w="0" w:type="dxa"/>
              <w:right w:w="98" w:type="dxa"/>
            </w:tcMar>
            <w:hideMark/>
          </w:tcPr>
          <w:p w:rsidR="005F5A70" w:rsidRPr="00E81C7E" w:rsidRDefault="005F5A70" w:rsidP="005F5A70">
            <w:pPr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YBL005W-</w:t>
            </w:r>
            <w:proofErr w:type="gramStart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B,FUS</w:t>
            </w:r>
            <w:proofErr w:type="gramEnd"/>
            <w:r w:rsidRPr="00E81C7E">
              <w:rPr>
                <w:rFonts w:ascii="Arial" w:hAnsi="Arial" w:cs="Arial"/>
                <w:i/>
                <w:iCs/>
                <w:sz w:val="16"/>
                <w:szCs w:val="16"/>
              </w:rPr>
              <w:t>3,YBR012W-B,YDR261W-B, RTT103, YER160C, YGR027W-B,YGR109W-A,YGR109W-B,YGR161C-D,YHL009W-B, YIL082W,YIL082W-A,YJL113W,YJR029W,YLR035C-A, YMR045C, YMR050C,YNL284C-B,YOR142W-B</w:t>
            </w:r>
          </w:p>
        </w:tc>
      </w:tr>
    </w:tbl>
    <w:p w:rsidR="005F5A70" w:rsidRPr="00DE57A2" w:rsidRDefault="005F5A70" w:rsidP="005F5A70">
      <w:pPr>
        <w:spacing w:line="240" w:lineRule="auto"/>
        <w:rPr>
          <w:rFonts w:ascii="Arial" w:hAnsi="Arial" w:cs="Arial"/>
          <w:sz w:val="16"/>
          <w:szCs w:val="16"/>
        </w:rPr>
      </w:pPr>
    </w:p>
    <w:p w:rsidR="005F5A70" w:rsidRDefault="005F5A70" w:rsidP="005F5A70">
      <w:pPr>
        <w:spacing w:line="240" w:lineRule="auto"/>
        <w:rPr>
          <w:rFonts w:ascii="Arial" w:hAnsi="Arial" w:cs="Arial"/>
          <w:sz w:val="16"/>
          <w:szCs w:val="16"/>
        </w:rPr>
      </w:pPr>
      <w:r w:rsidRPr="00DE57A2">
        <w:rPr>
          <w:rFonts w:ascii="Arial" w:hAnsi="Arial" w:cs="Arial"/>
          <w:sz w:val="16"/>
          <w:szCs w:val="16"/>
        </w:rPr>
        <w:br w:type="page"/>
      </w:r>
    </w:p>
    <w:p w:rsidR="00ED4E7D" w:rsidRPr="00391E14" w:rsidRDefault="00ED4E7D" w:rsidP="00ED4E7D">
      <w:pPr>
        <w:spacing w:line="240" w:lineRule="auto"/>
        <w:rPr>
          <w:lang w:val="en-GB" w:bidi="de-DE"/>
        </w:rPr>
      </w:pPr>
      <w:r>
        <w:rPr>
          <w:lang w:val="en-GB" w:bidi="de-DE"/>
        </w:rPr>
        <w:lastRenderedPageBreak/>
        <w:t xml:space="preserve">Table S2 – </w:t>
      </w:r>
      <w:r>
        <w:rPr>
          <w:lang w:val="en-GB" w:bidi="de-DE"/>
        </w:rPr>
        <w:t>G</w:t>
      </w:r>
      <w:r>
        <w:rPr>
          <w:lang w:val="en-GB" w:bidi="de-DE"/>
        </w:rPr>
        <w:t xml:space="preserve">enes </w:t>
      </w:r>
      <w:r w:rsidRPr="00ED4E7D">
        <w:rPr>
          <w:lang w:val="en-GB" w:bidi="de-DE"/>
        </w:rPr>
        <w:t>downregulated in</w:t>
      </w:r>
      <w:r>
        <w:rPr>
          <w:lang w:val="en-GB" w:bidi="de-DE"/>
        </w:rPr>
        <w:t xml:space="preserve"> </w:t>
      </w:r>
      <w:r w:rsidRPr="00C93832">
        <w:rPr>
          <w:i/>
          <w:iCs/>
          <w:lang w:val="en-GB" w:bidi="de-DE"/>
        </w:rPr>
        <w:t>act1-159</w:t>
      </w:r>
    </w:p>
    <w:p w:rsidR="00ED4E7D" w:rsidRPr="00ED4E7D" w:rsidRDefault="00ED4E7D" w:rsidP="005F5A70">
      <w:pPr>
        <w:spacing w:line="240" w:lineRule="auto"/>
        <w:rPr>
          <w:rFonts w:ascii="Arial" w:hAnsi="Arial" w:cs="Arial"/>
          <w:sz w:val="16"/>
          <w:szCs w:val="16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DE57A2">
              <w:rPr>
                <w:rFonts w:ascii="Arial" w:hAnsi="Arial" w:cs="Arial"/>
                <w:sz w:val="20"/>
                <w:szCs w:val="20"/>
              </w:rPr>
              <w:t>GO Process</w:t>
            </w:r>
          </w:p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9" w:type="dxa"/>
          </w:tcPr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E81C7E">
              <w:rPr>
                <w:rFonts w:ascii="Arial" w:hAnsi="Arial" w:cs="Arial"/>
                <w:sz w:val="20"/>
                <w:szCs w:val="20"/>
              </w:rPr>
              <w:t xml:space="preserve">Genes </w:t>
            </w:r>
            <w:r>
              <w:rPr>
                <w:rFonts w:ascii="Arial" w:hAnsi="Arial" w:cs="Arial"/>
                <w:sz w:val="20"/>
                <w:szCs w:val="20"/>
              </w:rPr>
              <w:t>downr</w:t>
            </w:r>
            <w:r w:rsidRPr="00E81C7E">
              <w:rPr>
                <w:rFonts w:ascii="Arial" w:hAnsi="Arial" w:cs="Arial"/>
                <w:sz w:val="20"/>
                <w:szCs w:val="20"/>
              </w:rPr>
              <w:t xml:space="preserve">egulated in </w:t>
            </w:r>
            <w:r w:rsidRPr="00E81C7E">
              <w:rPr>
                <w:rFonts w:ascii="Arial" w:hAnsi="Arial" w:cs="Arial"/>
                <w:i/>
                <w:iCs/>
                <w:sz w:val="20"/>
                <w:szCs w:val="20"/>
              </w:rPr>
              <w:t>act1-159</w:t>
            </w:r>
            <w:r w:rsidRPr="00E81C7E">
              <w:rPr>
                <w:rFonts w:ascii="Arial" w:hAnsi="Arial" w:cs="Arial"/>
                <w:sz w:val="20"/>
                <w:szCs w:val="20"/>
              </w:rPr>
              <w:t xml:space="preserve"> cells</w:t>
            </w:r>
            <w:r w:rsidRPr="00DE57A2">
              <w:rPr>
                <w:rFonts w:ascii="Arial" w:hAnsi="Arial" w:cs="Arial"/>
                <w:sz w:val="20"/>
                <w:szCs w:val="20"/>
              </w:rPr>
              <w:t xml:space="preserve"> vs wild type</w:t>
            </w:r>
          </w:p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lipid metabolic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process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HST4, CHO1, ERG28, ATF2, NEM1, EPT1, FAA3, APQ12, MCD4, ERG13, ERG5, GPI</w:t>
            </w:r>
            <w:proofErr w:type="gramStart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15,PSD</w:t>
            </w:r>
            <w:proofErr w:type="gramEnd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1, ARE2, ALG8, ALE1, EEB1</w:t>
            </w: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regulation of organelle</w:t>
            </w:r>
          </w:p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organization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GEM1, SPC19, DAD4, PET122, DAD2, YPT</w:t>
            </w:r>
            <w:proofErr w:type="gramStart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7,PSD</w:t>
            </w:r>
            <w:proofErr w:type="gramEnd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1, ASE1, CLB2</w:t>
            </w: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organelle fission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SWI5, ALK1, SOH1, IME4, DBF2, RFA</w:t>
            </w:r>
            <w:proofErr w:type="gramStart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3,MCK</w:t>
            </w:r>
            <w:proofErr w:type="gramEnd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1, SPO19, MCM16</w:t>
            </w:r>
          </w:p>
        </w:tc>
      </w:tr>
      <w:tr w:rsidR="005F5A70" w:rsidRPr="005F5A70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protein complex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biogenesis</w:t>
            </w:r>
          </w:p>
        </w:tc>
        <w:tc>
          <w:tcPr>
            <w:tcW w:w="6469" w:type="dxa"/>
          </w:tcPr>
          <w:p w:rsidR="005F5A70" w:rsidRPr="005F5A70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es-ES_tradnl"/>
              </w:rPr>
              <w:t>SPC19, DAD4, PET122, MPS2, VMA</w:t>
            </w:r>
            <w:proofErr w:type="gramStart"/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es-ES_tradnl"/>
              </w:rPr>
              <w:t>21,VOA</w:t>
            </w:r>
            <w:proofErr w:type="gramEnd"/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es-ES_tradnl"/>
              </w:rPr>
              <w:t>1, DAD2, ASE1</w:t>
            </w: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meiotic cell cycle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SOH1, IME4, RFA3, SUR7, RIM9, MCK</w:t>
            </w:r>
            <w:proofErr w:type="gramStart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1,SPS</w:t>
            </w:r>
            <w:proofErr w:type="gramEnd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4, SPO19</w:t>
            </w: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transcription from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RNA polymerase II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promoter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SWI5, NPL3, SOH1, RPI1, PHD1, GAT</w:t>
            </w:r>
            <w:proofErr w:type="gramStart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2,IZH</w:t>
            </w:r>
            <w:proofErr w:type="gramEnd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2, RPB10</w:t>
            </w:r>
          </w:p>
          <w:p w:rsidR="005F5A70" w:rsidRPr="00DE57A2" w:rsidRDefault="005F5A70" w:rsidP="005F5A70">
            <w:pPr>
              <w:tabs>
                <w:tab w:val="left" w:pos="1905"/>
              </w:tabs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mitotic cell cycle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SWI5, ALK1, CDC6, HOF1, MCK1, ASE1, MCM16, CLB2</w:t>
            </w:r>
          </w:p>
        </w:tc>
      </w:tr>
      <w:tr w:rsidR="005F5A70" w:rsidRPr="005F5A70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E57A2">
              <w:rPr>
                <w:rFonts w:ascii="Arial" w:hAnsi="Arial" w:cs="Arial"/>
                <w:sz w:val="16"/>
                <w:szCs w:val="16"/>
              </w:rPr>
              <w:t>Nucleobasecontaining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small</w:t>
            </w:r>
          </w:p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molecule metabolic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process</w:t>
            </w:r>
          </w:p>
        </w:tc>
        <w:tc>
          <w:tcPr>
            <w:tcW w:w="6469" w:type="dxa"/>
          </w:tcPr>
          <w:p w:rsidR="005F5A70" w:rsidRPr="005F5A70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  <w:lang w:val="pt-BR"/>
              </w:rPr>
            </w:pPr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pt-BR"/>
              </w:rPr>
              <w:t>CAB5, QCR9, IMD2, ADE13, URA4, ADE17, NRK1, ADE2</w:t>
            </w:r>
          </w:p>
        </w:tc>
      </w:tr>
      <w:tr w:rsidR="005F5A70" w:rsidRPr="005F5A70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Cytoskeleton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organization</w:t>
            </w:r>
          </w:p>
        </w:tc>
        <w:tc>
          <w:tcPr>
            <w:tcW w:w="6469" w:type="dxa"/>
          </w:tcPr>
          <w:p w:rsidR="005F5A70" w:rsidRPr="005F5A70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es-ES_tradnl"/>
              </w:rPr>
              <w:t>SPC19, DAD4, MPS2, DAD2, SPC24, ASE</w:t>
            </w:r>
            <w:proofErr w:type="gramStart"/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es-ES_tradnl"/>
              </w:rPr>
              <w:t>1,CLB</w:t>
            </w:r>
            <w:proofErr w:type="gramEnd"/>
            <w:r w:rsidRPr="005F5A70">
              <w:rPr>
                <w:rFonts w:ascii="Arial" w:hAnsi="Arial" w:cs="Arial"/>
                <w:i/>
                <w:iCs/>
                <w:sz w:val="16"/>
                <w:szCs w:val="16"/>
                <w:lang w:val="es-ES_tradnl"/>
              </w:rPr>
              <w:t>2</w:t>
            </w:r>
          </w:p>
        </w:tc>
      </w:tr>
      <w:tr w:rsidR="005F5A70" w:rsidRPr="00DE57A2" w:rsidTr="00C9567D">
        <w:tc>
          <w:tcPr>
            <w:tcW w:w="2547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sz w:val="16"/>
                <w:szCs w:val="16"/>
              </w:rPr>
              <w:t>Chromosome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57A2">
              <w:rPr>
                <w:rFonts w:ascii="Arial" w:hAnsi="Arial" w:cs="Arial"/>
                <w:sz w:val="16"/>
                <w:szCs w:val="16"/>
              </w:rPr>
              <w:t>segregation</w:t>
            </w:r>
          </w:p>
        </w:tc>
        <w:tc>
          <w:tcPr>
            <w:tcW w:w="6469" w:type="dxa"/>
          </w:tcPr>
          <w:p w:rsidR="005F5A70" w:rsidRPr="00DE57A2" w:rsidRDefault="005F5A70" w:rsidP="005F5A70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SPC19, DAD4, SOH1, DAD2, SPC24, MCK</w:t>
            </w:r>
            <w:proofErr w:type="gramStart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1,MCM</w:t>
            </w:r>
            <w:proofErr w:type="gramEnd"/>
            <w:r w:rsidRPr="00DE57A2">
              <w:rPr>
                <w:rFonts w:ascii="Arial" w:hAnsi="Arial" w:cs="Arial"/>
                <w:i/>
                <w:iCs/>
                <w:sz w:val="16"/>
                <w:szCs w:val="16"/>
              </w:rPr>
              <w:t>16</w:t>
            </w:r>
          </w:p>
        </w:tc>
      </w:tr>
    </w:tbl>
    <w:p w:rsidR="005F5A70" w:rsidRPr="00E81C7E" w:rsidRDefault="005F5A70" w:rsidP="005F5A70">
      <w:pPr>
        <w:spacing w:line="240" w:lineRule="auto"/>
        <w:rPr>
          <w:sz w:val="16"/>
          <w:szCs w:val="16"/>
        </w:rPr>
      </w:pPr>
    </w:p>
    <w:p w:rsidR="002D7258" w:rsidRPr="005F5A70" w:rsidRDefault="002D7258" w:rsidP="005F5A70">
      <w:pPr>
        <w:spacing w:line="240" w:lineRule="auto"/>
        <w:rPr>
          <w:lang w:bidi="de-DE"/>
        </w:rPr>
      </w:pPr>
    </w:p>
    <w:p w:rsidR="00693D4D" w:rsidRPr="00BB5A3C" w:rsidRDefault="00693D4D" w:rsidP="005F5A70">
      <w:pPr>
        <w:spacing w:line="240" w:lineRule="auto"/>
        <w:rPr>
          <w:lang w:val="en-GB"/>
        </w:rPr>
      </w:pPr>
    </w:p>
    <w:sectPr w:rsidR="00693D4D" w:rsidRPr="00BB5A3C" w:rsidSect="00711727">
      <w:headerReference w:type="even" r:id="rId9"/>
      <w:pgSz w:w="11900" w:h="16840"/>
      <w:pgMar w:top="1418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C01" w:rsidRDefault="00581D1F" w:rsidP="003270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A3C"/>
    <w:rsid w:val="002D71EA"/>
    <w:rsid w:val="002D7258"/>
    <w:rsid w:val="00581D1F"/>
    <w:rsid w:val="005F5A70"/>
    <w:rsid w:val="00693D4D"/>
    <w:rsid w:val="00702842"/>
    <w:rsid w:val="00BB5A3C"/>
    <w:rsid w:val="00CD3440"/>
    <w:rsid w:val="00D80A04"/>
    <w:rsid w:val="00EC3D33"/>
    <w:rsid w:val="00ED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53D2E5"/>
  <w14:defaultImageDpi w14:val="32767"/>
  <w15:chartTrackingRefBased/>
  <w15:docId w15:val="{A7C17969-5587-1F4E-89BC-E69C03D5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autoRedefine/>
    <w:qFormat/>
    <w:rsid w:val="00BB5A3C"/>
    <w:pPr>
      <w:tabs>
        <w:tab w:val="left" w:pos="3017"/>
      </w:tabs>
      <w:spacing w:line="480" w:lineRule="auto"/>
      <w:jc w:val="both"/>
    </w:pPr>
    <w:rPr>
      <w:rFonts w:ascii="Times New Roman" w:eastAsia="Times New Roman" w:hAnsi="Times New Roman" w:cs="Times New Roman"/>
      <w:lang w:val="en-U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BB5A3C"/>
    <w:rPr>
      <w:b/>
      <w:bCs/>
    </w:rPr>
  </w:style>
  <w:style w:type="table" w:styleId="Tabellenraster">
    <w:name w:val="Table Grid"/>
    <w:basedOn w:val="NormaleTabelle"/>
    <w:uiPriority w:val="39"/>
    <w:rsid w:val="005F5A70"/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738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Rockenfeller</dc:creator>
  <cp:keywords/>
  <dc:description/>
  <cp:lastModifiedBy>Patrick Rockenfeller</cp:lastModifiedBy>
  <cp:revision>6</cp:revision>
  <dcterms:created xsi:type="dcterms:W3CDTF">2022-11-23T10:32:00Z</dcterms:created>
  <dcterms:modified xsi:type="dcterms:W3CDTF">2022-11-23T13:40:00Z</dcterms:modified>
</cp:coreProperties>
</file>