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34B3" w14:textId="77777777" w:rsidR="00072B8F" w:rsidRPr="00E36D7A" w:rsidRDefault="00072B8F" w:rsidP="00072B8F">
      <w:pPr>
        <w:pStyle w:val="MDPI31text"/>
        <w:ind w:left="142" w:firstLine="0"/>
        <w:jc w:val="center"/>
      </w:pPr>
      <w:r>
        <w:t>Supplementary</w:t>
      </w:r>
      <w:r w:rsidRPr="00D6702A">
        <w:tab/>
      </w:r>
      <w:r w:rsidRPr="00E36D7A">
        <w:t xml:space="preserve">Table </w:t>
      </w:r>
      <w:r>
        <w:t>S1</w:t>
      </w:r>
      <w:r w:rsidRPr="00E36D7A">
        <w:t>. Extraction accuracy for validation</w:t>
      </w:r>
    </w:p>
    <w:p w14:paraId="31566496" w14:textId="77777777" w:rsidR="00072B8F" w:rsidRPr="00E36D7A" w:rsidRDefault="00072B8F" w:rsidP="00072B8F">
      <w:pPr>
        <w:jc w:val="center"/>
      </w:pPr>
    </w:p>
    <w:p w14:paraId="12FB6DF3" w14:textId="77777777" w:rsidR="00072B8F" w:rsidRPr="00E36D7A" w:rsidRDefault="00072B8F" w:rsidP="00072B8F">
      <w:pPr>
        <w:pStyle w:val="MDPI31text"/>
        <w:ind w:left="0" w:firstLine="0"/>
      </w:pPr>
    </w:p>
    <w:tbl>
      <w:tblPr>
        <w:tblStyle w:val="1-3"/>
        <w:tblW w:w="8939" w:type="dxa"/>
        <w:tblLook w:val="04A0" w:firstRow="1" w:lastRow="0" w:firstColumn="1" w:lastColumn="0" w:noHBand="0" w:noVBand="1"/>
      </w:tblPr>
      <w:tblGrid>
        <w:gridCol w:w="3046"/>
        <w:gridCol w:w="3356"/>
        <w:gridCol w:w="1231"/>
        <w:gridCol w:w="1306"/>
      </w:tblGrid>
      <w:tr w:rsidR="00D36423" w:rsidRPr="00D36423" w14:paraId="4F906189" w14:textId="77777777" w:rsidTr="00D36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vMerge w:val="restart"/>
            <w:hideMark/>
          </w:tcPr>
          <w:p w14:paraId="58B18FB2" w14:textId="77777777" w:rsidR="00D36423" w:rsidRPr="00D36423" w:rsidRDefault="00D36423" w:rsidP="00D36423">
            <w:pPr>
              <w:spacing w:line="240" w:lineRule="auto"/>
              <w:jc w:val="center"/>
              <w:rPr>
                <w:rFonts w:eastAsia="맑은 고딕" w:cs="굴림"/>
                <w:lang w:eastAsia="ko-KR"/>
              </w:rPr>
            </w:pPr>
            <w:r w:rsidRPr="00D36423">
              <w:rPr>
                <w:rFonts w:eastAsia="맑은 고딕" w:cs="굴림"/>
                <w:lang w:eastAsia="ko-KR"/>
              </w:rPr>
              <w:t>Variable</w:t>
            </w:r>
          </w:p>
        </w:tc>
        <w:tc>
          <w:tcPr>
            <w:tcW w:w="3356" w:type="dxa"/>
            <w:vMerge w:val="restart"/>
            <w:hideMark/>
          </w:tcPr>
          <w:p w14:paraId="2EE284BE" w14:textId="77777777" w:rsidR="00D36423" w:rsidRPr="00D36423" w:rsidRDefault="00D36423" w:rsidP="00D3642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lang w:eastAsia="ko-KR"/>
              </w:rPr>
            </w:pPr>
            <w:r w:rsidRPr="00D36423">
              <w:rPr>
                <w:rFonts w:eastAsia="맑은 고딕" w:cs="굴림"/>
                <w:lang w:eastAsia="ko-KR"/>
              </w:rPr>
              <w:t>Description</w:t>
            </w:r>
          </w:p>
        </w:tc>
        <w:tc>
          <w:tcPr>
            <w:tcW w:w="1231" w:type="dxa"/>
            <w:hideMark/>
          </w:tcPr>
          <w:p w14:paraId="430B4823" w14:textId="77777777" w:rsidR="00D36423" w:rsidRPr="00D36423" w:rsidRDefault="00D36423" w:rsidP="00D3642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lang w:eastAsia="ko-KR"/>
              </w:rPr>
            </w:pPr>
            <w:r w:rsidRPr="00D36423">
              <w:rPr>
                <w:rFonts w:eastAsia="맑은 고딕" w:cs="굴림"/>
                <w:lang w:eastAsia="ko-KR"/>
              </w:rPr>
              <w:t>Accuracy</w:t>
            </w:r>
          </w:p>
        </w:tc>
        <w:tc>
          <w:tcPr>
            <w:tcW w:w="1306" w:type="dxa"/>
            <w:hideMark/>
          </w:tcPr>
          <w:p w14:paraId="22DB3BC3" w14:textId="77777777" w:rsidR="00D36423" w:rsidRPr="00D36423" w:rsidRDefault="00D36423" w:rsidP="00D3642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lang w:eastAsia="ko-KR"/>
              </w:rPr>
            </w:pPr>
            <w:r w:rsidRPr="00D36423">
              <w:rPr>
                <w:rFonts w:eastAsia="맑은 고딕" w:cs="굴림"/>
                <w:lang w:eastAsia="ko-KR"/>
              </w:rPr>
              <w:t>Accuracy</w:t>
            </w:r>
          </w:p>
        </w:tc>
      </w:tr>
      <w:tr w:rsidR="00D36423" w:rsidRPr="00D36423" w14:paraId="2445AC3B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vMerge/>
            <w:hideMark/>
          </w:tcPr>
          <w:p w14:paraId="70FA995C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lang w:eastAsia="ko-KR"/>
              </w:rPr>
            </w:pPr>
          </w:p>
        </w:tc>
        <w:tc>
          <w:tcPr>
            <w:tcW w:w="3356" w:type="dxa"/>
            <w:vMerge/>
            <w:hideMark/>
          </w:tcPr>
          <w:p w14:paraId="58DA6165" w14:textId="77777777" w:rsidR="00D36423" w:rsidRPr="00D36423" w:rsidRDefault="00D36423" w:rsidP="00D364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b/>
                <w:bCs/>
                <w:lang w:eastAsia="ko-KR"/>
              </w:rPr>
            </w:pPr>
          </w:p>
        </w:tc>
        <w:tc>
          <w:tcPr>
            <w:tcW w:w="1231" w:type="dxa"/>
            <w:hideMark/>
          </w:tcPr>
          <w:p w14:paraId="4CD74D03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b/>
                <w:bCs/>
                <w:lang w:eastAsia="ko-KR"/>
              </w:rPr>
            </w:pPr>
            <w:r w:rsidRPr="00D36423">
              <w:rPr>
                <w:rFonts w:eastAsia="맑은 고딕" w:cs="굴림"/>
                <w:b/>
                <w:bCs/>
                <w:lang w:eastAsia="ko-KR"/>
              </w:rPr>
              <w:t>(BioBERT)</w:t>
            </w:r>
          </w:p>
        </w:tc>
        <w:tc>
          <w:tcPr>
            <w:tcW w:w="1306" w:type="dxa"/>
            <w:hideMark/>
          </w:tcPr>
          <w:p w14:paraId="7AB24673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b/>
                <w:bCs/>
                <w:lang w:eastAsia="ko-KR"/>
              </w:rPr>
            </w:pPr>
            <w:r w:rsidRPr="00D36423">
              <w:rPr>
                <w:rFonts w:eastAsia="맑은 고딕" w:cs="굴림"/>
                <w:b/>
                <w:bCs/>
                <w:lang w:eastAsia="ko-KR"/>
              </w:rPr>
              <w:t>(Regular expression)</w:t>
            </w:r>
          </w:p>
        </w:tc>
      </w:tr>
      <w:tr w:rsidR="00D36423" w:rsidRPr="00D36423" w14:paraId="60E554F0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1FED100E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Organ</w:t>
            </w:r>
          </w:p>
        </w:tc>
        <w:tc>
          <w:tcPr>
            <w:tcW w:w="3356" w:type="dxa"/>
            <w:hideMark/>
          </w:tcPr>
          <w:p w14:paraId="648D9A89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Organization name (ex. Breast)</w:t>
            </w:r>
          </w:p>
        </w:tc>
        <w:tc>
          <w:tcPr>
            <w:tcW w:w="1231" w:type="dxa"/>
            <w:hideMark/>
          </w:tcPr>
          <w:p w14:paraId="276E757A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0.996785</w:t>
            </w:r>
          </w:p>
        </w:tc>
        <w:tc>
          <w:tcPr>
            <w:tcW w:w="1306" w:type="dxa"/>
            <w:hideMark/>
          </w:tcPr>
          <w:p w14:paraId="539D9EE3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</w:tr>
      <w:tr w:rsidR="00D36423" w:rsidRPr="00D36423" w14:paraId="73777E71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58F8594C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Tumor site</w:t>
            </w:r>
          </w:p>
        </w:tc>
        <w:tc>
          <w:tcPr>
            <w:tcW w:w="3356" w:type="dxa"/>
            <w:hideMark/>
          </w:tcPr>
          <w:p w14:paraId="4A8697D8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Location</w:t>
            </w:r>
          </w:p>
        </w:tc>
        <w:tc>
          <w:tcPr>
            <w:tcW w:w="1231" w:type="dxa"/>
            <w:hideMark/>
          </w:tcPr>
          <w:p w14:paraId="287C0E24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0.996785</w:t>
            </w:r>
          </w:p>
        </w:tc>
        <w:tc>
          <w:tcPr>
            <w:tcW w:w="1306" w:type="dxa"/>
            <w:hideMark/>
          </w:tcPr>
          <w:p w14:paraId="3A37384C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0.954733</w:t>
            </w:r>
          </w:p>
        </w:tc>
      </w:tr>
      <w:tr w:rsidR="00D36423" w:rsidRPr="00D36423" w14:paraId="0CA5D866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4A3AB627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Histologic type</w:t>
            </w:r>
          </w:p>
        </w:tc>
        <w:tc>
          <w:tcPr>
            <w:tcW w:w="3356" w:type="dxa"/>
            <w:hideMark/>
          </w:tcPr>
          <w:p w14:paraId="496ACECF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Histologic type</w:t>
            </w:r>
          </w:p>
        </w:tc>
        <w:tc>
          <w:tcPr>
            <w:tcW w:w="1231" w:type="dxa"/>
            <w:hideMark/>
          </w:tcPr>
          <w:p w14:paraId="218CB078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0.987261</w:t>
            </w:r>
          </w:p>
        </w:tc>
        <w:tc>
          <w:tcPr>
            <w:tcW w:w="1306" w:type="dxa"/>
            <w:hideMark/>
          </w:tcPr>
          <w:p w14:paraId="2D5ABA32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0.906996</w:t>
            </w:r>
          </w:p>
        </w:tc>
      </w:tr>
      <w:tr w:rsidR="00D36423" w:rsidRPr="00D36423" w14:paraId="429CE8EB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516B786D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proofErr w:type="spellStart"/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Intraductal_comp</w:t>
            </w:r>
            <w:proofErr w:type="spellEnd"/>
          </w:p>
        </w:tc>
        <w:tc>
          <w:tcPr>
            <w:tcW w:w="3356" w:type="dxa"/>
            <w:noWrap/>
            <w:hideMark/>
          </w:tcPr>
          <w:p w14:paraId="22F7D05B" w14:textId="77777777" w:rsidR="00D36423" w:rsidRPr="00D36423" w:rsidRDefault="00D36423" w:rsidP="00D364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intraductal component status</w:t>
            </w:r>
          </w:p>
        </w:tc>
        <w:tc>
          <w:tcPr>
            <w:tcW w:w="1231" w:type="dxa"/>
            <w:hideMark/>
          </w:tcPr>
          <w:p w14:paraId="1800F5F9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0.996</w:t>
            </w:r>
          </w:p>
        </w:tc>
        <w:tc>
          <w:tcPr>
            <w:tcW w:w="1306" w:type="dxa"/>
            <w:hideMark/>
          </w:tcPr>
          <w:p w14:paraId="77E90CCC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0.165844</w:t>
            </w:r>
          </w:p>
        </w:tc>
      </w:tr>
      <w:tr w:rsidR="00D36423" w:rsidRPr="00D36423" w14:paraId="3BE55B2C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18A04E20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Nuclear grade</w:t>
            </w:r>
          </w:p>
        </w:tc>
        <w:tc>
          <w:tcPr>
            <w:tcW w:w="3356" w:type="dxa"/>
            <w:hideMark/>
          </w:tcPr>
          <w:p w14:paraId="58E1D16E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Nuclear grade</w:t>
            </w:r>
          </w:p>
        </w:tc>
        <w:tc>
          <w:tcPr>
            <w:tcW w:w="1231" w:type="dxa"/>
            <w:hideMark/>
          </w:tcPr>
          <w:p w14:paraId="6A2C3E74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3E64CBA5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0.992915</w:t>
            </w:r>
          </w:p>
        </w:tc>
      </w:tr>
      <w:tr w:rsidR="00D36423" w:rsidRPr="00D36423" w14:paraId="7221BDAE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68E785D7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Necrosis status</w:t>
            </w:r>
          </w:p>
        </w:tc>
        <w:tc>
          <w:tcPr>
            <w:tcW w:w="3356" w:type="dxa"/>
            <w:hideMark/>
          </w:tcPr>
          <w:p w14:paraId="150687AA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Necrosis</w:t>
            </w:r>
          </w:p>
        </w:tc>
        <w:tc>
          <w:tcPr>
            <w:tcW w:w="1231" w:type="dxa"/>
            <w:hideMark/>
          </w:tcPr>
          <w:p w14:paraId="368F3038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0.995951</w:t>
            </w:r>
          </w:p>
        </w:tc>
        <w:tc>
          <w:tcPr>
            <w:tcW w:w="1306" w:type="dxa"/>
            <w:hideMark/>
          </w:tcPr>
          <w:p w14:paraId="2E39954F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0.995951</w:t>
            </w:r>
          </w:p>
        </w:tc>
      </w:tr>
      <w:tr w:rsidR="00D36423" w:rsidRPr="00D36423" w14:paraId="63C957C2" w14:textId="77777777" w:rsidTr="00D3642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1376AF14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Skin and nipple</w:t>
            </w:r>
          </w:p>
        </w:tc>
        <w:tc>
          <w:tcPr>
            <w:tcW w:w="3356" w:type="dxa"/>
            <w:noWrap/>
            <w:hideMark/>
          </w:tcPr>
          <w:p w14:paraId="4B275746" w14:textId="77777777" w:rsidR="00D36423" w:rsidRPr="00D36423" w:rsidRDefault="00D36423" w:rsidP="00D3642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skin and nipple invasion status</w:t>
            </w:r>
          </w:p>
        </w:tc>
        <w:tc>
          <w:tcPr>
            <w:tcW w:w="1231" w:type="dxa"/>
            <w:hideMark/>
          </w:tcPr>
          <w:p w14:paraId="3F4BFD6F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0.98951</w:t>
            </w:r>
          </w:p>
        </w:tc>
        <w:tc>
          <w:tcPr>
            <w:tcW w:w="1306" w:type="dxa"/>
            <w:hideMark/>
          </w:tcPr>
          <w:p w14:paraId="61465F78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5A8DFD9B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3E388D29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Lymph nodes</w:t>
            </w:r>
          </w:p>
        </w:tc>
        <w:tc>
          <w:tcPr>
            <w:tcW w:w="3356" w:type="dxa"/>
            <w:hideMark/>
          </w:tcPr>
          <w:p w14:paraId="1A8C3603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Lymph node (count)</w:t>
            </w:r>
          </w:p>
        </w:tc>
        <w:tc>
          <w:tcPr>
            <w:tcW w:w="1231" w:type="dxa"/>
            <w:hideMark/>
          </w:tcPr>
          <w:p w14:paraId="1000DBF2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0C029800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0.35833</w:t>
            </w:r>
          </w:p>
        </w:tc>
      </w:tr>
      <w:tr w:rsidR="00D36423" w:rsidRPr="00D36423" w14:paraId="6343CC4F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144719B3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Arteriovenous invasion</w:t>
            </w:r>
          </w:p>
        </w:tc>
        <w:tc>
          <w:tcPr>
            <w:tcW w:w="3356" w:type="dxa"/>
            <w:hideMark/>
          </w:tcPr>
          <w:p w14:paraId="06B19B35" w14:textId="6DE28AC8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Arteriovenous</w:t>
            </w: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 xml:space="preserve"> invasion</w:t>
            </w:r>
          </w:p>
        </w:tc>
        <w:tc>
          <w:tcPr>
            <w:tcW w:w="1231" w:type="dxa"/>
            <w:hideMark/>
          </w:tcPr>
          <w:p w14:paraId="669BF60D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083B3A9A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0.979432</w:t>
            </w:r>
          </w:p>
        </w:tc>
      </w:tr>
      <w:tr w:rsidR="00D36423" w:rsidRPr="00D36423" w14:paraId="4C57D15D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3B01CC8A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proofErr w:type="spellStart"/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Lymphovascular</w:t>
            </w:r>
            <w:proofErr w:type="spellEnd"/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 xml:space="preserve"> invasion</w:t>
            </w:r>
          </w:p>
        </w:tc>
        <w:tc>
          <w:tcPr>
            <w:tcW w:w="3356" w:type="dxa"/>
            <w:hideMark/>
          </w:tcPr>
          <w:p w14:paraId="4F109BCE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proofErr w:type="spellStart"/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Lymphovascular</w:t>
            </w:r>
            <w:proofErr w:type="spellEnd"/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 xml:space="preserve"> invasion</w:t>
            </w:r>
          </w:p>
        </w:tc>
        <w:tc>
          <w:tcPr>
            <w:tcW w:w="1231" w:type="dxa"/>
            <w:hideMark/>
          </w:tcPr>
          <w:p w14:paraId="4B36073A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0.995984</w:t>
            </w:r>
          </w:p>
        </w:tc>
        <w:tc>
          <w:tcPr>
            <w:tcW w:w="1306" w:type="dxa"/>
            <w:hideMark/>
          </w:tcPr>
          <w:p w14:paraId="72C00A4B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0.37549</w:t>
            </w:r>
          </w:p>
        </w:tc>
      </w:tr>
      <w:tr w:rsidR="00D36423" w:rsidRPr="00D36423" w14:paraId="017FFB6F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6007A8D6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Tumor border</w:t>
            </w:r>
          </w:p>
        </w:tc>
        <w:tc>
          <w:tcPr>
            <w:tcW w:w="3356" w:type="dxa"/>
            <w:hideMark/>
          </w:tcPr>
          <w:p w14:paraId="20E50198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Tumor border</w:t>
            </w:r>
          </w:p>
        </w:tc>
        <w:tc>
          <w:tcPr>
            <w:tcW w:w="1231" w:type="dxa"/>
            <w:hideMark/>
          </w:tcPr>
          <w:p w14:paraId="0C7AF49F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6407276A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0.996086</w:t>
            </w:r>
          </w:p>
        </w:tc>
      </w:tr>
      <w:tr w:rsidR="00D36423" w:rsidRPr="00D36423" w14:paraId="706D979B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25DD7059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Microcalcification</w:t>
            </w:r>
          </w:p>
        </w:tc>
        <w:tc>
          <w:tcPr>
            <w:tcW w:w="3356" w:type="dxa"/>
            <w:hideMark/>
          </w:tcPr>
          <w:p w14:paraId="3B2BC174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Microcalcification</w:t>
            </w:r>
          </w:p>
        </w:tc>
        <w:tc>
          <w:tcPr>
            <w:tcW w:w="1231" w:type="dxa"/>
            <w:hideMark/>
          </w:tcPr>
          <w:p w14:paraId="18A94A2F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318FB05C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0.138865</w:t>
            </w:r>
          </w:p>
        </w:tc>
      </w:tr>
      <w:tr w:rsidR="00D36423" w:rsidRPr="00D36423" w14:paraId="6CA7A69A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375DFB83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Pathologic stage</w:t>
            </w:r>
          </w:p>
        </w:tc>
        <w:tc>
          <w:tcPr>
            <w:tcW w:w="3356" w:type="dxa"/>
            <w:hideMark/>
          </w:tcPr>
          <w:p w14:paraId="2B86A124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Pathologic stage</w:t>
            </w:r>
          </w:p>
        </w:tc>
        <w:tc>
          <w:tcPr>
            <w:tcW w:w="1231" w:type="dxa"/>
            <w:hideMark/>
          </w:tcPr>
          <w:p w14:paraId="66E09FAB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0.996296</w:t>
            </w:r>
          </w:p>
        </w:tc>
        <w:tc>
          <w:tcPr>
            <w:tcW w:w="1306" w:type="dxa"/>
            <w:hideMark/>
          </w:tcPr>
          <w:p w14:paraId="525A48CC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0.99448</w:t>
            </w:r>
          </w:p>
        </w:tc>
      </w:tr>
      <w:tr w:rsidR="00D36423" w:rsidRPr="00D36423" w14:paraId="245A2EEB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76AF62BE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Superior margin</w:t>
            </w:r>
          </w:p>
        </w:tc>
        <w:tc>
          <w:tcPr>
            <w:tcW w:w="3356" w:type="dxa"/>
            <w:hideMark/>
          </w:tcPr>
          <w:p w14:paraId="416C1C84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Superficial margin</w:t>
            </w:r>
          </w:p>
        </w:tc>
        <w:tc>
          <w:tcPr>
            <w:tcW w:w="1231" w:type="dxa"/>
            <w:hideMark/>
          </w:tcPr>
          <w:p w14:paraId="6B8ED9C7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0.969697</w:t>
            </w:r>
          </w:p>
        </w:tc>
        <w:tc>
          <w:tcPr>
            <w:tcW w:w="1306" w:type="dxa"/>
            <w:hideMark/>
          </w:tcPr>
          <w:p w14:paraId="6245A1B9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21414D92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32C6B8C0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Inferior margin</w:t>
            </w:r>
          </w:p>
        </w:tc>
        <w:tc>
          <w:tcPr>
            <w:tcW w:w="3356" w:type="dxa"/>
            <w:hideMark/>
          </w:tcPr>
          <w:p w14:paraId="0CAA6D41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Inferior margin</w:t>
            </w:r>
          </w:p>
        </w:tc>
        <w:tc>
          <w:tcPr>
            <w:tcW w:w="1231" w:type="dxa"/>
            <w:hideMark/>
          </w:tcPr>
          <w:p w14:paraId="012DFF61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0.991489</w:t>
            </w:r>
          </w:p>
        </w:tc>
        <w:tc>
          <w:tcPr>
            <w:tcW w:w="1306" w:type="dxa"/>
            <w:hideMark/>
          </w:tcPr>
          <w:p w14:paraId="5CAAD885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6AB339D1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6149A484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Medial margin</w:t>
            </w:r>
          </w:p>
        </w:tc>
        <w:tc>
          <w:tcPr>
            <w:tcW w:w="3356" w:type="dxa"/>
            <w:hideMark/>
          </w:tcPr>
          <w:p w14:paraId="61394AEC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Medial margin</w:t>
            </w:r>
          </w:p>
        </w:tc>
        <w:tc>
          <w:tcPr>
            <w:tcW w:w="1231" w:type="dxa"/>
            <w:hideMark/>
          </w:tcPr>
          <w:p w14:paraId="6DFC19F2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0.979167</w:t>
            </w:r>
          </w:p>
        </w:tc>
        <w:tc>
          <w:tcPr>
            <w:tcW w:w="1306" w:type="dxa"/>
            <w:hideMark/>
          </w:tcPr>
          <w:p w14:paraId="7B7C4D6D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22E4F224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78BE046D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Lateral margin</w:t>
            </w:r>
          </w:p>
        </w:tc>
        <w:tc>
          <w:tcPr>
            <w:tcW w:w="3356" w:type="dxa"/>
            <w:hideMark/>
          </w:tcPr>
          <w:p w14:paraId="2CBCD351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Lateral margin</w:t>
            </w:r>
          </w:p>
        </w:tc>
        <w:tc>
          <w:tcPr>
            <w:tcW w:w="1231" w:type="dxa"/>
            <w:hideMark/>
          </w:tcPr>
          <w:p w14:paraId="63039EDE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0.987448</w:t>
            </w:r>
          </w:p>
        </w:tc>
        <w:tc>
          <w:tcPr>
            <w:tcW w:w="1306" w:type="dxa"/>
            <w:hideMark/>
          </w:tcPr>
          <w:p w14:paraId="1CF29FB0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02850086" w14:textId="77777777" w:rsidTr="00D36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442A0254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Deep margin</w:t>
            </w:r>
          </w:p>
        </w:tc>
        <w:tc>
          <w:tcPr>
            <w:tcW w:w="3356" w:type="dxa"/>
            <w:hideMark/>
          </w:tcPr>
          <w:p w14:paraId="1AA833A6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Deep margin</w:t>
            </w:r>
          </w:p>
        </w:tc>
        <w:tc>
          <w:tcPr>
            <w:tcW w:w="1231" w:type="dxa"/>
            <w:hideMark/>
          </w:tcPr>
          <w:p w14:paraId="41D226B2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0.970199</w:t>
            </w:r>
          </w:p>
        </w:tc>
        <w:tc>
          <w:tcPr>
            <w:tcW w:w="1306" w:type="dxa"/>
            <w:hideMark/>
          </w:tcPr>
          <w:p w14:paraId="362347C4" w14:textId="77777777" w:rsidR="00D36423" w:rsidRPr="00D36423" w:rsidRDefault="00D36423" w:rsidP="00D364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  <w:tr w:rsidR="00D36423" w:rsidRPr="00D36423" w14:paraId="5F9D8685" w14:textId="77777777" w:rsidTr="00D36423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noWrap/>
            <w:hideMark/>
          </w:tcPr>
          <w:p w14:paraId="4371D1BF" w14:textId="77777777" w:rsidR="00D36423" w:rsidRPr="00D36423" w:rsidRDefault="00D36423" w:rsidP="00D36423">
            <w:pPr>
              <w:spacing w:line="240" w:lineRule="auto"/>
              <w:jc w:val="left"/>
              <w:rPr>
                <w:rFonts w:eastAsia="맑은 고딕" w:cs="굴림"/>
                <w:sz w:val="22"/>
                <w:szCs w:val="22"/>
                <w:lang w:eastAsia="ko-KR"/>
              </w:rPr>
            </w:pPr>
            <w:r w:rsidRPr="00D36423">
              <w:rPr>
                <w:rFonts w:eastAsia="맑은 고딕" w:cs="굴림"/>
                <w:sz w:val="22"/>
                <w:szCs w:val="22"/>
                <w:lang w:eastAsia="ko-KR"/>
              </w:rPr>
              <w:t>Superficial margin</w:t>
            </w:r>
          </w:p>
        </w:tc>
        <w:tc>
          <w:tcPr>
            <w:tcW w:w="3356" w:type="dxa"/>
            <w:hideMark/>
          </w:tcPr>
          <w:p w14:paraId="008867A8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Superior margin</w:t>
            </w:r>
          </w:p>
        </w:tc>
        <w:tc>
          <w:tcPr>
            <w:tcW w:w="1231" w:type="dxa"/>
            <w:hideMark/>
          </w:tcPr>
          <w:p w14:paraId="0BFD454B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306" w:type="dxa"/>
            <w:hideMark/>
          </w:tcPr>
          <w:p w14:paraId="0E57F6A3" w14:textId="77777777" w:rsidR="00D36423" w:rsidRPr="00D36423" w:rsidRDefault="00D36423" w:rsidP="00D364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굴림"/>
                <w:sz w:val="18"/>
                <w:szCs w:val="18"/>
                <w:lang w:eastAsia="ko-KR"/>
              </w:rPr>
            </w:pPr>
            <w:r w:rsidRPr="00D36423">
              <w:rPr>
                <w:rFonts w:eastAsia="맑은 고딕" w:cs="굴림"/>
                <w:sz w:val="18"/>
                <w:szCs w:val="18"/>
                <w:lang w:eastAsia="ko-KR"/>
              </w:rPr>
              <w:t>-</w:t>
            </w:r>
          </w:p>
        </w:tc>
      </w:tr>
    </w:tbl>
    <w:p w14:paraId="4ADE8CDD" w14:textId="77777777" w:rsidR="00006250" w:rsidRDefault="00006250"/>
    <w:sectPr w:rsidR="000062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8F"/>
    <w:rsid w:val="00006250"/>
    <w:rsid w:val="00072B8F"/>
    <w:rsid w:val="00D3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378A"/>
  <w15:chartTrackingRefBased/>
  <w15:docId w15:val="{F856DF87-34A0-4F41-B114-5FCB6FAD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B8F"/>
    <w:pPr>
      <w:spacing w:after="0" w:line="260" w:lineRule="atLeast"/>
    </w:pPr>
    <w:rPr>
      <w:rFonts w:ascii="Palatino Linotype" w:eastAsia="SimSun" w:hAnsi="Palatino Linotype" w:cs="Times New Roman"/>
      <w:color w:val="000000"/>
      <w:kern w:val="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31text">
    <w:name w:val="MDPI_3.1_text"/>
    <w:qFormat/>
    <w:rsid w:val="00072B8F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table" w:styleId="6">
    <w:name w:val="List Table 6 Colorful"/>
    <w:basedOn w:val="a1"/>
    <w:uiPriority w:val="51"/>
    <w:rsid w:val="00072B8F"/>
    <w:pPr>
      <w:spacing w:after="0" w:line="240" w:lineRule="auto"/>
      <w:jc w:val="left"/>
    </w:pPr>
    <w:rPr>
      <w:rFonts w:ascii="Calibri" w:eastAsia="SimSun" w:hAnsi="Calibri" w:cs="Times New Roman"/>
      <w:color w:val="000000" w:themeColor="text1"/>
      <w:kern w:val="0"/>
      <w:szCs w:val="20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3">
    <w:name w:val="List Table 1 Light Accent 3"/>
    <w:basedOn w:val="a1"/>
    <w:uiPriority w:val="46"/>
    <w:rsid w:val="00D364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박필립</dc:creator>
  <cp:keywords/>
  <dc:description/>
  <cp:lastModifiedBy>박필립</cp:lastModifiedBy>
  <cp:revision>1</cp:revision>
  <dcterms:created xsi:type="dcterms:W3CDTF">2022-11-07T02:01:00Z</dcterms:created>
  <dcterms:modified xsi:type="dcterms:W3CDTF">2022-11-07T02:14:00Z</dcterms:modified>
</cp:coreProperties>
</file>