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437" w:type="dxa"/>
        <w:tblLook w:val="04A0" w:firstRow="1" w:lastRow="0" w:firstColumn="1" w:lastColumn="0" w:noHBand="0" w:noVBand="1"/>
      </w:tblPr>
      <w:tblGrid>
        <w:gridCol w:w="3229"/>
        <w:gridCol w:w="4804"/>
        <w:gridCol w:w="15"/>
        <w:gridCol w:w="1241"/>
        <w:gridCol w:w="193"/>
      </w:tblGrid>
      <w:tr w:rsidR="00AC0B61" w:rsidRPr="00C85EB8" w:rsidTr="00EA04D1">
        <w:trPr>
          <w:trHeight w:val="280"/>
        </w:trPr>
        <w:tc>
          <w:tcPr>
            <w:tcW w:w="70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tbl>
            <w:tblPr>
              <w:tblW w:w="7828" w:type="dxa"/>
              <w:tblLook w:val="04A0" w:firstRow="1" w:lastRow="0" w:firstColumn="1" w:lastColumn="0" w:noHBand="0" w:noVBand="1"/>
            </w:tblPr>
            <w:tblGrid>
              <w:gridCol w:w="1720"/>
              <w:gridCol w:w="2700"/>
              <w:gridCol w:w="3408"/>
            </w:tblGrid>
            <w:tr w:rsidR="00AC0B61" w:rsidRPr="00D40114" w:rsidTr="00EA04D1">
              <w:trPr>
                <w:trHeight w:val="460"/>
              </w:trPr>
              <w:tc>
                <w:tcPr>
                  <w:tcW w:w="7828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C0B61" w:rsidRPr="00C85EB8" w:rsidRDefault="00AC0B61" w:rsidP="00EA04D1">
                  <w:pPr>
                    <w:widowControl/>
                    <w:jc w:val="center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D40114"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  <w:t>Supplemental Table 1</w:t>
                  </w:r>
                  <w:r w:rsidRPr="00C85EB8"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  <w:t xml:space="preserve"> Comparison of preoperative and postoperative hydronephrosis</w:t>
                  </w:r>
                </w:p>
              </w:tc>
            </w:tr>
            <w:tr w:rsidR="00AC0B61" w:rsidRPr="00C85EB8" w:rsidTr="00EA04D1">
              <w:trPr>
                <w:trHeight w:val="280"/>
              </w:trPr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AC0B61" w:rsidRPr="00C85EB8" w:rsidRDefault="00AC0B61" w:rsidP="00EA04D1">
                  <w:pPr>
                    <w:widowControl/>
                    <w:jc w:val="center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C85EB8"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C0B61" w:rsidRPr="00C85EB8" w:rsidRDefault="00AC0B61" w:rsidP="00EA04D1">
                  <w:pPr>
                    <w:widowControl/>
                    <w:jc w:val="right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C85EB8"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  <w:t xml:space="preserve">preoperative </w:t>
                  </w:r>
                </w:p>
              </w:tc>
              <w:tc>
                <w:tcPr>
                  <w:tcW w:w="34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C0B61" w:rsidRPr="00C85EB8" w:rsidRDefault="00AC0B61" w:rsidP="00EA04D1">
                  <w:pPr>
                    <w:widowControl/>
                    <w:jc w:val="right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C85EB8"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  <w:t xml:space="preserve">postoperative </w:t>
                  </w:r>
                </w:p>
              </w:tc>
            </w:tr>
            <w:tr w:rsidR="00AC0B61" w:rsidRPr="00C85EB8" w:rsidTr="00EA04D1">
              <w:trPr>
                <w:trHeight w:val="280"/>
              </w:trPr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AC0B61" w:rsidRPr="00C85EB8" w:rsidRDefault="00AC0B61" w:rsidP="00EA04D1">
                  <w:pPr>
                    <w:widowControl/>
                    <w:jc w:val="center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C85EB8"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AC0B61" w:rsidRPr="00C85EB8" w:rsidRDefault="00AC0B61" w:rsidP="00EA04D1">
                  <w:pPr>
                    <w:widowControl/>
                    <w:jc w:val="right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C85EB8"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  <w:t>38</w:t>
                  </w:r>
                </w:p>
              </w:tc>
              <w:tc>
                <w:tcPr>
                  <w:tcW w:w="34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C0B61" w:rsidRPr="00C85EB8" w:rsidRDefault="00AC0B61" w:rsidP="00EA04D1">
                  <w:pPr>
                    <w:widowControl/>
                    <w:jc w:val="right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C85EB8"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  <w:t>22</w:t>
                  </w:r>
                </w:p>
              </w:tc>
            </w:tr>
            <w:tr w:rsidR="00AC0B61" w:rsidRPr="00C85EB8" w:rsidTr="00EA04D1">
              <w:trPr>
                <w:trHeight w:val="280"/>
              </w:trPr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C0B61" w:rsidRPr="00C85EB8" w:rsidRDefault="00AC0B61" w:rsidP="00EA04D1">
                  <w:pPr>
                    <w:widowControl/>
                    <w:jc w:val="left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C85EB8"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  <w:t xml:space="preserve">     left side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AC0B61" w:rsidRPr="00C85EB8" w:rsidRDefault="00AC0B61" w:rsidP="00EA04D1">
                  <w:pPr>
                    <w:widowControl/>
                    <w:jc w:val="right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C85EB8"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34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C0B61" w:rsidRPr="00C85EB8" w:rsidRDefault="00AC0B61" w:rsidP="00EA04D1">
                  <w:pPr>
                    <w:widowControl/>
                    <w:jc w:val="right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C85EB8"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  <w:t>10</w:t>
                  </w:r>
                </w:p>
              </w:tc>
            </w:tr>
            <w:tr w:rsidR="00AC0B61" w:rsidRPr="00C85EB8" w:rsidTr="00EA04D1">
              <w:trPr>
                <w:trHeight w:val="280"/>
              </w:trPr>
              <w:tc>
                <w:tcPr>
                  <w:tcW w:w="1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C0B61" w:rsidRPr="00C85EB8" w:rsidRDefault="00AC0B61" w:rsidP="00EA04D1">
                  <w:pPr>
                    <w:widowControl/>
                    <w:jc w:val="left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C85EB8"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  <w:t xml:space="preserve">     right side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AC0B61" w:rsidRPr="00C85EB8" w:rsidRDefault="00AC0B61" w:rsidP="00EA04D1">
                  <w:pPr>
                    <w:widowControl/>
                    <w:jc w:val="right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C85EB8"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34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C0B61" w:rsidRPr="00C85EB8" w:rsidRDefault="00AC0B61" w:rsidP="00EA04D1">
                  <w:pPr>
                    <w:widowControl/>
                    <w:jc w:val="right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C85EB8"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  <w:t>4</w:t>
                  </w:r>
                </w:p>
              </w:tc>
            </w:tr>
            <w:tr w:rsidR="00AC0B61" w:rsidRPr="00C85EB8" w:rsidTr="00EA04D1">
              <w:trPr>
                <w:trHeight w:val="280"/>
              </w:trPr>
              <w:tc>
                <w:tcPr>
                  <w:tcW w:w="172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C0B61" w:rsidRPr="00C85EB8" w:rsidRDefault="00AC0B61" w:rsidP="00EA04D1">
                  <w:pPr>
                    <w:widowControl/>
                    <w:jc w:val="left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C85EB8"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  <w:t xml:space="preserve">     bilateral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AC0B61" w:rsidRPr="00C85EB8" w:rsidRDefault="00AC0B61" w:rsidP="00EA04D1">
                  <w:pPr>
                    <w:widowControl/>
                    <w:jc w:val="right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C85EB8"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34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C0B61" w:rsidRPr="00C85EB8" w:rsidRDefault="00AC0B61" w:rsidP="00EA04D1">
                  <w:pPr>
                    <w:widowControl/>
                    <w:jc w:val="right"/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</w:pPr>
                  <w:r w:rsidRPr="00C85EB8">
                    <w:rPr>
                      <w:rFonts w:ascii="DengXian" w:eastAsia="DengXian" w:hAnsi="DengXian" w:cs="SimSun"/>
                      <w:color w:val="000000"/>
                      <w:kern w:val="0"/>
                      <w:sz w:val="20"/>
                      <w:szCs w:val="20"/>
                    </w:rPr>
                    <w:t>8</w:t>
                  </w:r>
                </w:p>
              </w:tc>
            </w:tr>
          </w:tbl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  <w:p w:rsidR="00AC0B61" w:rsidRPr="00C85EB8" w:rsidRDefault="00AC0B61" w:rsidP="00EA04D1">
            <w:pPr>
              <w:widowControl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82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D40114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Supplemental Table </w:t>
            </w:r>
            <w:r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</w:t>
            </w: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 Summary of complication types and categories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Category (% of Total102) 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Complication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Frequency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Wound (24.5%; n=25) </w:t>
            </w: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Wound seroma 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Wound infection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Wound dehiscence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Wound fat liquefaction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Infectious (22.5%; n =23) </w:t>
            </w: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 fever of unknown origin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Abscess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U</w:t>
            </w: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rinary tract infection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Sepsis/Urosepsis 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Pyelonephritis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Gastroenteritis 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Gastrointestinal(15.7%; n =16) </w:t>
            </w: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Ileus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Constipation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Anastomotic bowel leak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Gastrointestinal bleeding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Genitourinary (11.8%; n = 12) </w:t>
            </w: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Renal failure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Ureteral obstruction/RUT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Urinary leak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Hematuria 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Cardiac (8.8%; n=9) </w:t>
            </w: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Arrhythmia 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Congestive heart failure 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Angina 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Hypotension 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Pulmonary (7.8%; n=8) </w:t>
            </w: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Atelectasis 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Pneumonia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Pleural effusion 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Bleeding (3.9%; n=4）  </w:t>
            </w: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Anemia requiring transfusion 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AC0B61" w:rsidRPr="00C85EB8" w:rsidTr="00EA04D1">
        <w:trPr>
          <w:gridAfter w:val="1"/>
          <w:wAfter w:w="193" w:type="dxa"/>
          <w:trHeight w:val="84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Postoperative bleed other than gastrointestinal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Wound hematoma 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Thromboembolic (2.9%; n =3) </w:t>
            </w:r>
          </w:p>
        </w:tc>
        <w:tc>
          <w:tcPr>
            <w:tcW w:w="4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Deep venous thrombosis 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AC0B61" w:rsidRPr="00C85EB8" w:rsidTr="00EA04D1">
        <w:trPr>
          <w:gridAfter w:val="1"/>
          <w:wAfter w:w="193" w:type="dxa"/>
          <w:trHeight w:val="280"/>
        </w:trPr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Neurological (2.0%; n = 2) </w:t>
            </w:r>
          </w:p>
        </w:tc>
        <w:tc>
          <w:tcPr>
            <w:tcW w:w="4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Delirium/Agitation</w:t>
            </w:r>
          </w:p>
        </w:tc>
        <w:tc>
          <w:tcPr>
            <w:tcW w:w="12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</w:t>
            </w:r>
          </w:p>
        </w:tc>
      </w:tr>
    </w:tbl>
    <w:p w:rsidR="00AC0B61" w:rsidRPr="00C85EB8" w:rsidRDefault="00AC0B61" w:rsidP="00AC0B61">
      <w:pPr>
        <w:ind w:firstLineChars="200" w:firstLine="400"/>
        <w:rPr>
          <w:sz w:val="20"/>
          <w:szCs w:val="20"/>
        </w:rPr>
      </w:pPr>
    </w:p>
    <w:p w:rsidR="00AC0B61" w:rsidRPr="00C85EB8" w:rsidRDefault="00AC0B61" w:rsidP="00AC0B61">
      <w:pPr>
        <w:jc w:val="left"/>
        <w:rPr>
          <w:sz w:val="20"/>
          <w:szCs w:val="20"/>
        </w:rPr>
      </w:pPr>
    </w:p>
    <w:p w:rsidR="00AC0B61" w:rsidRPr="00C85EB8" w:rsidRDefault="00AC0B61" w:rsidP="00AC0B61">
      <w:pPr>
        <w:jc w:val="left"/>
        <w:rPr>
          <w:sz w:val="20"/>
          <w:szCs w:val="20"/>
        </w:rPr>
      </w:pPr>
      <w:r w:rsidRPr="00C85EB8">
        <w:rPr>
          <w:sz w:val="20"/>
          <w:szCs w:val="20"/>
        </w:rPr>
        <w:br w:type="page"/>
      </w:r>
    </w:p>
    <w:tbl>
      <w:tblPr>
        <w:tblW w:w="9815" w:type="dxa"/>
        <w:tblLook w:val="04A0" w:firstRow="1" w:lastRow="0" w:firstColumn="1" w:lastColumn="0" w:noHBand="0" w:noVBand="1"/>
      </w:tblPr>
      <w:tblGrid>
        <w:gridCol w:w="2215"/>
        <w:gridCol w:w="889"/>
        <w:gridCol w:w="883"/>
        <w:gridCol w:w="982"/>
        <w:gridCol w:w="915"/>
        <w:gridCol w:w="222"/>
        <w:gridCol w:w="767"/>
        <w:gridCol w:w="960"/>
        <w:gridCol w:w="1067"/>
        <w:gridCol w:w="915"/>
      </w:tblGrid>
      <w:tr w:rsidR="00AC0B61" w:rsidRPr="00C85EB8" w:rsidTr="00EA04D1">
        <w:trPr>
          <w:trHeight w:val="280"/>
        </w:trPr>
        <w:tc>
          <w:tcPr>
            <w:tcW w:w="9815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D40114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lastRenderedPageBreak/>
              <w:t xml:space="preserve">Supplemental Table </w:t>
            </w:r>
            <w:r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3</w:t>
            </w: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 Univariable and multivariable logistic regression analyses to identify predictors of RFS and OS after RC with IC</w:t>
            </w: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Univariable analysis 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Multivariable analysis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18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95% CI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p value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20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95% CI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p value </w:t>
            </w: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Lower 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Higher 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Lower 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Higher 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C0B61" w:rsidRPr="00C85EB8" w:rsidTr="00EA04D1">
        <w:trPr>
          <w:trHeight w:val="31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RFS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kern w:val="0"/>
                <w:sz w:val="20"/>
                <w:szCs w:val="20"/>
              </w:rPr>
              <w:t>0.411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kern w:val="0"/>
                <w:sz w:val="20"/>
                <w:szCs w:val="20"/>
              </w:rPr>
              <w:t>0.098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kern w:val="0"/>
                <w:sz w:val="20"/>
                <w:szCs w:val="20"/>
              </w:rPr>
              <w:t>1.723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Arial" w:eastAsia="DengXian" w:hAnsi="Arial" w:cs="Arial"/>
                <w:kern w:val="0"/>
                <w:sz w:val="20"/>
                <w:szCs w:val="20"/>
              </w:rPr>
            </w:pPr>
            <w:r w:rsidRPr="00C85EB8">
              <w:rPr>
                <w:rFonts w:ascii="Arial" w:eastAsia="DengXian" w:hAnsi="Arial" w:cs="Arial"/>
                <w:kern w:val="0"/>
                <w:sz w:val="20"/>
                <w:szCs w:val="20"/>
              </w:rPr>
              <w:t xml:space="preserve">0.224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Arial" w:eastAsia="DengXian" w:hAnsi="Arial" w:cs="Arial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Smoking history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0.551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0.273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1.109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0.095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Drinking history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1.942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0.872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4.328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0.104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Comorbidity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3.382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1.638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6.982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0.001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3.214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1.506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6.859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0.003 </w:t>
            </w:r>
          </w:p>
        </w:tc>
      </w:tr>
      <w:tr w:rsidR="00AC0B61" w:rsidRPr="00C85EB8" w:rsidTr="00EA04D1">
        <w:trPr>
          <w:trHeight w:val="56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 Bladder cancer </w:t>
            </w:r>
            <w:r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S</w:t>
            </w: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urgical history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1.368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0.685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2.73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0.374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Surgical modality 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0.648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0.297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1.413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0.276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0B61" w:rsidRPr="00C85EB8" w:rsidTr="00EA04D1">
        <w:trPr>
          <w:trHeight w:val="56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Postoperative pathological stage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1.831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1.27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2.641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0.021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0.192 </w:t>
            </w: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T0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T1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1.556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0.141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17.193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0.718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2.031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0.181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22.823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0.566 </w:t>
            </w: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T2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2.487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0.326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18.961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0.379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2.821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0.364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21.875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0.321 </w:t>
            </w: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T3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4.501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0.569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35.601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0.154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5.162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0.644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41.39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0.122 </w:t>
            </w: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T4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9.41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1.151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76.907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0.036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6.935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0.796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60.382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0.079 </w:t>
            </w:r>
          </w:p>
        </w:tc>
      </w:tr>
      <w:tr w:rsidR="00AC0B61" w:rsidRPr="00C85EB8" w:rsidTr="00EA04D1">
        <w:trPr>
          <w:trHeight w:val="56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Postoperative pathological grade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0.044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0.116 </w:t>
            </w: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L</w:t>
            </w: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ow grade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H</w:t>
            </w: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igh grade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5.607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1.328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23.68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0.019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4.553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1.058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19.605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0.042 </w:t>
            </w:r>
          </w:p>
        </w:tc>
      </w:tr>
      <w:tr w:rsidR="00AC0B61" w:rsidRPr="00C85EB8" w:rsidTr="00EA04D1">
        <w:trPr>
          <w:trHeight w:val="56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N</w:t>
            </w: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on-urothelial carcinoma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7.928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1.447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43.439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0.017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5.231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0.895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30.556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0.066 </w:t>
            </w:r>
          </w:p>
        </w:tc>
      </w:tr>
      <w:tr w:rsidR="00AC0B61" w:rsidRPr="00C85EB8" w:rsidTr="00EA04D1">
        <w:trPr>
          <w:trHeight w:val="56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Lymph node involvement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4.575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1.964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10.657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0.000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2.129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0.834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5.435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0.114 </w:t>
            </w:r>
          </w:p>
        </w:tc>
      </w:tr>
      <w:tr w:rsidR="00AC0B61" w:rsidRPr="00C85EB8" w:rsidTr="00EA04D1">
        <w:trPr>
          <w:trHeight w:val="31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OS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0.421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1.767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0.237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Smoking history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0.559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0.278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1.127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0.104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Drinking history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1.901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0.853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4.236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0.116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Comorbidity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3.402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1.648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7.024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0.001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3.176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6.727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0.003 </w:t>
            </w:r>
          </w:p>
        </w:tc>
      </w:tr>
      <w:tr w:rsidR="00AC0B61" w:rsidRPr="00C85EB8" w:rsidTr="00EA04D1">
        <w:trPr>
          <w:trHeight w:val="56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 Bladder cancer surgical history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1.374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0.689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2.741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0.367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Surgical modality 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0.634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0.29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1.387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0.254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0B61" w:rsidRPr="00C85EB8" w:rsidTr="00EA04D1">
        <w:trPr>
          <w:trHeight w:val="56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Postoperative pathological stage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0.011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1.117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2.371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0.041 </w:t>
            </w: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T0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T1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1.56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0.141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17.229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0.717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2.478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0.22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27.951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0.463 </w:t>
            </w: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T2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2.496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0.328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19.017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0.377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3.164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0.405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24.708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0.272 </w:t>
            </w: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T3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4.488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0.567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35.494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0.155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4.882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0.61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39.103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0.135 </w:t>
            </w: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T4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10.548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1.291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86.207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0.028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8.962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1.034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77.711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0.047 </w:t>
            </w:r>
          </w:p>
        </w:tc>
      </w:tr>
      <w:tr w:rsidR="00AC0B61" w:rsidRPr="00C85EB8" w:rsidTr="00EA04D1">
        <w:trPr>
          <w:trHeight w:val="56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Postoperative pathological grade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0.032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2.276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1.159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4.472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0.017 </w:t>
            </w: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L</w:t>
            </w: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ow grade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0B61" w:rsidRPr="00C85EB8" w:rsidTr="00EA04D1">
        <w:trPr>
          <w:trHeight w:val="28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H</w:t>
            </w: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igh grade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5.788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1.371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24.434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0.017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4.732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1.097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20.421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0.037 </w:t>
            </w:r>
          </w:p>
        </w:tc>
      </w:tr>
      <w:tr w:rsidR="00AC0B61" w:rsidRPr="00C85EB8" w:rsidTr="00EA04D1">
        <w:trPr>
          <w:trHeight w:val="560"/>
        </w:trPr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lastRenderedPageBreak/>
              <w:t xml:space="preserve"> </w:t>
            </w:r>
            <w:r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N</w:t>
            </w: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on-urothelial carcinoma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9.134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1.667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50.064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0.011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6.589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1.119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38.801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0.037 </w:t>
            </w:r>
          </w:p>
        </w:tc>
      </w:tr>
      <w:tr w:rsidR="00AC0B61" w:rsidRPr="00C85EB8" w:rsidTr="00EA04D1">
        <w:trPr>
          <w:trHeight w:val="560"/>
        </w:trPr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Lymph node involvement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4.958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2.123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11.58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0.000 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2.462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1.003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>6.048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AC0B61" w:rsidRPr="00C85EB8" w:rsidRDefault="00AC0B61" w:rsidP="00EA04D1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C85EB8"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  <w:t xml:space="preserve">0.049 </w:t>
            </w:r>
          </w:p>
        </w:tc>
      </w:tr>
    </w:tbl>
    <w:p w:rsidR="00AC0B61" w:rsidRDefault="00AC0B61" w:rsidP="00AC0B61"/>
    <w:p w:rsidR="00F4526F" w:rsidRDefault="00F4526F">
      <w:bookmarkStart w:id="0" w:name="_GoBack"/>
      <w:bookmarkEnd w:id="0"/>
    </w:p>
    <w:sectPr w:rsidR="00F4526F">
      <w:footerReference w:type="even" r:id="rId4"/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39115236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835FE" w:rsidRDefault="00AC0B61" w:rsidP="00E835F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835FE" w:rsidRDefault="00AC0B61" w:rsidP="00E835F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8608206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835FE" w:rsidRDefault="00AC0B61" w:rsidP="00E835F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:rsidR="00E835FE" w:rsidRDefault="00AC0B61" w:rsidP="00E835FE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B61"/>
    <w:rsid w:val="003A0A23"/>
    <w:rsid w:val="00AC0B61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F6351A-DC8E-42AA-AFEF-E43FCB640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0B6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C0B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C0B61"/>
    <w:rPr>
      <w:rFonts w:eastAsiaTheme="minorEastAsia"/>
      <w:kern w:val="2"/>
      <w:sz w:val="18"/>
      <w:szCs w:val="18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AC0B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515</Words>
  <Characters>2942</Characters>
  <Application>Microsoft Office Word</Application>
  <DocSecurity>0</DocSecurity>
  <Lines>24</Lines>
  <Paragraphs>6</Paragraphs>
  <ScaleCrop>false</ScaleCrop>
  <Company>Springer Nature</Company>
  <LinksUpToDate>false</LinksUpToDate>
  <CharactersWithSpaces>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2021-02-22T06:37:00Z</dcterms:created>
  <dcterms:modified xsi:type="dcterms:W3CDTF">2021-02-22T06:38:00Z</dcterms:modified>
</cp:coreProperties>
</file>