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outlineLvl w:val="1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Fi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les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outlineLvl w:val="1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outlineLvl w:val="1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outlineLvl w:val="1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Table 1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The features of primers used in this study.</w:t>
      </w:r>
    </w:p>
    <w:tbl>
      <w:tblPr>
        <w:tblStyle w:val="3"/>
        <w:tblpPr w:leftFromText="180" w:rightFromText="180" w:vertAnchor="text" w:horzAnchor="page" w:tblpX="1812" w:tblpY="426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3223"/>
        <w:gridCol w:w="24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Gene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2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Primer sequence</w:t>
            </w:r>
          </w:p>
        </w:tc>
        <w:tc>
          <w:tcPr>
            <w:tcW w:w="240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Annealing temp. °C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SULT1A2</w:t>
            </w:r>
          </w:p>
        </w:tc>
        <w:tc>
          <w:tcPr>
            <w:tcW w:w="3223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Forward primer: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TCAATGTGGCTCAGAGATAC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Reverse primer: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GTCGAGGAGCTGGCTCTATG</w:t>
            </w:r>
          </w:p>
        </w:tc>
        <w:tc>
          <w:tcPr>
            <w:tcW w:w="240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  <w:r>
              <w:rPr>
                <w:rFonts w:hint="default" w:ascii="Times New Roman" w:hAnsi="Times New Roman" w:cs="Times New Roman"/>
                <w:sz w:val="24"/>
              </w:rPr>
              <w:t>℃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after="161" w:afterLines="50"/>
        <w:jc w:val="left"/>
        <w:textAlignment w:val="auto"/>
        <w:outlineLvl w:val="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after="161" w:afterLines="50"/>
        <w:jc w:val="left"/>
        <w:textAlignment w:val="auto"/>
        <w:outlineLvl w:val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Figure 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The association of rs1059491 with overweight and obesity and related cardiometabolic abnormalities. All analyses were adjusted for sex and age.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4310" cy="2241550"/>
            <wp:effectExtent l="0" t="0" r="2540" b="6350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5MmU0M2ViYmRjMTFkNTdiZDg4NTliOTllMDQ0Y2EifQ=="/>
  </w:docVars>
  <w:rsids>
    <w:rsidRoot w:val="00000000"/>
    <w:rsid w:val="30E05E73"/>
    <w:rsid w:val="394D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2022-11-24T13:54:00Z</dcterms:created>
  <dc:creator>shgf8</dc:creator>
  <cp:lastModifiedBy>ZMX</cp:lastModifiedBy>
  <dcterms:modified xsi:type="dcterms:W3CDTF">2022-11-24T13:59:22Z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AD24697FCC844A1B8B38E982911A3147</vt:lpwstr>
  </property>
</Properties>
</file>