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C98E95" w14:textId="77777777" w:rsidR="00F153DA" w:rsidRDefault="00F153DA" w:rsidP="00F153DA">
      <w:pPr>
        <w:spacing w:line="480" w:lineRule="auto"/>
        <w:rPr>
          <w:lang w:val="en-US"/>
        </w:rPr>
      </w:pPr>
      <w:r w:rsidRPr="004A6E2A">
        <w:rPr>
          <w:lang w:val="en-US"/>
        </w:rPr>
        <w:t xml:space="preserve">Figure </w:t>
      </w:r>
      <w:r>
        <w:rPr>
          <w:lang w:val="en-US"/>
        </w:rPr>
        <w:t xml:space="preserve">1 SI. </w:t>
      </w:r>
      <w:r w:rsidRPr="00633862">
        <w:rPr>
          <w:lang w:val="en-US"/>
        </w:rPr>
        <w:t xml:space="preserve">The number of mammalian species per taxonomic order sold in traditional medicine markets (TMM) and bushmeat markets (BM) </w:t>
      </w:r>
      <w:r>
        <w:rPr>
          <w:lang w:val="en-US"/>
        </w:rPr>
        <w:t>from</w:t>
      </w:r>
      <w:r w:rsidRPr="00633862">
        <w:rPr>
          <w:lang w:val="en-US"/>
        </w:rPr>
        <w:t xml:space="preserve"> southern Benin</w:t>
      </w:r>
      <w:r>
        <w:rPr>
          <w:lang w:val="en-US"/>
        </w:rPr>
        <w:t>.</w:t>
      </w:r>
    </w:p>
    <w:p w14:paraId="436F96DC" w14:textId="77777777" w:rsidR="00F153DA" w:rsidRDefault="00F153DA" w:rsidP="00F153DA">
      <w:pPr>
        <w:spacing w:line="480" w:lineRule="auto"/>
        <w:rPr>
          <w:lang w:val="en-US"/>
        </w:rPr>
      </w:pPr>
      <w:r>
        <w:rPr>
          <w:noProof/>
          <w:lang w:eastAsia="fr-FR"/>
        </w:rPr>
        <w:drawing>
          <wp:inline distT="0" distB="0" distL="0" distR="0" wp14:anchorId="76AE0A4E" wp14:editId="0DCE3ED3">
            <wp:extent cx="5760720" cy="4241165"/>
            <wp:effectExtent l="0" t="0" r="0" b="6985"/>
            <wp:docPr id="3" name="Graphique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14:paraId="2AFB609F" w14:textId="77777777" w:rsidR="00F153DA" w:rsidRDefault="00F153DA" w:rsidP="00F153DA">
      <w:pPr>
        <w:spacing w:line="480" w:lineRule="auto"/>
        <w:rPr>
          <w:lang w:val="en-US"/>
        </w:rPr>
      </w:pPr>
      <w:r>
        <w:rPr>
          <w:lang w:val="en-US"/>
        </w:rPr>
        <w:br w:type="page"/>
      </w:r>
    </w:p>
    <w:p w14:paraId="08B6806B" w14:textId="77777777" w:rsidR="00F153DA" w:rsidRDefault="00F153DA" w:rsidP="00F153DA">
      <w:pPr>
        <w:spacing w:line="480" w:lineRule="auto"/>
        <w:rPr>
          <w:lang w:val="en-US"/>
        </w:rPr>
      </w:pPr>
      <w:r w:rsidRPr="004A6E2A">
        <w:rPr>
          <w:lang w:val="en-US"/>
        </w:rPr>
        <w:lastRenderedPageBreak/>
        <w:t xml:space="preserve">Figure </w:t>
      </w:r>
      <w:r>
        <w:rPr>
          <w:lang w:val="en-US"/>
        </w:rPr>
        <w:t xml:space="preserve">2 SI. The number of mammalian species sold in traditional medicine markets (TMM) and bushmeat markets (BM) from southern Benin </w:t>
      </w:r>
      <w:r w:rsidRPr="00867399">
        <w:rPr>
          <w:lang w:val="en-US"/>
        </w:rPr>
        <w:t>that occur in the listed bioclimatic zones</w:t>
      </w:r>
      <w:r>
        <w:rPr>
          <w:lang w:val="en-US"/>
        </w:rPr>
        <w:t xml:space="preserve">. </w:t>
      </w:r>
    </w:p>
    <w:p w14:paraId="5C693561" w14:textId="77777777" w:rsidR="00F153DA" w:rsidRDefault="00F153DA" w:rsidP="00F153DA">
      <w:pPr>
        <w:spacing w:line="480" w:lineRule="auto"/>
        <w:rPr>
          <w:lang w:val="en-US"/>
        </w:rPr>
      </w:pPr>
      <w:r>
        <w:rPr>
          <w:noProof/>
          <w:lang w:eastAsia="fr-FR"/>
        </w:rPr>
        <w:drawing>
          <wp:inline distT="0" distB="0" distL="0" distR="0" wp14:anchorId="3C4CEFF5" wp14:editId="6E9E5288">
            <wp:extent cx="4572000" cy="2743200"/>
            <wp:effectExtent l="0" t="0" r="0" b="0"/>
            <wp:docPr id="5" name="Graphique 5"/>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4B31A008" w14:textId="77777777" w:rsidR="00F153DA" w:rsidRDefault="00F153DA" w:rsidP="00F153DA">
      <w:pPr>
        <w:spacing w:line="480" w:lineRule="auto"/>
        <w:rPr>
          <w:lang w:val="en-US"/>
        </w:rPr>
      </w:pPr>
      <w:r>
        <w:rPr>
          <w:lang w:val="en-US"/>
        </w:rPr>
        <w:br w:type="page"/>
      </w:r>
    </w:p>
    <w:p w14:paraId="49D52BEC" w14:textId="77777777" w:rsidR="00F153DA" w:rsidRDefault="00F153DA" w:rsidP="00F153DA">
      <w:pPr>
        <w:spacing w:line="480" w:lineRule="auto"/>
        <w:rPr>
          <w:lang w:val="en-US"/>
        </w:rPr>
      </w:pPr>
      <w:r w:rsidRPr="006773F6">
        <w:rPr>
          <w:lang w:val="en-US"/>
        </w:rPr>
        <w:lastRenderedPageBreak/>
        <w:t xml:space="preserve">Figure </w:t>
      </w:r>
      <w:r>
        <w:rPr>
          <w:lang w:val="en-US"/>
        </w:rPr>
        <w:t>3 SI. The number of mammalian species sold in traditional medicine markets (TMM) and bushmeat markets (BM) from southern Benin, according to their IUCN Red List occurrence status in Benin.</w:t>
      </w:r>
    </w:p>
    <w:p w14:paraId="1202CE7C" w14:textId="77777777" w:rsidR="00F153DA" w:rsidRDefault="00F153DA" w:rsidP="00F153DA">
      <w:pPr>
        <w:spacing w:line="480" w:lineRule="auto"/>
        <w:rPr>
          <w:lang w:val="en-US"/>
        </w:rPr>
      </w:pPr>
      <w:r>
        <w:rPr>
          <w:noProof/>
          <w:lang w:eastAsia="fr-FR"/>
        </w:rPr>
        <w:drawing>
          <wp:inline distT="0" distB="0" distL="0" distR="0" wp14:anchorId="4AD12504" wp14:editId="5485DCCC">
            <wp:extent cx="4520293" cy="2729593"/>
            <wp:effectExtent l="0" t="0" r="0" b="0"/>
            <wp:docPr id="14" name="Graphique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10B8250B" w14:textId="77777777" w:rsidR="00F153DA" w:rsidRDefault="00F153DA" w:rsidP="00F153DA">
      <w:pPr>
        <w:spacing w:line="480" w:lineRule="auto"/>
        <w:rPr>
          <w:lang w:val="en-US"/>
        </w:rPr>
      </w:pPr>
      <w:r>
        <w:rPr>
          <w:lang w:val="en-US"/>
        </w:rPr>
        <w:br w:type="page"/>
      </w:r>
    </w:p>
    <w:p w14:paraId="0371E11B" w14:textId="77777777" w:rsidR="00F153DA" w:rsidRDefault="00F153DA" w:rsidP="00F153DA">
      <w:pPr>
        <w:spacing w:line="480" w:lineRule="auto"/>
        <w:rPr>
          <w:lang w:val="en-US"/>
        </w:rPr>
      </w:pPr>
      <w:r w:rsidRPr="00AF2FD2">
        <w:rPr>
          <w:lang w:val="en-US"/>
        </w:rPr>
        <w:lastRenderedPageBreak/>
        <w:t xml:space="preserve">Figure </w:t>
      </w:r>
      <w:r>
        <w:rPr>
          <w:lang w:val="en-US"/>
        </w:rPr>
        <w:t>4 SI</w:t>
      </w:r>
      <w:r w:rsidRPr="003A2F32">
        <w:rPr>
          <w:lang w:val="en-US"/>
        </w:rPr>
        <w:t xml:space="preserve">. </w:t>
      </w:r>
      <w:r>
        <w:rPr>
          <w:lang w:val="en-US"/>
        </w:rPr>
        <w:t>The number of mammalian species sold in traditional medicine markets (TMM) and bushmeat markets (BM) from southern Benin, according to habitat. Species assigned to multiple habitat categories were counted more than once.</w:t>
      </w:r>
    </w:p>
    <w:p w14:paraId="42D56E93" w14:textId="77777777" w:rsidR="00F153DA" w:rsidRDefault="00F153DA" w:rsidP="00F153DA">
      <w:pPr>
        <w:spacing w:line="480" w:lineRule="auto"/>
        <w:rPr>
          <w:lang w:val="en-US"/>
        </w:rPr>
      </w:pPr>
      <w:r>
        <w:rPr>
          <w:noProof/>
          <w:lang w:eastAsia="fr-FR"/>
        </w:rPr>
        <w:drawing>
          <wp:inline distT="0" distB="0" distL="0" distR="0" wp14:anchorId="2E746FDA" wp14:editId="43F3CDB2">
            <wp:extent cx="4463143" cy="2730500"/>
            <wp:effectExtent l="0" t="0" r="0" b="0"/>
            <wp:docPr id="15" name="Graphique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10FFC5DC" w14:textId="77777777" w:rsidR="00F153DA" w:rsidRDefault="00F153DA" w:rsidP="00F153DA">
      <w:pPr>
        <w:spacing w:line="480" w:lineRule="auto"/>
        <w:rPr>
          <w:lang w:val="en-US"/>
        </w:rPr>
      </w:pPr>
      <w:r>
        <w:rPr>
          <w:lang w:val="en-US"/>
        </w:rPr>
        <w:br w:type="page"/>
      </w:r>
    </w:p>
    <w:p w14:paraId="3F565533" w14:textId="77777777" w:rsidR="00F153DA" w:rsidRDefault="00F153DA" w:rsidP="00F153DA">
      <w:pPr>
        <w:spacing w:line="480" w:lineRule="auto"/>
        <w:rPr>
          <w:lang w:val="en-US"/>
        </w:rPr>
      </w:pPr>
      <w:r w:rsidRPr="004A6E2A">
        <w:rPr>
          <w:lang w:val="en-US"/>
        </w:rPr>
        <w:lastRenderedPageBreak/>
        <w:t xml:space="preserve">Figure </w:t>
      </w:r>
      <w:r>
        <w:rPr>
          <w:lang w:val="en-US"/>
        </w:rPr>
        <w:t>5 SI. The number of mammalian species sold in traditional medicine markets (TMM) and bushmeat markets (BM) from southern Benin, according to diet. Species assigned to multiple diet categories were counted more than once.</w:t>
      </w:r>
    </w:p>
    <w:p w14:paraId="6E0F5BEB" w14:textId="77777777" w:rsidR="00F153DA" w:rsidRDefault="00F153DA" w:rsidP="00F153DA">
      <w:pPr>
        <w:spacing w:line="480" w:lineRule="auto"/>
        <w:rPr>
          <w:lang w:val="en-US"/>
        </w:rPr>
      </w:pPr>
      <w:r w:rsidRPr="009665C8">
        <w:rPr>
          <w:noProof/>
          <w:lang w:eastAsia="fr-FR"/>
        </w:rPr>
        <w:lastRenderedPageBreak/>
        <w:drawing>
          <wp:inline distT="0" distB="0" distL="0" distR="0" wp14:anchorId="7B26F4C9" wp14:editId="2089BC08">
            <wp:extent cx="5760720" cy="7134225"/>
            <wp:effectExtent l="0" t="0" r="0" b="9525"/>
            <wp:docPr id="9" name="Image 9"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9" descr="A screenshot of a graph&#10;&#10;Description automatically generated"/>
                    <pic:cNvPicPr/>
                  </pic:nvPicPr>
                  <pic:blipFill>
                    <a:blip r:embed="rId8"/>
                    <a:stretch>
                      <a:fillRect/>
                    </a:stretch>
                  </pic:blipFill>
                  <pic:spPr>
                    <a:xfrm>
                      <a:off x="0" y="0"/>
                      <a:ext cx="5760720" cy="7134225"/>
                    </a:xfrm>
                    <a:prstGeom prst="rect">
                      <a:avLst/>
                    </a:prstGeom>
                  </pic:spPr>
                </pic:pic>
              </a:graphicData>
            </a:graphic>
          </wp:inline>
        </w:drawing>
      </w:r>
    </w:p>
    <w:p w14:paraId="5E4630C5" w14:textId="77777777" w:rsidR="00F153DA" w:rsidRDefault="00F153DA" w:rsidP="00F153DA">
      <w:pPr>
        <w:spacing w:line="480" w:lineRule="auto"/>
        <w:rPr>
          <w:lang w:val="en-US"/>
        </w:rPr>
      </w:pPr>
      <w:r>
        <w:rPr>
          <w:lang w:val="en-US"/>
        </w:rPr>
        <w:br w:type="page"/>
      </w:r>
    </w:p>
    <w:p w14:paraId="45C9CCB5" w14:textId="77777777" w:rsidR="00F153DA" w:rsidRDefault="00F153DA" w:rsidP="00F153DA">
      <w:pPr>
        <w:spacing w:line="480" w:lineRule="auto"/>
        <w:rPr>
          <w:lang w:val="en-US"/>
        </w:rPr>
      </w:pPr>
      <w:r w:rsidRPr="004A6E2A">
        <w:rPr>
          <w:lang w:val="en-US"/>
        </w:rPr>
        <w:lastRenderedPageBreak/>
        <w:t xml:space="preserve">Figure </w:t>
      </w:r>
      <w:r>
        <w:rPr>
          <w:lang w:val="en-US"/>
        </w:rPr>
        <w:t>6 SI. The number of mammalian species sold in traditional medicine markets (TMM) and bushmeat markets (BM) from southern Benin, according to ecological function. Species assigned to multiple functional categories were counted more than once.</w:t>
      </w:r>
    </w:p>
    <w:p w14:paraId="69BF1F1B" w14:textId="77777777" w:rsidR="00F153DA" w:rsidRDefault="00F153DA" w:rsidP="00F153DA">
      <w:pPr>
        <w:spacing w:line="480" w:lineRule="auto"/>
        <w:rPr>
          <w:lang w:val="en-US"/>
        </w:rPr>
      </w:pPr>
      <w:r>
        <w:rPr>
          <w:noProof/>
          <w:lang w:eastAsia="fr-FR"/>
        </w:rPr>
        <w:drawing>
          <wp:inline distT="0" distB="0" distL="0" distR="0" wp14:anchorId="5EFF3FDE" wp14:editId="01421400">
            <wp:extent cx="4506685" cy="2688772"/>
            <wp:effectExtent l="0" t="0" r="8255" b="0"/>
            <wp:docPr id="16" name="Graphique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64194977" w14:textId="77777777" w:rsidR="00F153DA" w:rsidRDefault="00F153DA" w:rsidP="00F153DA">
      <w:pPr>
        <w:spacing w:line="480" w:lineRule="auto"/>
        <w:rPr>
          <w:lang w:val="en-US"/>
        </w:rPr>
      </w:pPr>
      <w:r>
        <w:rPr>
          <w:lang w:val="en-US"/>
        </w:rPr>
        <w:br w:type="page"/>
      </w:r>
    </w:p>
    <w:p w14:paraId="39244155" w14:textId="77777777" w:rsidR="00F153DA" w:rsidRDefault="00F153DA" w:rsidP="00F153DA">
      <w:pPr>
        <w:spacing w:line="480" w:lineRule="auto"/>
        <w:rPr>
          <w:lang w:val="en-US"/>
        </w:rPr>
      </w:pPr>
      <w:r w:rsidRPr="004A6E2A">
        <w:rPr>
          <w:lang w:val="en-US"/>
        </w:rPr>
        <w:lastRenderedPageBreak/>
        <w:t xml:space="preserve">Figure </w:t>
      </w:r>
      <w:r>
        <w:rPr>
          <w:lang w:val="en-US"/>
        </w:rPr>
        <w:t xml:space="preserve">7 SI. Scattered boxplots of mean weight (kg) among the mammalian species sold in traditional medicine markets (TMM) and bushmeat markets (BM) from southern Benin. </w:t>
      </w:r>
    </w:p>
    <w:p w14:paraId="3EEB3152" w14:textId="77777777" w:rsidR="00F153DA" w:rsidRDefault="00F153DA" w:rsidP="00F153DA">
      <w:pPr>
        <w:spacing w:line="480" w:lineRule="auto"/>
        <w:rPr>
          <w:lang w:val="en-US"/>
        </w:rPr>
      </w:pPr>
      <w:r w:rsidRPr="00FF64EC">
        <w:rPr>
          <w:noProof/>
          <w:lang w:eastAsia="fr-FR"/>
        </w:rPr>
        <w:drawing>
          <wp:inline distT="0" distB="0" distL="0" distR="0" wp14:anchorId="5F05EA23" wp14:editId="00F42C04">
            <wp:extent cx="4632325" cy="402717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32325" cy="4027170"/>
                    </a:xfrm>
                    <a:prstGeom prst="rect">
                      <a:avLst/>
                    </a:prstGeom>
                    <a:noFill/>
                    <a:ln>
                      <a:noFill/>
                    </a:ln>
                  </pic:spPr>
                </pic:pic>
              </a:graphicData>
            </a:graphic>
          </wp:inline>
        </w:drawing>
      </w:r>
    </w:p>
    <w:p w14:paraId="5FCFEFA7" w14:textId="77777777" w:rsidR="00F153DA" w:rsidRDefault="00F153DA" w:rsidP="00F153DA">
      <w:pPr>
        <w:spacing w:line="480" w:lineRule="auto"/>
        <w:rPr>
          <w:lang w:val="en-US"/>
        </w:rPr>
      </w:pPr>
      <w:r>
        <w:rPr>
          <w:lang w:val="en-US"/>
        </w:rPr>
        <w:t>* Three species &gt; 500 kg (</w:t>
      </w:r>
      <w:r w:rsidRPr="003A2F32">
        <w:rPr>
          <w:i/>
          <w:lang w:val="en-US"/>
        </w:rPr>
        <w:t xml:space="preserve">Loxodonta </w:t>
      </w:r>
      <w:proofErr w:type="spellStart"/>
      <w:r w:rsidRPr="003A2F32">
        <w:rPr>
          <w:i/>
          <w:lang w:val="en-US"/>
        </w:rPr>
        <w:t>africana</w:t>
      </w:r>
      <w:proofErr w:type="spellEnd"/>
      <w:r w:rsidRPr="003A2F32">
        <w:rPr>
          <w:i/>
          <w:lang w:val="en-US"/>
        </w:rPr>
        <w:t xml:space="preserve">, Hippopotamus amphibious, </w:t>
      </w:r>
      <w:proofErr w:type="spellStart"/>
      <w:r w:rsidRPr="003A2F32">
        <w:rPr>
          <w:i/>
          <w:lang w:val="en-US"/>
        </w:rPr>
        <w:t>Syncerus</w:t>
      </w:r>
      <w:proofErr w:type="spellEnd"/>
      <w:r w:rsidRPr="003A2F32">
        <w:rPr>
          <w:i/>
          <w:lang w:val="en-US"/>
        </w:rPr>
        <w:t xml:space="preserve"> </w:t>
      </w:r>
      <w:proofErr w:type="spellStart"/>
      <w:r w:rsidRPr="003A2F32">
        <w:rPr>
          <w:i/>
          <w:lang w:val="en-US"/>
        </w:rPr>
        <w:t>caffer</w:t>
      </w:r>
      <w:proofErr w:type="spellEnd"/>
      <w:r>
        <w:rPr>
          <w:lang w:val="en-US"/>
        </w:rPr>
        <w:t>)</w:t>
      </w:r>
      <w:r w:rsidRPr="00E60831">
        <w:rPr>
          <w:lang w:val="en-US"/>
        </w:rPr>
        <w:t xml:space="preserve"> </w:t>
      </w:r>
      <w:r>
        <w:rPr>
          <w:lang w:val="en-US"/>
        </w:rPr>
        <w:t>were removed from TMM for visualization purpose.</w:t>
      </w:r>
    </w:p>
    <w:p w14:paraId="4729C3D7" w14:textId="77777777" w:rsidR="00F153DA" w:rsidRDefault="00F153DA" w:rsidP="00F153DA">
      <w:pPr>
        <w:spacing w:line="480" w:lineRule="auto"/>
        <w:rPr>
          <w:lang w:val="en-US"/>
        </w:rPr>
      </w:pPr>
      <w:r>
        <w:rPr>
          <w:lang w:val="en-US"/>
        </w:rPr>
        <w:br w:type="page"/>
      </w:r>
    </w:p>
    <w:p w14:paraId="284AF7B5" w14:textId="77777777" w:rsidR="00F153DA" w:rsidRDefault="00F153DA" w:rsidP="00F153DA">
      <w:pPr>
        <w:spacing w:line="480" w:lineRule="auto"/>
        <w:rPr>
          <w:lang w:val="en-US"/>
        </w:rPr>
      </w:pPr>
      <w:r w:rsidRPr="004A6E2A">
        <w:rPr>
          <w:lang w:val="en-US"/>
        </w:rPr>
        <w:lastRenderedPageBreak/>
        <w:t xml:space="preserve">Figure </w:t>
      </w:r>
      <w:r>
        <w:rPr>
          <w:lang w:val="en-US"/>
        </w:rPr>
        <w:t>8 SI. Scattered boxplots of generation length (</w:t>
      </w:r>
      <w:proofErr w:type="spellStart"/>
      <w:r>
        <w:rPr>
          <w:lang w:val="en-US"/>
        </w:rPr>
        <w:t>yrs</w:t>
      </w:r>
      <w:proofErr w:type="spellEnd"/>
      <w:r>
        <w:rPr>
          <w:lang w:val="en-US"/>
        </w:rPr>
        <w:t>) among the mammalian species sold in traditional medicine markets (TMM) and bushmeat markets (BM) from southern Benin.</w:t>
      </w:r>
    </w:p>
    <w:p w14:paraId="5F0DA41B" w14:textId="77777777" w:rsidR="00F153DA" w:rsidRDefault="00F153DA" w:rsidP="00F153DA">
      <w:pPr>
        <w:spacing w:line="480" w:lineRule="auto"/>
        <w:rPr>
          <w:lang w:val="en-US"/>
        </w:rPr>
      </w:pPr>
      <w:r w:rsidRPr="00634993">
        <w:rPr>
          <w:noProof/>
          <w:lang w:eastAsia="fr-FR"/>
        </w:rPr>
        <w:drawing>
          <wp:inline distT="0" distB="0" distL="0" distR="0" wp14:anchorId="32495897" wp14:editId="42D8691B">
            <wp:extent cx="4378325" cy="3524250"/>
            <wp:effectExtent l="0" t="0" r="3175"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78325" cy="3524250"/>
                    </a:xfrm>
                    <a:prstGeom prst="rect">
                      <a:avLst/>
                    </a:prstGeom>
                    <a:noFill/>
                    <a:ln>
                      <a:noFill/>
                    </a:ln>
                  </pic:spPr>
                </pic:pic>
              </a:graphicData>
            </a:graphic>
          </wp:inline>
        </w:drawing>
      </w:r>
    </w:p>
    <w:p w14:paraId="295D9958" w14:textId="77777777" w:rsidR="00F153DA" w:rsidRDefault="00F153DA" w:rsidP="00F153DA">
      <w:pPr>
        <w:spacing w:line="480" w:lineRule="auto"/>
        <w:rPr>
          <w:lang w:val="en-US"/>
        </w:rPr>
      </w:pPr>
      <w:r>
        <w:rPr>
          <w:lang w:val="en-US"/>
        </w:rPr>
        <w:br w:type="page"/>
      </w:r>
    </w:p>
    <w:p w14:paraId="06D09047" w14:textId="77777777" w:rsidR="00F153DA" w:rsidRDefault="00F153DA" w:rsidP="00F153DA">
      <w:pPr>
        <w:spacing w:line="480" w:lineRule="auto"/>
        <w:rPr>
          <w:lang w:val="en-US"/>
        </w:rPr>
      </w:pPr>
      <w:r w:rsidRPr="004A6E2A">
        <w:rPr>
          <w:lang w:val="en-US"/>
        </w:rPr>
        <w:lastRenderedPageBreak/>
        <w:t xml:space="preserve">Figure </w:t>
      </w:r>
      <w:r>
        <w:rPr>
          <w:lang w:val="en-US"/>
        </w:rPr>
        <w:t>9 SI. Scattered boxplots of litter size per year among the mammalian species sold in traditional medicine markets (TMM) and bushmeat markets (BM) from southern Benin.</w:t>
      </w:r>
    </w:p>
    <w:p w14:paraId="0A3B95F7" w14:textId="77777777" w:rsidR="00F153DA" w:rsidRDefault="00F153DA" w:rsidP="00F153DA">
      <w:pPr>
        <w:spacing w:line="480" w:lineRule="auto"/>
        <w:rPr>
          <w:lang w:val="en-US"/>
        </w:rPr>
      </w:pPr>
      <w:r w:rsidRPr="004E3597">
        <w:rPr>
          <w:noProof/>
          <w:lang w:eastAsia="fr-FR"/>
        </w:rPr>
        <w:drawing>
          <wp:inline distT="0" distB="0" distL="0" distR="0" wp14:anchorId="03450465" wp14:editId="09C64EBE">
            <wp:extent cx="4626610" cy="4027170"/>
            <wp:effectExtent l="0" t="0" r="254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26610" cy="4027170"/>
                    </a:xfrm>
                    <a:prstGeom prst="rect">
                      <a:avLst/>
                    </a:prstGeom>
                    <a:noFill/>
                    <a:ln>
                      <a:noFill/>
                    </a:ln>
                  </pic:spPr>
                </pic:pic>
              </a:graphicData>
            </a:graphic>
          </wp:inline>
        </w:drawing>
      </w:r>
    </w:p>
    <w:p w14:paraId="2AF4D19D" w14:textId="77777777" w:rsidR="00F153DA" w:rsidRDefault="00F153DA" w:rsidP="00F153DA">
      <w:pPr>
        <w:spacing w:line="480" w:lineRule="auto"/>
        <w:rPr>
          <w:lang w:val="en-US"/>
        </w:rPr>
      </w:pPr>
      <w:r>
        <w:rPr>
          <w:lang w:val="en-US"/>
        </w:rPr>
        <w:br w:type="page"/>
      </w:r>
    </w:p>
    <w:p w14:paraId="0D1A464F" w14:textId="77777777" w:rsidR="00F153DA" w:rsidRDefault="00F153DA" w:rsidP="00F153DA">
      <w:pPr>
        <w:spacing w:line="480" w:lineRule="auto"/>
        <w:rPr>
          <w:lang w:val="en-US"/>
        </w:rPr>
      </w:pPr>
      <w:r>
        <w:rPr>
          <w:lang w:val="en-US"/>
        </w:rPr>
        <w:lastRenderedPageBreak/>
        <w:t xml:space="preserve">Figure 10 SI. Boxplot representation of mean weight (in kg) distribution across diet (top) and ecological function (bottom) categories within the mammalian species sold in traditional medicine markets (TMM; green boxes) and bushmeat markets (BM; white boxes) from southern Benin. </w:t>
      </w:r>
    </w:p>
    <w:p w14:paraId="4408091C" w14:textId="77777777" w:rsidR="00F153DA" w:rsidRDefault="00F153DA" w:rsidP="00F153DA">
      <w:pPr>
        <w:spacing w:line="480" w:lineRule="auto"/>
        <w:rPr>
          <w:lang w:val="en-US"/>
        </w:rPr>
      </w:pPr>
    </w:p>
    <w:p w14:paraId="03524ACC" w14:textId="77777777" w:rsidR="00F153DA" w:rsidRDefault="00F153DA" w:rsidP="00F153DA">
      <w:pPr>
        <w:spacing w:line="480" w:lineRule="auto"/>
        <w:rPr>
          <w:lang w:val="en-US"/>
        </w:rPr>
      </w:pPr>
      <w:r w:rsidRPr="00D91C3D">
        <w:rPr>
          <w:noProof/>
          <w:lang w:eastAsia="fr-FR"/>
        </w:rPr>
        <w:lastRenderedPageBreak/>
        <w:drawing>
          <wp:inline distT="0" distB="0" distL="0" distR="0" wp14:anchorId="17C77D69" wp14:editId="5B22D9F5">
            <wp:extent cx="5760720" cy="7064037"/>
            <wp:effectExtent l="0" t="0" r="0" b="381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720" cy="7064037"/>
                    </a:xfrm>
                    <a:prstGeom prst="rect">
                      <a:avLst/>
                    </a:prstGeom>
                    <a:noFill/>
                    <a:ln>
                      <a:noFill/>
                    </a:ln>
                  </pic:spPr>
                </pic:pic>
              </a:graphicData>
            </a:graphic>
          </wp:inline>
        </w:drawing>
      </w:r>
    </w:p>
    <w:p w14:paraId="070C1C80" w14:textId="77777777" w:rsidR="00F153DA" w:rsidRPr="004A6E2A" w:rsidRDefault="00F153DA" w:rsidP="00F153DA">
      <w:pPr>
        <w:spacing w:line="480" w:lineRule="auto"/>
        <w:rPr>
          <w:lang w:val="en-US"/>
        </w:rPr>
      </w:pPr>
      <w:r>
        <w:rPr>
          <w:lang w:val="en-US"/>
        </w:rPr>
        <w:t>Three species &gt; 500 kg (</w:t>
      </w:r>
      <w:r w:rsidRPr="00FF7546">
        <w:rPr>
          <w:i/>
          <w:lang w:val="en-US"/>
        </w:rPr>
        <w:t xml:space="preserve">Loxodonta </w:t>
      </w:r>
      <w:proofErr w:type="spellStart"/>
      <w:r w:rsidRPr="00FF7546">
        <w:rPr>
          <w:i/>
          <w:lang w:val="en-US"/>
        </w:rPr>
        <w:t>africana</w:t>
      </w:r>
      <w:proofErr w:type="spellEnd"/>
      <w:r w:rsidRPr="00FF7546">
        <w:rPr>
          <w:i/>
          <w:lang w:val="en-US"/>
        </w:rPr>
        <w:t xml:space="preserve">, Hippopotamus amphibious, </w:t>
      </w:r>
      <w:proofErr w:type="spellStart"/>
      <w:r w:rsidRPr="00FF7546">
        <w:rPr>
          <w:i/>
          <w:lang w:val="en-US"/>
        </w:rPr>
        <w:t>Syncerus</w:t>
      </w:r>
      <w:proofErr w:type="spellEnd"/>
      <w:r w:rsidRPr="00FF7546">
        <w:rPr>
          <w:i/>
          <w:lang w:val="en-US"/>
        </w:rPr>
        <w:t xml:space="preserve"> </w:t>
      </w:r>
      <w:proofErr w:type="spellStart"/>
      <w:r w:rsidRPr="00FF7546">
        <w:rPr>
          <w:i/>
          <w:lang w:val="en-US"/>
        </w:rPr>
        <w:t>caffer</w:t>
      </w:r>
      <w:proofErr w:type="spellEnd"/>
      <w:r>
        <w:rPr>
          <w:lang w:val="en-US"/>
        </w:rPr>
        <w:t>)</w:t>
      </w:r>
      <w:r w:rsidRPr="00E60831">
        <w:rPr>
          <w:lang w:val="en-US"/>
        </w:rPr>
        <w:t xml:space="preserve"> </w:t>
      </w:r>
      <w:r>
        <w:rPr>
          <w:lang w:val="en-US"/>
        </w:rPr>
        <w:t>were removed from TMM for visualization purpose.</w:t>
      </w:r>
    </w:p>
    <w:p w14:paraId="1D9CB34B" w14:textId="77777777" w:rsidR="001777A1" w:rsidRDefault="001777A1"/>
    <w:sectPr w:rsidR="001777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3DA"/>
    <w:rsid w:val="001777A1"/>
    <w:rsid w:val="00F153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E7FED"/>
  <w15:chartTrackingRefBased/>
  <w15:docId w15:val="{2C72D0E0-005F-4304-B2E8-D1900EBDA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53DA"/>
    <w:rPr>
      <w:kern w:val="0"/>
      <w:lang w:val="fr-F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chart" Target="charts/chart4.xml"/><Relationship Id="rId12"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3.xml"/><Relationship Id="rId11" Type="http://schemas.openxmlformats.org/officeDocument/2006/relationships/image" Target="media/image3.emf"/><Relationship Id="rId5" Type="http://schemas.openxmlformats.org/officeDocument/2006/relationships/chart" Target="charts/chart2.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chart" Target="charts/chart1.xml"/><Relationship Id="rId9" Type="http://schemas.openxmlformats.org/officeDocument/2006/relationships/chart" Target="charts/chart5.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E:\Work%202023\Subm%20Diversite%20marches%20Benin\Synthetic_table_PG2.xlsm"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G:\Work%202023\Subm%20Diversite%20marches%20Benin\Synthetic_table_PG2.xlsm"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G:\Work%202023\Subm%20Diversite%20marches%20Benin\Synthetic_table_PG2.xlsm"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G:\Work%202023\Subm%20Diversite%20marches%20Benin\Synthetic_table_PG2.xlsm"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E:\Work%202023\Subm%20Diversite%20marches%20Benin\Synthetic_table_PG2.xlsm" TargetMode="External"/><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'Orders TMM vs vdb'!$B$20</c:f>
              <c:strCache>
                <c:ptCount val="1"/>
                <c:pt idx="0">
                  <c:v>TMM</c:v>
                </c:pt>
              </c:strCache>
            </c:strRef>
          </c:tx>
          <c:spPr>
            <a:solidFill>
              <a:srgbClr val="92D050"/>
            </a:solidFill>
            <a:ln>
              <a:noFill/>
            </a:ln>
            <a:effectLst/>
          </c:spPr>
          <c:invertIfNegative val="0"/>
          <c:cat>
            <c:strRef>
              <c:f>'Orders TMM vs vdb'!$A$21:$A$31</c:f>
              <c:strCache>
                <c:ptCount val="11"/>
                <c:pt idx="0">
                  <c:v>Carnivora</c:v>
                </c:pt>
                <c:pt idx="1">
                  <c:v>Rodentia</c:v>
                </c:pt>
                <c:pt idx="2">
                  <c:v>Cetartiodactyla</c:v>
                </c:pt>
                <c:pt idx="3">
                  <c:v>Primates</c:v>
                </c:pt>
                <c:pt idx="4">
                  <c:v>Chiroptera</c:v>
                </c:pt>
                <c:pt idx="5">
                  <c:v>Hyracoidea</c:v>
                </c:pt>
                <c:pt idx="6">
                  <c:v>Glires</c:v>
                </c:pt>
                <c:pt idx="7">
                  <c:v>Eulipotyphla</c:v>
                </c:pt>
                <c:pt idx="8">
                  <c:v>Pholidota</c:v>
                </c:pt>
                <c:pt idx="9">
                  <c:v>Tubulidentata</c:v>
                </c:pt>
                <c:pt idx="10">
                  <c:v>Proboscidea</c:v>
                </c:pt>
              </c:strCache>
            </c:strRef>
          </c:cat>
          <c:val>
            <c:numRef>
              <c:f>'Orders TMM vs vdb'!$B$21:$B$31</c:f>
              <c:numCache>
                <c:formatCode>General</c:formatCode>
                <c:ptCount val="11"/>
                <c:pt idx="0">
                  <c:v>27</c:v>
                </c:pt>
                <c:pt idx="1">
                  <c:v>20</c:v>
                </c:pt>
                <c:pt idx="2">
                  <c:v>18</c:v>
                </c:pt>
                <c:pt idx="3">
                  <c:v>11</c:v>
                </c:pt>
                <c:pt idx="4">
                  <c:v>9</c:v>
                </c:pt>
                <c:pt idx="5">
                  <c:v>2</c:v>
                </c:pt>
                <c:pt idx="6">
                  <c:v>2</c:v>
                </c:pt>
                <c:pt idx="7">
                  <c:v>2</c:v>
                </c:pt>
                <c:pt idx="8">
                  <c:v>1</c:v>
                </c:pt>
                <c:pt idx="9">
                  <c:v>1</c:v>
                </c:pt>
                <c:pt idx="10">
                  <c:v>1</c:v>
                </c:pt>
              </c:numCache>
            </c:numRef>
          </c:val>
          <c:extLst>
            <c:ext xmlns:c16="http://schemas.microsoft.com/office/drawing/2014/chart" uri="{C3380CC4-5D6E-409C-BE32-E72D297353CC}">
              <c16:uniqueId val="{00000000-E642-4EFA-AC6E-114F68AE48D7}"/>
            </c:ext>
          </c:extLst>
        </c:ser>
        <c:ser>
          <c:idx val="1"/>
          <c:order val="1"/>
          <c:tx>
            <c:strRef>
              <c:f>'Orders TMM vs vdb'!$C$20</c:f>
              <c:strCache>
                <c:ptCount val="1"/>
                <c:pt idx="0">
                  <c:v>BM</c:v>
                </c:pt>
              </c:strCache>
            </c:strRef>
          </c:tx>
          <c:spPr>
            <a:solidFill>
              <a:schemeClr val="bg1"/>
            </a:solidFill>
            <a:ln>
              <a:solidFill>
                <a:schemeClr val="tx1"/>
              </a:solidFill>
            </a:ln>
            <a:effectLst/>
          </c:spPr>
          <c:invertIfNegative val="0"/>
          <c:cat>
            <c:strRef>
              <c:f>'Orders TMM vs vdb'!$A$21:$A$31</c:f>
              <c:strCache>
                <c:ptCount val="11"/>
                <c:pt idx="0">
                  <c:v>Carnivora</c:v>
                </c:pt>
                <c:pt idx="1">
                  <c:v>Rodentia</c:v>
                </c:pt>
                <c:pt idx="2">
                  <c:v>Cetartiodactyla</c:v>
                </c:pt>
                <c:pt idx="3">
                  <c:v>Primates</c:v>
                </c:pt>
                <c:pt idx="4">
                  <c:v>Chiroptera</c:v>
                </c:pt>
                <c:pt idx="5">
                  <c:v>Hyracoidea</c:v>
                </c:pt>
                <c:pt idx="6">
                  <c:v>Glires</c:v>
                </c:pt>
                <c:pt idx="7">
                  <c:v>Eulipotyphla</c:v>
                </c:pt>
                <c:pt idx="8">
                  <c:v>Pholidota</c:v>
                </c:pt>
                <c:pt idx="9">
                  <c:v>Tubulidentata</c:v>
                </c:pt>
                <c:pt idx="10">
                  <c:v>Proboscidea</c:v>
                </c:pt>
              </c:strCache>
            </c:strRef>
          </c:cat>
          <c:val>
            <c:numRef>
              <c:f>'Orders TMM vs vdb'!$C$21:$C$31</c:f>
              <c:numCache>
                <c:formatCode>General</c:formatCode>
                <c:ptCount val="11"/>
                <c:pt idx="0">
                  <c:v>6</c:v>
                </c:pt>
                <c:pt idx="1">
                  <c:v>6</c:v>
                </c:pt>
                <c:pt idx="2">
                  <c:v>6</c:v>
                </c:pt>
                <c:pt idx="3">
                  <c:v>2</c:v>
                </c:pt>
                <c:pt idx="5">
                  <c:v>1</c:v>
                </c:pt>
                <c:pt idx="6">
                  <c:v>2</c:v>
                </c:pt>
                <c:pt idx="7">
                  <c:v>1</c:v>
                </c:pt>
                <c:pt idx="8">
                  <c:v>1</c:v>
                </c:pt>
              </c:numCache>
            </c:numRef>
          </c:val>
          <c:extLst>
            <c:ext xmlns:c16="http://schemas.microsoft.com/office/drawing/2014/chart" uri="{C3380CC4-5D6E-409C-BE32-E72D297353CC}">
              <c16:uniqueId val="{00000001-E642-4EFA-AC6E-114F68AE48D7}"/>
            </c:ext>
          </c:extLst>
        </c:ser>
        <c:dLbls>
          <c:showLegendKey val="0"/>
          <c:showVal val="0"/>
          <c:showCatName val="0"/>
          <c:showSerName val="0"/>
          <c:showPercent val="0"/>
          <c:showBubbleSize val="0"/>
        </c:dLbls>
        <c:gapWidth val="69"/>
        <c:overlap val="-20"/>
        <c:axId val="1333807967"/>
        <c:axId val="1333811295"/>
      </c:barChart>
      <c:catAx>
        <c:axId val="13338079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33811295"/>
        <c:crosses val="autoZero"/>
        <c:auto val="1"/>
        <c:lblAlgn val="ctr"/>
        <c:lblOffset val="100"/>
        <c:noMultiLvlLbl val="0"/>
      </c:catAx>
      <c:valAx>
        <c:axId val="133381129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3380796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'Bioclimatic zone'!$B$18</c:f>
              <c:strCache>
                <c:ptCount val="1"/>
                <c:pt idx="0">
                  <c:v>TMM</c:v>
                </c:pt>
              </c:strCache>
            </c:strRef>
          </c:tx>
          <c:spPr>
            <a:solidFill>
              <a:srgbClr val="92D050"/>
            </a:solidFill>
            <a:ln>
              <a:noFill/>
            </a:ln>
            <a:effectLst/>
          </c:spPr>
          <c:invertIfNegative val="0"/>
          <c:cat>
            <c:strRef>
              <c:f>'Bioclimatic zone'!$A$19:$A$22</c:f>
              <c:strCache>
                <c:ptCount val="4"/>
                <c:pt idx="0">
                  <c:v>Guinean</c:v>
                </c:pt>
                <c:pt idx="1">
                  <c:v>Sudanian</c:v>
                </c:pt>
                <c:pt idx="2">
                  <c:v>Sudano-Guinean</c:v>
                </c:pt>
                <c:pt idx="3">
                  <c:v>Whole country</c:v>
                </c:pt>
              </c:strCache>
            </c:strRef>
          </c:cat>
          <c:val>
            <c:numRef>
              <c:f>'Bioclimatic zone'!$B$19:$B$22</c:f>
              <c:numCache>
                <c:formatCode>General</c:formatCode>
                <c:ptCount val="4"/>
                <c:pt idx="0">
                  <c:v>31</c:v>
                </c:pt>
                <c:pt idx="1">
                  <c:v>24</c:v>
                </c:pt>
                <c:pt idx="2">
                  <c:v>5</c:v>
                </c:pt>
                <c:pt idx="3">
                  <c:v>20</c:v>
                </c:pt>
              </c:numCache>
            </c:numRef>
          </c:val>
          <c:extLst>
            <c:ext xmlns:c16="http://schemas.microsoft.com/office/drawing/2014/chart" uri="{C3380CC4-5D6E-409C-BE32-E72D297353CC}">
              <c16:uniqueId val="{00000000-AA9F-4F75-8525-C3D239C816E6}"/>
            </c:ext>
          </c:extLst>
        </c:ser>
        <c:ser>
          <c:idx val="1"/>
          <c:order val="1"/>
          <c:tx>
            <c:strRef>
              <c:f>'Bioclimatic zone'!$C$18</c:f>
              <c:strCache>
                <c:ptCount val="1"/>
                <c:pt idx="0">
                  <c:v>BM</c:v>
                </c:pt>
              </c:strCache>
            </c:strRef>
          </c:tx>
          <c:spPr>
            <a:solidFill>
              <a:schemeClr val="bg1"/>
            </a:solidFill>
            <a:ln>
              <a:solidFill>
                <a:schemeClr val="tx1"/>
              </a:solidFill>
            </a:ln>
            <a:effectLst/>
          </c:spPr>
          <c:invertIfNegative val="0"/>
          <c:cat>
            <c:strRef>
              <c:f>'Bioclimatic zone'!$A$19:$A$22</c:f>
              <c:strCache>
                <c:ptCount val="4"/>
                <c:pt idx="0">
                  <c:v>Guinean</c:v>
                </c:pt>
                <c:pt idx="1">
                  <c:v>Sudanian</c:v>
                </c:pt>
                <c:pt idx="2">
                  <c:v>Sudano-Guinean</c:v>
                </c:pt>
                <c:pt idx="3">
                  <c:v>Whole country</c:v>
                </c:pt>
              </c:strCache>
            </c:strRef>
          </c:cat>
          <c:val>
            <c:numRef>
              <c:f>'Bioclimatic zone'!$C$19:$C$22</c:f>
              <c:numCache>
                <c:formatCode>General</c:formatCode>
                <c:ptCount val="4"/>
                <c:pt idx="0">
                  <c:v>11</c:v>
                </c:pt>
                <c:pt idx="3">
                  <c:v>10</c:v>
                </c:pt>
              </c:numCache>
            </c:numRef>
          </c:val>
          <c:extLst>
            <c:ext xmlns:c16="http://schemas.microsoft.com/office/drawing/2014/chart" uri="{C3380CC4-5D6E-409C-BE32-E72D297353CC}">
              <c16:uniqueId val="{00000001-AA9F-4F75-8525-C3D239C816E6}"/>
            </c:ext>
          </c:extLst>
        </c:ser>
        <c:dLbls>
          <c:showLegendKey val="0"/>
          <c:showVal val="0"/>
          <c:showCatName val="0"/>
          <c:showSerName val="0"/>
          <c:showPercent val="0"/>
          <c:showBubbleSize val="0"/>
        </c:dLbls>
        <c:gapWidth val="150"/>
        <c:axId val="1947775263"/>
        <c:axId val="1947781919"/>
      </c:barChart>
      <c:catAx>
        <c:axId val="194777526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47781919"/>
        <c:crosses val="autoZero"/>
        <c:auto val="1"/>
        <c:lblAlgn val="ctr"/>
        <c:lblOffset val="100"/>
        <c:noMultiLvlLbl val="0"/>
      </c:catAx>
      <c:valAx>
        <c:axId val="194778191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47775263"/>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[Synthetic_table_PG2.xlsm]Present - IUCN!Tableau croisé dynamique4</c:name>
    <c:fmtId val="-1"/>
  </c:pivotSource>
  <c:chart>
    <c:autoTitleDeleted val="0"/>
    <c:pivotFmts>
      <c:pivotFmt>
        <c:idx val="0"/>
        <c:spPr>
          <a:solidFill>
            <a:srgbClr val="92D050"/>
          </a:solidFill>
          <a:ln>
            <a:noFill/>
          </a:ln>
          <a:effectLst/>
        </c:spPr>
        <c:marker>
          <c:symbol val="none"/>
        </c:marker>
      </c:pivotFmt>
      <c:pivotFmt>
        <c:idx val="1"/>
        <c:spPr>
          <a:solidFill>
            <a:schemeClr val="bg1"/>
          </a:solidFill>
          <a:ln>
            <a:solidFill>
              <a:schemeClr val="tx1"/>
            </a:solidFill>
          </a:ln>
          <a:effectLst/>
        </c:spPr>
        <c:marker>
          <c:symbol val="none"/>
        </c:marker>
      </c:pivotFmt>
      <c:pivotFmt>
        <c:idx val="2"/>
        <c:spPr>
          <a:solidFill>
            <a:srgbClr val="92D050"/>
          </a:solidFill>
          <a:ln>
            <a:noFill/>
          </a:ln>
          <a:effectLst/>
        </c:spPr>
        <c:marker>
          <c:symbol val="none"/>
        </c:marker>
      </c:pivotFmt>
      <c:pivotFmt>
        <c:idx val="3"/>
        <c:spPr>
          <a:solidFill>
            <a:schemeClr val="bg1"/>
          </a:solidFill>
          <a:ln>
            <a:solidFill>
              <a:schemeClr val="tx1"/>
            </a:solidFill>
          </a:ln>
          <a:effectLst/>
        </c:spPr>
        <c:marker>
          <c:symbol val="none"/>
        </c:marker>
      </c:pivotFmt>
      <c:pivotFmt>
        <c:idx val="4"/>
        <c:spPr>
          <a:solidFill>
            <a:srgbClr val="92D050"/>
          </a:solidFill>
          <a:ln>
            <a:noFill/>
          </a:ln>
          <a:effectLst/>
        </c:spPr>
        <c:marker>
          <c:symbol val="none"/>
        </c:marker>
      </c:pivotFmt>
      <c:pivotFmt>
        <c:idx val="5"/>
        <c:spPr>
          <a:solidFill>
            <a:schemeClr val="bg1"/>
          </a:solidFill>
          <a:ln>
            <a:solidFill>
              <a:schemeClr val="tx1"/>
            </a:solidFill>
          </a:ln>
          <a:effectLst/>
        </c:spPr>
        <c:marker>
          <c:symbol val="none"/>
        </c:marker>
      </c:pivotFmt>
    </c:pivotFmts>
    <c:plotArea>
      <c:layout/>
      <c:barChart>
        <c:barDir val="col"/>
        <c:grouping val="clustered"/>
        <c:varyColors val="0"/>
        <c:ser>
          <c:idx val="0"/>
          <c:order val="0"/>
          <c:tx>
            <c:strRef>
              <c:f>'Present - IUCN'!$B$3</c:f>
              <c:strCache>
                <c:ptCount val="1"/>
                <c:pt idx="0">
                  <c:v>TMM</c:v>
                </c:pt>
              </c:strCache>
            </c:strRef>
          </c:tx>
          <c:spPr>
            <a:solidFill>
              <a:srgbClr val="92D050"/>
            </a:solidFill>
            <a:ln>
              <a:noFill/>
            </a:ln>
            <a:effectLst/>
          </c:spPr>
          <c:invertIfNegative val="0"/>
          <c:cat>
            <c:strRef>
              <c:f>'Present - IUCN'!$A$4:$A$8</c:f>
              <c:strCache>
                <c:ptCount val="4"/>
                <c:pt idx="0">
                  <c:v>absent</c:v>
                </c:pt>
                <c:pt idx="1">
                  <c:v>possibly extinct</c:v>
                </c:pt>
                <c:pt idx="2">
                  <c:v>uncertain</c:v>
                </c:pt>
                <c:pt idx="3">
                  <c:v>present</c:v>
                </c:pt>
              </c:strCache>
            </c:strRef>
          </c:cat>
          <c:val>
            <c:numRef>
              <c:f>'Present - IUCN'!$B$4:$B$8</c:f>
              <c:numCache>
                <c:formatCode>General</c:formatCode>
                <c:ptCount val="4"/>
                <c:pt idx="0">
                  <c:v>6</c:v>
                </c:pt>
                <c:pt idx="1">
                  <c:v>1</c:v>
                </c:pt>
                <c:pt idx="2">
                  <c:v>5</c:v>
                </c:pt>
                <c:pt idx="3">
                  <c:v>77</c:v>
                </c:pt>
              </c:numCache>
            </c:numRef>
          </c:val>
          <c:extLst>
            <c:ext xmlns:c16="http://schemas.microsoft.com/office/drawing/2014/chart" uri="{C3380CC4-5D6E-409C-BE32-E72D297353CC}">
              <c16:uniqueId val="{00000000-487B-465B-BE7E-AFCA5AD574C4}"/>
            </c:ext>
          </c:extLst>
        </c:ser>
        <c:ser>
          <c:idx val="1"/>
          <c:order val="1"/>
          <c:tx>
            <c:strRef>
              <c:f>'Present - IUCN'!$C$3</c:f>
              <c:strCache>
                <c:ptCount val="1"/>
                <c:pt idx="0">
                  <c:v>BM</c:v>
                </c:pt>
              </c:strCache>
            </c:strRef>
          </c:tx>
          <c:spPr>
            <a:solidFill>
              <a:schemeClr val="bg1"/>
            </a:solidFill>
            <a:ln>
              <a:solidFill>
                <a:schemeClr val="tx1"/>
              </a:solidFill>
            </a:ln>
            <a:effectLst/>
          </c:spPr>
          <c:invertIfNegative val="0"/>
          <c:cat>
            <c:strRef>
              <c:f>'Present - IUCN'!$A$4:$A$8</c:f>
              <c:strCache>
                <c:ptCount val="4"/>
                <c:pt idx="0">
                  <c:v>absent</c:v>
                </c:pt>
                <c:pt idx="1">
                  <c:v>possibly extinct</c:v>
                </c:pt>
                <c:pt idx="2">
                  <c:v>uncertain</c:v>
                </c:pt>
                <c:pt idx="3">
                  <c:v>present</c:v>
                </c:pt>
              </c:strCache>
            </c:strRef>
          </c:cat>
          <c:val>
            <c:numRef>
              <c:f>'Present - IUCN'!$C$4:$C$8</c:f>
              <c:numCache>
                <c:formatCode>General</c:formatCode>
                <c:ptCount val="4"/>
                <c:pt idx="2">
                  <c:v>1</c:v>
                </c:pt>
                <c:pt idx="3">
                  <c:v>22</c:v>
                </c:pt>
              </c:numCache>
            </c:numRef>
          </c:val>
          <c:extLst>
            <c:ext xmlns:c16="http://schemas.microsoft.com/office/drawing/2014/chart" uri="{C3380CC4-5D6E-409C-BE32-E72D297353CC}">
              <c16:uniqueId val="{00000001-487B-465B-BE7E-AFCA5AD574C4}"/>
            </c:ext>
          </c:extLst>
        </c:ser>
        <c:dLbls>
          <c:showLegendKey val="0"/>
          <c:showVal val="0"/>
          <c:showCatName val="0"/>
          <c:showSerName val="0"/>
          <c:showPercent val="0"/>
          <c:showBubbleSize val="0"/>
        </c:dLbls>
        <c:gapWidth val="219"/>
        <c:overlap val="-27"/>
        <c:axId val="1167107455"/>
        <c:axId val="1167120351"/>
      </c:barChart>
      <c:catAx>
        <c:axId val="116710745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67120351"/>
        <c:crosses val="autoZero"/>
        <c:auto val="1"/>
        <c:lblAlgn val="ctr"/>
        <c:lblOffset val="100"/>
        <c:noMultiLvlLbl val="0"/>
      </c:catAx>
      <c:valAx>
        <c:axId val="1167120351"/>
        <c:scaling>
          <c:orientation val="minMax"/>
          <c:max val="8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67107455"/>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Habitats!$B$13</c:f>
              <c:strCache>
                <c:ptCount val="1"/>
                <c:pt idx="0">
                  <c:v>TMM</c:v>
                </c:pt>
              </c:strCache>
            </c:strRef>
          </c:tx>
          <c:spPr>
            <a:solidFill>
              <a:srgbClr val="92D050"/>
            </a:solidFill>
            <a:ln>
              <a:solidFill>
                <a:schemeClr val="accent6">
                  <a:lumMod val="75000"/>
                </a:schemeClr>
              </a:solidFill>
            </a:ln>
            <a:effectLst/>
          </c:spPr>
          <c:invertIfNegative val="0"/>
          <c:cat>
            <c:strRef>
              <c:f>Habitats!$A$14:$A$18</c:f>
              <c:strCache>
                <c:ptCount val="5"/>
                <c:pt idx="0">
                  <c:v>domestic species</c:v>
                </c:pt>
                <c:pt idx="1">
                  <c:v>wetlands</c:v>
                </c:pt>
                <c:pt idx="2">
                  <c:v>all habitat types</c:v>
                </c:pt>
                <c:pt idx="3">
                  <c:v>forest</c:v>
                </c:pt>
                <c:pt idx="4">
                  <c:v>savannah</c:v>
                </c:pt>
              </c:strCache>
            </c:strRef>
          </c:cat>
          <c:val>
            <c:numRef>
              <c:f>Habitats!$B$14:$B$18</c:f>
              <c:numCache>
                <c:formatCode>General</c:formatCode>
                <c:ptCount val="5"/>
                <c:pt idx="0">
                  <c:v>3</c:v>
                </c:pt>
                <c:pt idx="1">
                  <c:v>7</c:v>
                </c:pt>
                <c:pt idx="2">
                  <c:v>21</c:v>
                </c:pt>
                <c:pt idx="3">
                  <c:v>31</c:v>
                </c:pt>
                <c:pt idx="4">
                  <c:v>41</c:v>
                </c:pt>
              </c:numCache>
            </c:numRef>
          </c:val>
          <c:extLst>
            <c:ext xmlns:c16="http://schemas.microsoft.com/office/drawing/2014/chart" uri="{C3380CC4-5D6E-409C-BE32-E72D297353CC}">
              <c16:uniqueId val="{00000000-47FB-41A9-81E0-C5B3637FEA51}"/>
            </c:ext>
          </c:extLst>
        </c:ser>
        <c:ser>
          <c:idx val="1"/>
          <c:order val="1"/>
          <c:tx>
            <c:strRef>
              <c:f>Habitats!$C$13</c:f>
              <c:strCache>
                <c:ptCount val="1"/>
                <c:pt idx="0">
                  <c:v>BM</c:v>
                </c:pt>
              </c:strCache>
            </c:strRef>
          </c:tx>
          <c:spPr>
            <a:solidFill>
              <a:schemeClr val="bg1"/>
            </a:solidFill>
            <a:ln>
              <a:solidFill>
                <a:schemeClr val="tx1"/>
              </a:solidFill>
            </a:ln>
            <a:effectLst/>
          </c:spPr>
          <c:invertIfNegative val="0"/>
          <c:cat>
            <c:strRef>
              <c:f>Habitats!$A$14:$A$18</c:f>
              <c:strCache>
                <c:ptCount val="5"/>
                <c:pt idx="0">
                  <c:v>domestic species</c:v>
                </c:pt>
                <c:pt idx="1">
                  <c:v>wetlands</c:v>
                </c:pt>
                <c:pt idx="2">
                  <c:v>all habitat types</c:v>
                </c:pt>
                <c:pt idx="3">
                  <c:v>forest</c:v>
                </c:pt>
                <c:pt idx="4">
                  <c:v>savannah</c:v>
                </c:pt>
              </c:strCache>
            </c:strRef>
          </c:cat>
          <c:val>
            <c:numRef>
              <c:f>Habitats!$C$14:$C$18</c:f>
              <c:numCache>
                <c:formatCode>General</c:formatCode>
                <c:ptCount val="5"/>
                <c:pt idx="0">
                  <c:v>2</c:v>
                </c:pt>
                <c:pt idx="1">
                  <c:v>3</c:v>
                </c:pt>
                <c:pt idx="2">
                  <c:v>9</c:v>
                </c:pt>
                <c:pt idx="3">
                  <c:v>14</c:v>
                </c:pt>
                <c:pt idx="4">
                  <c:v>8</c:v>
                </c:pt>
              </c:numCache>
            </c:numRef>
          </c:val>
          <c:extLst>
            <c:ext xmlns:c16="http://schemas.microsoft.com/office/drawing/2014/chart" uri="{C3380CC4-5D6E-409C-BE32-E72D297353CC}">
              <c16:uniqueId val="{00000001-47FB-41A9-81E0-C5B3637FEA51}"/>
            </c:ext>
          </c:extLst>
        </c:ser>
        <c:dLbls>
          <c:showLegendKey val="0"/>
          <c:showVal val="0"/>
          <c:showCatName val="0"/>
          <c:showSerName val="0"/>
          <c:showPercent val="0"/>
          <c:showBubbleSize val="0"/>
        </c:dLbls>
        <c:gapWidth val="30"/>
        <c:axId val="1167129087"/>
        <c:axId val="1167129503"/>
      </c:barChart>
      <c:catAx>
        <c:axId val="1167129087"/>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67129503"/>
        <c:crosses val="autoZero"/>
        <c:auto val="1"/>
        <c:lblAlgn val="ctr"/>
        <c:lblOffset val="100"/>
        <c:noMultiLvlLbl val="0"/>
      </c:catAx>
      <c:valAx>
        <c:axId val="1167129503"/>
        <c:scaling>
          <c:orientation val="minMax"/>
          <c:max val="50"/>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67129087"/>
        <c:crosses val="autoZero"/>
        <c:crossBetween val="between"/>
      </c:valAx>
      <c:spPr>
        <a:noFill/>
        <a:ln w="25400">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FunctionOK!$B$15</c:f>
              <c:strCache>
                <c:ptCount val="1"/>
                <c:pt idx="0">
                  <c:v>TMM</c:v>
                </c:pt>
              </c:strCache>
            </c:strRef>
          </c:tx>
          <c:spPr>
            <a:solidFill>
              <a:srgbClr val="92D050"/>
            </a:solidFill>
            <a:ln>
              <a:noFill/>
            </a:ln>
            <a:effectLst/>
          </c:spPr>
          <c:invertIfNegative val="0"/>
          <c:cat>
            <c:strRef>
              <c:f>FunctionOK!$A$16:$A$20</c:f>
              <c:strCache>
                <c:ptCount val="5"/>
                <c:pt idx="0">
                  <c:v>Fertilization</c:v>
                </c:pt>
                <c:pt idx="1">
                  <c:v>Grazing</c:v>
                </c:pt>
                <c:pt idx="2">
                  <c:v>Browsing</c:v>
                </c:pt>
                <c:pt idx="3">
                  <c:v>Prey regulation</c:v>
                </c:pt>
                <c:pt idx="4">
                  <c:v>Seed dispersion</c:v>
                </c:pt>
              </c:strCache>
            </c:strRef>
          </c:cat>
          <c:val>
            <c:numRef>
              <c:f>FunctionOK!$B$16:$B$20</c:f>
              <c:numCache>
                <c:formatCode>General</c:formatCode>
                <c:ptCount val="5"/>
                <c:pt idx="0">
                  <c:v>2</c:v>
                </c:pt>
                <c:pt idx="1">
                  <c:v>4</c:v>
                </c:pt>
                <c:pt idx="2">
                  <c:v>27</c:v>
                </c:pt>
                <c:pt idx="3">
                  <c:v>44</c:v>
                </c:pt>
                <c:pt idx="4">
                  <c:v>46</c:v>
                </c:pt>
              </c:numCache>
            </c:numRef>
          </c:val>
          <c:extLst>
            <c:ext xmlns:c16="http://schemas.microsoft.com/office/drawing/2014/chart" uri="{C3380CC4-5D6E-409C-BE32-E72D297353CC}">
              <c16:uniqueId val="{00000000-209D-493B-B682-E8C848FCDF16}"/>
            </c:ext>
          </c:extLst>
        </c:ser>
        <c:ser>
          <c:idx val="1"/>
          <c:order val="1"/>
          <c:tx>
            <c:strRef>
              <c:f>FunctionOK!$C$15</c:f>
              <c:strCache>
                <c:ptCount val="1"/>
                <c:pt idx="0">
                  <c:v>BM</c:v>
                </c:pt>
              </c:strCache>
            </c:strRef>
          </c:tx>
          <c:spPr>
            <a:solidFill>
              <a:schemeClr val="bg1"/>
            </a:solidFill>
            <a:ln>
              <a:solidFill>
                <a:schemeClr val="tx1"/>
              </a:solidFill>
            </a:ln>
            <a:effectLst/>
          </c:spPr>
          <c:invertIfNegative val="0"/>
          <c:cat>
            <c:strRef>
              <c:f>FunctionOK!$A$16:$A$20</c:f>
              <c:strCache>
                <c:ptCount val="5"/>
                <c:pt idx="0">
                  <c:v>Fertilization</c:v>
                </c:pt>
                <c:pt idx="1">
                  <c:v>Grazing</c:v>
                </c:pt>
                <c:pt idx="2">
                  <c:v>Browsing</c:v>
                </c:pt>
                <c:pt idx="3">
                  <c:v>Prey regulation</c:v>
                </c:pt>
                <c:pt idx="4">
                  <c:v>Seed dispersion</c:v>
                </c:pt>
              </c:strCache>
            </c:strRef>
          </c:cat>
          <c:val>
            <c:numRef>
              <c:f>FunctionOK!$C$16:$C$20</c:f>
              <c:numCache>
                <c:formatCode>General</c:formatCode>
                <c:ptCount val="5"/>
                <c:pt idx="0">
                  <c:v>0</c:v>
                </c:pt>
                <c:pt idx="1">
                  <c:v>4</c:v>
                </c:pt>
                <c:pt idx="2">
                  <c:v>11</c:v>
                </c:pt>
                <c:pt idx="3">
                  <c:v>15</c:v>
                </c:pt>
                <c:pt idx="4">
                  <c:v>13</c:v>
                </c:pt>
              </c:numCache>
            </c:numRef>
          </c:val>
          <c:extLst>
            <c:ext xmlns:c16="http://schemas.microsoft.com/office/drawing/2014/chart" uri="{C3380CC4-5D6E-409C-BE32-E72D297353CC}">
              <c16:uniqueId val="{00000001-209D-493B-B682-E8C848FCDF16}"/>
            </c:ext>
          </c:extLst>
        </c:ser>
        <c:dLbls>
          <c:showLegendKey val="0"/>
          <c:showVal val="0"/>
          <c:showCatName val="0"/>
          <c:showSerName val="0"/>
          <c:showPercent val="0"/>
          <c:showBubbleSize val="0"/>
        </c:dLbls>
        <c:gapWidth val="219"/>
        <c:overlap val="-27"/>
        <c:axId val="1609678304"/>
        <c:axId val="1609670400"/>
      </c:barChart>
      <c:catAx>
        <c:axId val="16096783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09670400"/>
        <c:crosses val="autoZero"/>
        <c:auto val="1"/>
        <c:lblAlgn val="ctr"/>
        <c:lblOffset val="100"/>
        <c:noMultiLvlLbl val="0"/>
      </c:catAx>
      <c:valAx>
        <c:axId val="160967040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0967830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351</Words>
  <Characters>2005</Characters>
  <Application>Microsoft Office Word</Application>
  <DocSecurity>0</DocSecurity>
  <Lines>16</Lines>
  <Paragraphs>4</Paragraphs>
  <ScaleCrop>false</ScaleCrop>
  <Company/>
  <LinksUpToDate>false</LinksUpToDate>
  <CharactersWithSpaces>2352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2023-10-09T16:20:00Z</dcterms:created>
  <dcterms:modified xsi:type="dcterms:W3CDTF">2023-10-09T16:20:00Z</dcterms:modified>
</cp:coreProperties>
</file>