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2A4" w:rsidRDefault="00A232A4" w:rsidP="00A232A4">
      <w:pPr>
        <w:spacing w:line="480" w:lineRule="auto"/>
        <w:rPr>
          <w:lang w:val="en-GB"/>
        </w:rPr>
      </w:pPr>
      <w:r>
        <w:rPr>
          <w:lang w:val="en-US"/>
        </w:rPr>
        <w:t xml:space="preserve">Appendix 1. </w:t>
      </w:r>
      <w:r>
        <w:rPr>
          <w:lang w:val="en-GB"/>
        </w:rPr>
        <w:t>PCR a</w:t>
      </w:r>
      <w:r w:rsidRPr="004A6E2A">
        <w:rPr>
          <w:lang w:val="en-GB"/>
        </w:rPr>
        <w:t>mplification and sequencing procedures together with post-processing validation of the nucleotide sequences</w:t>
      </w:r>
      <w:r>
        <w:rPr>
          <w:lang w:val="en-GB"/>
        </w:rPr>
        <w:t xml:space="preserve"> used in the study.</w:t>
      </w:r>
    </w:p>
    <w:p w:rsidR="00A232A4" w:rsidRPr="00C80982" w:rsidRDefault="00A232A4" w:rsidP="00A232A4">
      <w:pPr>
        <w:spacing w:line="480" w:lineRule="auto"/>
        <w:rPr>
          <w:lang w:val="en-US"/>
        </w:rPr>
      </w:pPr>
    </w:p>
    <w:p w:rsidR="00A232A4" w:rsidRPr="00C80982" w:rsidRDefault="00A232A4" w:rsidP="00A232A4">
      <w:pPr>
        <w:spacing w:line="480" w:lineRule="auto"/>
        <w:rPr>
          <w:lang w:val="en-US"/>
        </w:rPr>
      </w:pPr>
      <w:r w:rsidRPr="00C80982">
        <w:rPr>
          <w:lang w:val="en-US"/>
        </w:rPr>
        <w:t xml:space="preserve">PCR mixture was carried out in 20 µl final volume with ~10-50 ng template DNA, 0.1 mg/mL BSA, 0.2 x 4 </w:t>
      </w:r>
      <w:proofErr w:type="spellStart"/>
      <w:r w:rsidRPr="00C80982">
        <w:rPr>
          <w:lang w:val="en-US"/>
        </w:rPr>
        <w:t>mM</w:t>
      </w:r>
      <w:proofErr w:type="spellEnd"/>
      <w:r w:rsidRPr="00C80982">
        <w:rPr>
          <w:lang w:val="en-US"/>
        </w:rPr>
        <w:t xml:space="preserve"> </w:t>
      </w:r>
      <w:proofErr w:type="spellStart"/>
      <w:r w:rsidRPr="00C80982">
        <w:rPr>
          <w:lang w:val="en-US"/>
        </w:rPr>
        <w:t>dNTPs</w:t>
      </w:r>
      <w:proofErr w:type="spellEnd"/>
      <w:r w:rsidRPr="00C80982">
        <w:rPr>
          <w:lang w:val="en-US"/>
        </w:rPr>
        <w:t xml:space="preserve">, 0.5 x 2 µM primers, 1 X Flexi Go </w:t>
      </w:r>
      <w:proofErr w:type="spellStart"/>
      <w:r w:rsidRPr="00C80982">
        <w:rPr>
          <w:lang w:val="en-US"/>
        </w:rPr>
        <w:t>Taq</w:t>
      </w:r>
      <w:proofErr w:type="spellEnd"/>
      <w:r w:rsidRPr="00C80982">
        <w:rPr>
          <w:lang w:val="en-US"/>
        </w:rPr>
        <w:t xml:space="preserve"> Buffer,  1.5 </w:t>
      </w:r>
      <w:proofErr w:type="spellStart"/>
      <w:r w:rsidRPr="00C80982">
        <w:rPr>
          <w:lang w:val="en-US"/>
        </w:rPr>
        <w:t>mM</w:t>
      </w:r>
      <w:proofErr w:type="spellEnd"/>
      <w:r w:rsidRPr="00C80982">
        <w:rPr>
          <w:lang w:val="en-US"/>
        </w:rPr>
        <w:t xml:space="preserve"> MgCl2 and 0.5 U </w:t>
      </w:r>
      <w:proofErr w:type="spellStart"/>
      <w:r w:rsidRPr="00C80982">
        <w:rPr>
          <w:lang w:val="en-US"/>
        </w:rPr>
        <w:t>GoTaq</w:t>
      </w:r>
      <w:proofErr w:type="spellEnd"/>
      <w:r w:rsidRPr="00C80982">
        <w:rPr>
          <w:lang w:val="en-US"/>
        </w:rPr>
        <w:t>® Flexi DNA polymerase (</w:t>
      </w:r>
      <w:proofErr w:type="spellStart"/>
      <w:r w:rsidRPr="00C80982">
        <w:rPr>
          <w:lang w:val="en-US"/>
        </w:rPr>
        <w:t>Promega</w:t>
      </w:r>
      <w:proofErr w:type="spellEnd"/>
      <w:r w:rsidRPr="00C80982">
        <w:rPr>
          <w:lang w:val="en-US"/>
        </w:rPr>
        <w:t xml:space="preserve">, </w:t>
      </w:r>
      <w:proofErr w:type="spellStart"/>
      <w:r w:rsidRPr="00C80982">
        <w:rPr>
          <w:lang w:val="en-US"/>
        </w:rPr>
        <w:t>Charbonnières</w:t>
      </w:r>
      <w:proofErr w:type="spellEnd"/>
      <w:r w:rsidRPr="00C80982">
        <w:rPr>
          <w:lang w:val="en-US"/>
        </w:rPr>
        <w:t>-les-</w:t>
      </w:r>
      <w:proofErr w:type="spellStart"/>
      <w:r w:rsidRPr="00C80982">
        <w:rPr>
          <w:lang w:val="en-US"/>
        </w:rPr>
        <w:t>Bains</w:t>
      </w:r>
      <w:proofErr w:type="spellEnd"/>
      <w:r w:rsidRPr="00C80982">
        <w:rPr>
          <w:lang w:val="en-US"/>
        </w:rPr>
        <w:t xml:space="preserve">, France). Cycling conditions included a first step of denaturation (94 °C, 2 min), followed by 35 cycles of denaturation (92 °C, 30 s), annealing (30 s; 50°C for </w:t>
      </w:r>
      <w:proofErr w:type="spellStart"/>
      <w:r w:rsidRPr="00C80982">
        <w:rPr>
          <w:lang w:val="en-US"/>
        </w:rPr>
        <w:t>cyt</w:t>
      </w:r>
      <w:proofErr w:type="spellEnd"/>
      <w:r w:rsidRPr="00C80982">
        <w:rPr>
          <w:lang w:val="en-US"/>
        </w:rPr>
        <w:t xml:space="preserve"> b and COX1 and 52°C for 12S and 16S) and extension (72 °C, 30 s), and a final extension step (72 °C, 15 min). Amplicons </w:t>
      </w:r>
      <w:proofErr w:type="gramStart"/>
      <w:r w:rsidRPr="00C80982">
        <w:rPr>
          <w:lang w:val="en-US"/>
        </w:rPr>
        <w:t xml:space="preserve">were purified and sequenced in both direction on a 3730xl DNA Analyzer 96-capillary sequencer (Applied </w:t>
      </w:r>
      <w:proofErr w:type="spellStart"/>
      <w:r w:rsidRPr="00C80982">
        <w:rPr>
          <w:lang w:val="en-US"/>
        </w:rPr>
        <w:t>Biosystems</w:t>
      </w:r>
      <w:proofErr w:type="spellEnd"/>
      <w:r w:rsidRPr="00C80982">
        <w:rPr>
          <w:lang w:val="en-US"/>
        </w:rPr>
        <w:t xml:space="preserve">, Foster City, CA) at </w:t>
      </w:r>
      <w:proofErr w:type="spellStart"/>
      <w:r w:rsidRPr="00C80982">
        <w:rPr>
          <w:lang w:val="en-US"/>
        </w:rPr>
        <w:t>Macrogen</w:t>
      </w:r>
      <w:proofErr w:type="spellEnd"/>
      <w:r w:rsidRPr="00C80982">
        <w:rPr>
          <w:lang w:val="en-US"/>
        </w:rPr>
        <w:t xml:space="preserve">, Amsterdam, Netherlands (http://dna.macrogen.com/eng) and </w:t>
      </w:r>
      <w:proofErr w:type="spellStart"/>
      <w:r w:rsidRPr="00C80982">
        <w:rPr>
          <w:lang w:val="en-US"/>
        </w:rPr>
        <w:t>Genoscreen</w:t>
      </w:r>
      <w:proofErr w:type="spellEnd"/>
      <w:r w:rsidRPr="00C80982">
        <w:rPr>
          <w:lang w:val="en-US"/>
        </w:rPr>
        <w:t>, Lille, France (https://www.genoscreen.fr/fr/)</w:t>
      </w:r>
      <w:proofErr w:type="gramEnd"/>
      <w:r w:rsidRPr="00C80982">
        <w:rPr>
          <w:lang w:val="en-US"/>
        </w:rPr>
        <w:t xml:space="preserve">. All the sequences produced in this study were deposited in </w:t>
      </w:r>
      <w:proofErr w:type="spellStart"/>
      <w:r w:rsidRPr="00C80982">
        <w:rPr>
          <w:lang w:val="en-US"/>
        </w:rPr>
        <w:t>Genbank</w:t>
      </w:r>
      <w:proofErr w:type="spellEnd"/>
      <w:r w:rsidRPr="00C80982">
        <w:rPr>
          <w:lang w:val="en-US"/>
        </w:rPr>
        <w:t xml:space="preserve"> under accession numbers </w:t>
      </w:r>
      <w:r w:rsidRPr="009021D2">
        <w:rPr>
          <w:lang w:val="en-US"/>
        </w:rPr>
        <w:t>OR167403 – OR167556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cyt</w:t>
      </w:r>
      <w:proofErr w:type="spellEnd"/>
      <w:r>
        <w:rPr>
          <w:lang w:val="en-US"/>
        </w:rPr>
        <w:t xml:space="preserve"> b), </w:t>
      </w:r>
      <w:r w:rsidRPr="009021D2">
        <w:rPr>
          <w:lang w:val="en-US"/>
        </w:rPr>
        <w:t xml:space="preserve">OR178526 </w:t>
      </w:r>
      <w:r>
        <w:rPr>
          <w:lang w:val="en-US"/>
        </w:rPr>
        <w:t>–</w:t>
      </w:r>
      <w:r w:rsidRPr="009021D2">
        <w:rPr>
          <w:lang w:val="en-US"/>
        </w:rPr>
        <w:t xml:space="preserve"> OR178609 </w:t>
      </w:r>
      <w:r>
        <w:rPr>
          <w:lang w:val="en-US"/>
        </w:rPr>
        <w:t xml:space="preserve">(COX1), </w:t>
      </w:r>
      <w:r w:rsidRPr="0097712D">
        <w:rPr>
          <w:lang w:val="en-US"/>
        </w:rPr>
        <w:t xml:space="preserve">OR183805 </w:t>
      </w:r>
      <w:r>
        <w:rPr>
          <w:lang w:val="en-US"/>
        </w:rPr>
        <w:t>–</w:t>
      </w:r>
      <w:r w:rsidRPr="0097712D">
        <w:rPr>
          <w:lang w:val="en-US"/>
        </w:rPr>
        <w:t xml:space="preserve"> OR183961 </w:t>
      </w:r>
      <w:r>
        <w:rPr>
          <w:lang w:val="en-US"/>
        </w:rPr>
        <w:t xml:space="preserve">(12S) and </w:t>
      </w:r>
      <w:r w:rsidRPr="0097712D">
        <w:rPr>
          <w:lang w:val="en-US"/>
        </w:rPr>
        <w:t xml:space="preserve">OR183962 </w:t>
      </w:r>
      <w:r>
        <w:rPr>
          <w:lang w:val="en-US"/>
        </w:rPr>
        <w:t>–</w:t>
      </w:r>
      <w:r w:rsidRPr="0097712D">
        <w:rPr>
          <w:lang w:val="en-US"/>
        </w:rPr>
        <w:t xml:space="preserve"> OR184116 </w:t>
      </w:r>
      <w:r>
        <w:rPr>
          <w:lang w:val="en-US"/>
        </w:rPr>
        <w:t>(16S)</w:t>
      </w:r>
      <w:r w:rsidRPr="00C80982">
        <w:rPr>
          <w:lang w:val="en-US"/>
        </w:rPr>
        <w:t>.</w:t>
      </w:r>
    </w:p>
    <w:p w:rsidR="00A232A4" w:rsidRPr="00C80982" w:rsidRDefault="00A232A4" w:rsidP="00A232A4">
      <w:pPr>
        <w:spacing w:line="480" w:lineRule="auto"/>
        <w:rPr>
          <w:lang w:val="en-US"/>
        </w:rPr>
      </w:pPr>
      <w:r w:rsidRPr="00C80982">
        <w:rPr>
          <w:lang w:val="en-US"/>
        </w:rPr>
        <w:t xml:space="preserve">Sequences of </w:t>
      </w:r>
      <w:proofErr w:type="spellStart"/>
      <w:r w:rsidRPr="00C80982">
        <w:rPr>
          <w:lang w:val="en-US"/>
        </w:rPr>
        <w:t>cyt</w:t>
      </w:r>
      <w:proofErr w:type="spellEnd"/>
      <w:r w:rsidRPr="00C80982">
        <w:rPr>
          <w:lang w:val="en-US"/>
        </w:rPr>
        <w:t xml:space="preserve"> b and COX1 </w:t>
      </w:r>
      <w:proofErr w:type="gramStart"/>
      <w:r w:rsidRPr="00C80982">
        <w:rPr>
          <w:lang w:val="en-US"/>
        </w:rPr>
        <w:t>were edited</w:t>
      </w:r>
      <w:proofErr w:type="gramEnd"/>
      <w:r w:rsidRPr="00C80982">
        <w:rPr>
          <w:lang w:val="en-US"/>
        </w:rPr>
        <w:t xml:space="preserve"> and aligned manually using </w:t>
      </w:r>
      <w:proofErr w:type="spellStart"/>
      <w:r w:rsidRPr="00C80982">
        <w:rPr>
          <w:lang w:val="en-US"/>
        </w:rPr>
        <w:t>BioEdit</w:t>
      </w:r>
      <w:proofErr w:type="spellEnd"/>
      <w:r w:rsidRPr="00C80982">
        <w:rPr>
          <w:lang w:val="en-US"/>
        </w:rPr>
        <w:t xml:space="preserve"> 7.2.5. (Hall, 1999). We aligned the 12S and 16S fragments using MUSCLE (Edgar, 2004) at https://www.ebi.ac.uk/Tools/msa/muscle/ with default settings. In order to detect the presence of pseudogenes in </w:t>
      </w:r>
      <w:proofErr w:type="spellStart"/>
      <w:r w:rsidRPr="00C80982">
        <w:rPr>
          <w:lang w:val="en-US"/>
        </w:rPr>
        <w:t>cyt</w:t>
      </w:r>
      <w:proofErr w:type="spellEnd"/>
      <w:r w:rsidRPr="00C80982">
        <w:rPr>
          <w:lang w:val="en-US"/>
        </w:rPr>
        <w:t xml:space="preserve"> b and COX1 (coding genes), nucleotide sequence alignments were translated into amino-acids </w:t>
      </w:r>
      <w:proofErr w:type="gramStart"/>
      <w:r w:rsidRPr="00C80982">
        <w:rPr>
          <w:lang w:val="en-US"/>
        </w:rPr>
        <w:t>using  MEGA</w:t>
      </w:r>
      <w:proofErr w:type="gramEnd"/>
      <w:r w:rsidRPr="00C80982">
        <w:rPr>
          <w:lang w:val="en-US"/>
        </w:rPr>
        <w:t xml:space="preserve"> 10.0.5 (Kumar et al., 2018), checking for putative stop codons and </w:t>
      </w:r>
      <w:proofErr w:type="spellStart"/>
      <w:r w:rsidRPr="00C80982">
        <w:rPr>
          <w:lang w:val="en-US"/>
        </w:rPr>
        <w:t>indels</w:t>
      </w:r>
      <w:proofErr w:type="spellEnd"/>
      <w:r w:rsidRPr="00C80982">
        <w:rPr>
          <w:lang w:val="en-US"/>
        </w:rPr>
        <w:t>. We also checked atypical branch lengths and phylogenetic branching in the gene trees (see Material and Methods), a method applicable to genes without reading frames such as the 12S and 16S ribosomal subunits (</w:t>
      </w:r>
      <w:proofErr w:type="spellStart"/>
      <w:r w:rsidRPr="00C80982">
        <w:rPr>
          <w:lang w:val="en-US"/>
        </w:rPr>
        <w:t>Triant</w:t>
      </w:r>
      <w:proofErr w:type="spellEnd"/>
      <w:r w:rsidRPr="00C80982">
        <w:rPr>
          <w:lang w:val="en-US"/>
        </w:rPr>
        <w:t xml:space="preserve"> and </w:t>
      </w:r>
      <w:proofErr w:type="spellStart"/>
      <w:r w:rsidRPr="00C80982">
        <w:rPr>
          <w:lang w:val="en-US"/>
        </w:rPr>
        <w:t>DeWoody</w:t>
      </w:r>
      <w:proofErr w:type="spellEnd"/>
      <w:r w:rsidRPr="00C80982">
        <w:rPr>
          <w:lang w:val="en-US"/>
        </w:rPr>
        <w:t xml:space="preserve">, 2007). </w:t>
      </w:r>
    </w:p>
    <w:p w:rsidR="00A232A4" w:rsidRPr="00C80982" w:rsidRDefault="00A232A4" w:rsidP="00A232A4">
      <w:pPr>
        <w:spacing w:line="480" w:lineRule="auto"/>
        <w:rPr>
          <w:lang w:val="en-US"/>
        </w:rPr>
      </w:pPr>
    </w:p>
    <w:p w:rsidR="00A232A4" w:rsidRPr="00C80982" w:rsidRDefault="00A232A4" w:rsidP="00A232A4">
      <w:pPr>
        <w:spacing w:line="480" w:lineRule="auto"/>
        <w:rPr>
          <w:b/>
          <w:lang w:val="en-US"/>
        </w:rPr>
      </w:pPr>
      <w:r w:rsidRPr="00C80982">
        <w:rPr>
          <w:b/>
          <w:lang w:val="en-US"/>
        </w:rPr>
        <w:t>References</w:t>
      </w:r>
    </w:p>
    <w:p w:rsidR="00A232A4" w:rsidRPr="00C80982" w:rsidRDefault="00A232A4" w:rsidP="00A232A4">
      <w:pPr>
        <w:spacing w:line="480" w:lineRule="auto"/>
        <w:rPr>
          <w:lang w:val="en-US"/>
        </w:rPr>
      </w:pPr>
      <w:r w:rsidRPr="00C80982">
        <w:rPr>
          <w:lang w:val="en-US"/>
        </w:rPr>
        <w:lastRenderedPageBreak/>
        <w:t xml:space="preserve">Edgar RC (2004) MUSCLE: multiple sequence alignment with high accuracy and high throughput. Nucleic Acids Research 32: 1792-1797. </w:t>
      </w:r>
    </w:p>
    <w:p w:rsidR="00A232A4" w:rsidRPr="00C80982" w:rsidRDefault="00A232A4" w:rsidP="00A232A4">
      <w:pPr>
        <w:spacing w:line="480" w:lineRule="auto"/>
        <w:rPr>
          <w:lang w:val="en-US"/>
        </w:rPr>
      </w:pPr>
      <w:r w:rsidRPr="00C80982">
        <w:rPr>
          <w:lang w:val="en-US"/>
        </w:rPr>
        <w:t xml:space="preserve">Hall TA (1999) </w:t>
      </w:r>
      <w:proofErr w:type="spellStart"/>
      <w:r w:rsidRPr="00C80982">
        <w:rPr>
          <w:lang w:val="en-US"/>
        </w:rPr>
        <w:t>BioEdit</w:t>
      </w:r>
      <w:proofErr w:type="spellEnd"/>
      <w:r w:rsidRPr="00C80982">
        <w:rPr>
          <w:lang w:val="en-US"/>
        </w:rPr>
        <w:t xml:space="preserve">: a user-friendly biological sequence alignment editor and analysis program for Windows 95/98/NT. Nucleic acids symposium series 41: 95-98. </w:t>
      </w:r>
    </w:p>
    <w:p w:rsidR="00A232A4" w:rsidRPr="00C80982" w:rsidRDefault="00A232A4" w:rsidP="00A232A4">
      <w:pPr>
        <w:spacing w:line="480" w:lineRule="auto"/>
        <w:rPr>
          <w:lang w:val="en-US"/>
        </w:rPr>
      </w:pPr>
      <w:r w:rsidRPr="00C80982">
        <w:rPr>
          <w:lang w:val="en-US"/>
        </w:rPr>
        <w:t xml:space="preserve">Kumar S, </w:t>
      </w:r>
      <w:proofErr w:type="spellStart"/>
      <w:r w:rsidRPr="00C80982">
        <w:rPr>
          <w:lang w:val="en-US"/>
        </w:rPr>
        <w:t>Stecher</w:t>
      </w:r>
      <w:proofErr w:type="spellEnd"/>
      <w:r w:rsidRPr="00C80982">
        <w:rPr>
          <w:lang w:val="en-US"/>
        </w:rPr>
        <w:t xml:space="preserve"> G, Li M et al (2018) MEGA X: molecular evolutionary genetics analysis across computing platforms. Molecular Biology and Evolution 35: 1547. https://doi.org/10.1093%2Fmolbev%2Fmsy096</w:t>
      </w:r>
    </w:p>
    <w:p w:rsidR="00A232A4" w:rsidRDefault="00A232A4" w:rsidP="00A232A4">
      <w:pPr>
        <w:spacing w:line="480" w:lineRule="auto"/>
        <w:rPr>
          <w:lang w:val="en-US"/>
        </w:rPr>
      </w:pPr>
      <w:proofErr w:type="spellStart"/>
      <w:r w:rsidRPr="00C80982">
        <w:rPr>
          <w:lang w:val="en-US"/>
        </w:rPr>
        <w:t>Triant</w:t>
      </w:r>
      <w:proofErr w:type="spellEnd"/>
      <w:r w:rsidRPr="00C80982">
        <w:rPr>
          <w:lang w:val="en-US"/>
        </w:rPr>
        <w:t xml:space="preserve"> DA, </w:t>
      </w:r>
      <w:proofErr w:type="spellStart"/>
      <w:r w:rsidRPr="00C80982">
        <w:rPr>
          <w:lang w:val="en-US"/>
        </w:rPr>
        <w:t>DeWoody</w:t>
      </w:r>
      <w:proofErr w:type="spellEnd"/>
      <w:r w:rsidRPr="00C80982">
        <w:rPr>
          <w:lang w:val="en-US"/>
        </w:rPr>
        <w:t xml:space="preserve"> JA (2007) </w:t>
      </w:r>
      <w:proofErr w:type="gramStart"/>
      <w:r w:rsidRPr="00C80982">
        <w:rPr>
          <w:lang w:val="en-US"/>
        </w:rPr>
        <w:t>The</w:t>
      </w:r>
      <w:proofErr w:type="gramEnd"/>
      <w:r w:rsidRPr="00C80982">
        <w:rPr>
          <w:lang w:val="en-US"/>
        </w:rPr>
        <w:t xml:space="preserve"> occurrence, detection, and avoidance of mitochondrial DNA translocations in mammalian systematics and phylogeography. J </w:t>
      </w:r>
      <w:proofErr w:type="spellStart"/>
      <w:r w:rsidRPr="00C80982">
        <w:rPr>
          <w:lang w:val="en-US"/>
        </w:rPr>
        <w:t>Mamm</w:t>
      </w:r>
      <w:proofErr w:type="spellEnd"/>
      <w:r w:rsidRPr="00C80982">
        <w:rPr>
          <w:lang w:val="en-US"/>
        </w:rPr>
        <w:t xml:space="preserve"> 88: 908-920. </w:t>
      </w:r>
      <w:r>
        <w:fldChar w:fldCharType="begin"/>
      </w:r>
      <w:r w:rsidRPr="005D34FF">
        <w:rPr>
          <w:lang w:val="en-US"/>
          <w:rPrChange w:id="0" w:author="Philippe Gaubert" w:date="2023-06-24T12:27:00Z">
            <w:rPr/>
          </w:rPrChange>
        </w:rPr>
        <w:instrText xml:space="preserve"> HYPERLINK "https://doi.org/10.1644/06-MAMM-A-204R1.1" </w:instrText>
      </w:r>
      <w:r>
        <w:fldChar w:fldCharType="separate"/>
      </w:r>
      <w:r w:rsidRPr="00D30460">
        <w:rPr>
          <w:rStyle w:val="Lienhypertexte"/>
          <w:lang w:val="en-US"/>
        </w:rPr>
        <w:t>https://doi.org/10.1644/06-MAMM-A-204R1.1</w:t>
      </w:r>
      <w:r>
        <w:rPr>
          <w:rStyle w:val="Lienhypertexte"/>
          <w:lang w:val="en-US"/>
        </w:rPr>
        <w:fldChar w:fldCharType="end"/>
      </w:r>
    </w:p>
    <w:p w:rsidR="0033003D" w:rsidRDefault="0033003D">
      <w:bookmarkStart w:id="1" w:name="_GoBack"/>
      <w:bookmarkEnd w:id="1"/>
    </w:p>
    <w:sectPr w:rsidR="003300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hilippe Gaubert">
    <w15:presenceInfo w15:providerId="Windows Live" w15:userId="9802a027b927f7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2A4"/>
    <w:rsid w:val="0033003D"/>
    <w:rsid w:val="00A2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38552-57F8-4197-9122-D410ED6F5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2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232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Gaubert</dc:creator>
  <cp:keywords/>
  <dc:description/>
  <cp:lastModifiedBy>Philippe Gaubert</cp:lastModifiedBy>
  <cp:revision>1</cp:revision>
  <dcterms:created xsi:type="dcterms:W3CDTF">2023-09-13T06:42:00Z</dcterms:created>
  <dcterms:modified xsi:type="dcterms:W3CDTF">2023-09-13T06:44:00Z</dcterms:modified>
</cp:coreProperties>
</file>