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7DFAA1" w14:textId="77777777" w:rsidR="00013DE8" w:rsidRPr="003A2F32" w:rsidRDefault="00013DE8" w:rsidP="00013DE8">
      <w:pPr>
        <w:spacing w:line="480" w:lineRule="auto"/>
        <w:rPr>
          <w:b/>
          <w:lang w:val="en-US"/>
        </w:rPr>
      </w:pPr>
      <w:r w:rsidRPr="003A2F32">
        <w:rPr>
          <w:b/>
          <w:lang w:val="en-US"/>
        </w:rPr>
        <w:t>Supplementary Information</w:t>
      </w:r>
    </w:p>
    <w:p w14:paraId="0604AB36" w14:textId="77777777" w:rsidR="00013DE8" w:rsidRDefault="00013DE8" w:rsidP="00013DE8">
      <w:pPr>
        <w:spacing w:line="480" w:lineRule="auto"/>
        <w:rPr>
          <w:lang w:val="en-US"/>
        </w:rPr>
      </w:pPr>
    </w:p>
    <w:p w14:paraId="7C28FD59" w14:textId="77777777" w:rsidR="00013DE8" w:rsidRDefault="00013DE8" w:rsidP="00013DE8">
      <w:pPr>
        <w:spacing w:line="480" w:lineRule="auto"/>
        <w:rPr>
          <w:b/>
          <w:lang w:val="en-US"/>
        </w:rPr>
      </w:pPr>
      <w:r>
        <w:rPr>
          <w:b/>
          <w:lang w:val="en-US"/>
        </w:rPr>
        <w:t xml:space="preserve">Journal: </w:t>
      </w:r>
      <w:r w:rsidRPr="004A6E2A">
        <w:rPr>
          <w:b/>
          <w:lang w:val="en-US"/>
        </w:rPr>
        <w:t>Biodiversity and Conservation</w:t>
      </w:r>
    </w:p>
    <w:p w14:paraId="4B8C2B27" w14:textId="77777777" w:rsidR="00013DE8" w:rsidRPr="004A6E2A" w:rsidRDefault="00013DE8" w:rsidP="00013DE8">
      <w:pPr>
        <w:spacing w:line="480" w:lineRule="auto"/>
        <w:rPr>
          <w:b/>
          <w:lang w:val="en-US"/>
        </w:rPr>
      </w:pPr>
    </w:p>
    <w:p w14:paraId="5B605FB1" w14:textId="77777777" w:rsidR="00013DE8" w:rsidRDefault="00013DE8" w:rsidP="00013DE8">
      <w:pPr>
        <w:spacing w:line="480" w:lineRule="auto"/>
        <w:rPr>
          <w:b/>
          <w:lang w:val="en-US"/>
        </w:rPr>
      </w:pPr>
      <w:r>
        <w:rPr>
          <w:b/>
          <w:lang w:val="en-US"/>
        </w:rPr>
        <w:t>Article title: Assessing</w:t>
      </w:r>
      <w:r w:rsidRPr="00732346">
        <w:rPr>
          <w:b/>
          <w:lang w:val="en-US"/>
        </w:rPr>
        <w:t xml:space="preserve"> the wildlife trade in western Africa through the </w:t>
      </w:r>
      <w:r w:rsidRPr="004A6E2A">
        <w:rPr>
          <w:b/>
          <w:lang w:val="en-US"/>
        </w:rPr>
        <w:t xml:space="preserve">prism of functional diversity: a comparative study between two types of markets from southern Benin </w:t>
      </w:r>
    </w:p>
    <w:p w14:paraId="1B43F20E" w14:textId="77777777" w:rsidR="00013DE8" w:rsidRPr="004A6E2A" w:rsidRDefault="00013DE8" w:rsidP="00013DE8">
      <w:pPr>
        <w:spacing w:line="480" w:lineRule="auto"/>
        <w:rPr>
          <w:b/>
          <w:lang w:val="en-US"/>
        </w:rPr>
      </w:pPr>
    </w:p>
    <w:p w14:paraId="18A9B404" w14:textId="77777777" w:rsidR="00013DE8" w:rsidRPr="004A6E2A" w:rsidRDefault="00013DE8" w:rsidP="00013DE8">
      <w:pPr>
        <w:tabs>
          <w:tab w:val="left" w:pos="1276"/>
        </w:tabs>
        <w:spacing w:after="0" w:line="480" w:lineRule="auto"/>
        <w:rPr>
          <w:color w:val="000000" w:themeColor="text1"/>
          <w:vertAlign w:val="superscript"/>
          <w:lang w:val="en-US"/>
        </w:rPr>
      </w:pPr>
      <w:r>
        <w:rPr>
          <w:b/>
          <w:lang w:val="en-US"/>
        </w:rPr>
        <w:t xml:space="preserve">Authors: </w:t>
      </w:r>
      <w:r w:rsidRPr="004A6E2A">
        <w:rPr>
          <w:lang w:val="en-US"/>
        </w:rPr>
        <w:t>Chabi A. M. S. Djagoun</w:t>
      </w:r>
      <w:r w:rsidRPr="004A6E2A">
        <w:rPr>
          <w:color w:val="000000" w:themeColor="text1"/>
          <w:vertAlign w:val="superscript"/>
          <w:lang w:val="en-US"/>
        </w:rPr>
        <w:t>a</w:t>
      </w:r>
      <w:r w:rsidRPr="004A6E2A">
        <w:rPr>
          <w:b/>
          <w:color w:val="000000" w:themeColor="text1"/>
          <w:vertAlign w:val="superscript"/>
          <w:lang w:val="en-US"/>
        </w:rPr>
        <w:t>*</w:t>
      </w:r>
      <w:r w:rsidRPr="004A6E2A">
        <w:rPr>
          <w:lang w:val="en-US"/>
        </w:rPr>
        <w:t>, Stanislas Zanvo</w:t>
      </w:r>
      <w:r w:rsidRPr="004A6E2A">
        <w:rPr>
          <w:color w:val="000000" w:themeColor="text1"/>
          <w:vertAlign w:val="superscript"/>
          <w:lang w:val="en-US"/>
        </w:rPr>
        <w:t>a</w:t>
      </w:r>
      <w:r w:rsidRPr="004A6E2A">
        <w:rPr>
          <w:lang w:val="en-US"/>
        </w:rPr>
        <w:t xml:space="preserve">, </w:t>
      </w:r>
      <w:r w:rsidRPr="004A6E2A">
        <w:rPr>
          <w:color w:val="000000" w:themeColor="text1"/>
          <w:lang w:val="en-US"/>
        </w:rPr>
        <w:t>Fortuné Azihou</w:t>
      </w:r>
      <w:r w:rsidRPr="004A6E2A">
        <w:rPr>
          <w:color w:val="000000" w:themeColor="text1"/>
          <w:vertAlign w:val="superscript"/>
          <w:lang w:val="en-US"/>
        </w:rPr>
        <w:t>a</w:t>
      </w:r>
      <w:r w:rsidRPr="004A6E2A">
        <w:rPr>
          <w:color w:val="000000" w:themeColor="text1"/>
          <w:lang w:val="en-US"/>
        </w:rPr>
        <w:t xml:space="preserve">, </w:t>
      </w:r>
      <w:r w:rsidRPr="004A6E2A">
        <w:rPr>
          <w:lang w:val="en-US"/>
        </w:rPr>
        <w:t>Gilles Nago</w:t>
      </w:r>
      <w:r w:rsidRPr="004A6E2A">
        <w:rPr>
          <w:color w:val="000000" w:themeColor="text1"/>
          <w:vertAlign w:val="superscript"/>
          <w:lang w:val="en-US"/>
        </w:rPr>
        <w:t>b</w:t>
      </w:r>
      <w:r w:rsidRPr="004A6E2A">
        <w:rPr>
          <w:lang w:val="en-US"/>
        </w:rPr>
        <w:t>, Joël Djagoun</w:t>
      </w:r>
      <w:r w:rsidRPr="004A6E2A">
        <w:rPr>
          <w:color w:val="000000" w:themeColor="text1"/>
          <w:vertAlign w:val="superscript"/>
          <w:lang w:val="en-US"/>
        </w:rPr>
        <w:t>a</w:t>
      </w:r>
      <w:r w:rsidRPr="004A6E2A">
        <w:rPr>
          <w:lang w:val="en-US"/>
        </w:rPr>
        <w:t xml:space="preserve">,  </w:t>
      </w:r>
      <w:r w:rsidRPr="004A6E2A">
        <w:rPr>
          <w:color w:val="000000" w:themeColor="text1"/>
          <w:lang w:val="en-US"/>
        </w:rPr>
        <w:t>Fifanou Vodouhê</w:t>
      </w:r>
      <w:r w:rsidRPr="004A6E2A">
        <w:rPr>
          <w:color w:val="000000" w:themeColor="text1"/>
          <w:vertAlign w:val="superscript"/>
          <w:lang w:val="en-US"/>
        </w:rPr>
        <w:t>c</w:t>
      </w:r>
      <w:r w:rsidRPr="004A6E2A">
        <w:rPr>
          <w:color w:val="000000" w:themeColor="text1"/>
          <w:lang w:val="en-US"/>
        </w:rPr>
        <w:t>, Bruno Djossa</w:t>
      </w:r>
      <w:r w:rsidRPr="004A6E2A">
        <w:rPr>
          <w:color w:val="000000" w:themeColor="text1"/>
          <w:vertAlign w:val="superscript"/>
          <w:lang w:val="en-US"/>
        </w:rPr>
        <w:t>a,d</w:t>
      </w:r>
      <w:r w:rsidRPr="004A6E2A">
        <w:rPr>
          <w:color w:val="000000" w:themeColor="text1"/>
          <w:lang w:val="en-US"/>
        </w:rPr>
        <w:t>, Achile Assogbadjo</w:t>
      </w:r>
      <w:r w:rsidRPr="004A6E2A">
        <w:rPr>
          <w:color w:val="000000" w:themeColor="text1"/>
          <w:vertAlign w:val="superscript"/>
          <w:lang w:val="en-US"/>
        </w:rPr>
        <w:t>a</w:t>
      </w:r>
      <w:r w:rsidRPr="004A6E2A">
        <w:rPr>
          <w:color w:val="000000" w:themeColor="text1"/>
          <w:lang w:val="en-US"/>
        </w:rPr>
        <w:t xml:space="preserve">, </w:t>
      </w:r>
      <w:r>
        <w:rPr>
          <w:color w:val="000000" w:themeColor="text1"/>
          <w:lang w:val="en-US"/>
        </w:rPr>
        <w:t>Fabien Leprieur</w:t>
      </w:r>
      <w:r w:rsidRPr="00D77D1D">
        <w:rPr>
          <w:color w:val="000000" w:themeColor="text1"/>
          <w:vertAlign w:val="superscript"/>
          <w:lang w:val="en-US"/>
        </w:rPr>
        <w:t>e</w:t>
      </w:r>
      <w:r>
        <w:rPr>
          <w:color w:val="000000" w:themeColor="text1"/>
          <w:lang w:val="en-US"/>
        </w:rPr>
        <w:t xml:space="preserve">, </w:t>
      </w:r>
      <w:r w:rsidRPr="004A6E2A">
        <w:rPr>
          <w:color w:val="000000" w:themeColor="text1"/>
          <w:lang w:val="en-US"/>
        </w:rPr>
        <w:t>Brice  Sinsin</w:t>
      </w:r>
      <w:r w:rsidRPr="004A6E2A">
        <w:rPr>
          <w:color w:val="000000" w:themeColor="text1"/>
          <w:vertAlign w:val="superscript"/>
          <w:lang w:val="en-US"/>
        </w:rPr>
        <w:t>a</w:t>
      </w:r>
      <w:r w:rsidRPr="004A6E2A">
        <w:rPr>
          <w:lang w:val="en-US"/>
        </w:rPr>
        <w:t>, Philippe Gaubert</w:t>
      </w:r>
      <w:r w:rsidRPr="004A6E2A">
        <w:rPr>
          <w:color w:val="000000" w:themeColor="text1"/>
          <w:vertAlign w:val="superscript"/>
          <w:lang w:val="en-US"/>
        </w:rPr>
        <w:t>f</w:t>
      </w:r>
      <w:r>
        <w:rPr>
          <w:color w:val="000000" w:themeColor="text1"/>
          <w:vertAlign w:val="superscript"/>
          <w:lang w:val="en-US"/>
        </w:rPr>
        <w:t>,g</w:t>
      </w:r>
      <w:r w:rsidRPr="004A6E2A">
        <w:rPr>
          <w:b/>
          <w:color w:val="000000" w:themeColor="text1"/>
          <w:vertAlign w:val="superscript"/>
          <w:lang w:val="en-US"/>
        </w:rPr>
        <w:t>*</w:t>
      </w:r>
    </w:p>
    <w:p w14:paraId="416BC862" w14:textId="77777777" w:rsidR="00013DE8" w:rsidRPr="004A6E2A" w:rsidRDefault="00013DE8" w:rsidP="00013DE8">
      <w:pPr>
        <w:tabs>
          <w:tab w:val="left" w:pos="1276"/>
        </w:tabs>
        <w:spacing w:after="0" w:line="480" w:lineRule="auto"/>
        <w:rPr>
          <w:rFonts w:cstheme="minorHAnsi"/>
          <w:lang w:val="en-US"/>
        </w:rPr>
      </w:pPr>
    </w:p>
    <w:p w14:paraId="5EF323A7" w14:textId="77777777" w:rsidR="00013DE8" w:rsidRPr="004A6E2A"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val="en-US" w:eastAsia="en-US"/>
        </w:rPr>
      </w:pPr>
      <w:r w:rsidRPr="004A6E2A">
        <w:rPr>
          <w:rFonts w:asciiTheme="minorHAnsi" w:eastAsiaTheme="minorHAnsi" w:hAnsiTheme="minorHAnsi" w:cstheme="minorHAnsi"/>
          <w:color w:val="000000" w:themeColor="text1"/>
          <w:sz w:val="22"/>
          <w:szCs w:val="22"/>
          <w:vertAlign w:val="superscript"/>
          <w:lang w:val="en-US" w:eastAsia="en-US"/>
        </w:rPr>
        <w:t>a</w:t>
      </w:r>
      <w:r w:rsidRPr="004A6E2A">
        <w:rPr>
          <w:rFonts w:asciiTheme="minorHAnsi" w:eastAsiaTheme="minorHAnsi" w:hAnsiTheme="minorHAnsi" w:cstheme="minorHAnsi"/>
          <w:color w:val="000000" w:themeColor="text1"/>
          <w:sz w:val="22"/>
          <w:szCs w:val="22"/>
          <w:lang w:val="en-US" w:eastAsia="en-US"/>
        </w:rPr>
        <w:t xml:space="preserve"> Laboratory of Applied Ecology, University of Abomey-Calavi, Faculty of Agronomic Sciences, University of Abomey-Calavi, 01 BP 526, Cotonou, Benin</w:t>
      </w:r>
    </w:p>
    <w:p w14:paraId="30ABA585" w14:textId="77777777" w:rsidR="00013DE8" w:rsidRPr="004A6E2A"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r w:rsidRPr="004A6E2A">
        <w:rPr>
          <w:rFonts w:asciiTheme="minorHAnsi" w:eastAsiaTheme="minorHAnsi" w:hAnsiTheme="minorHAnsi" w:cstheme="minorHAnsi"/>
          <w:color w:val="000000" w:themeColor="text1"/>
          <w:sz w:val="22"/>
          <w:szCs w:val="22"/>
          <w:vertAlign w:val="superscript"/>
          <w:lang w:eastAsia="en-US"/>
        </w:rPr>
        <w:t>b</w:t>
      </w:r>
      <w:r w:rsidRPr="004A6E2A">
        <w:rPr>
          <w:rFonts w:asciiTheme="minorHAnsi" w:eastAsiaTheme="minorHAnsi" w:hAnsiTheme="minorHAnsi" w:cstheme="minorHAnsi"/>
          <w:color w:val="000000" w:themeColor="text1"/>
          <w:sz w:val="22"/>
          <w:szCs w:val="22"/>
          <w:lang w:eastAsia="en-US"/>
        </w:rPr>
        <w:t xml:space="preserve"> Laboratoire d’Ecologie, de Botanique et de Biologie végétale, Faculté d’Agronomie, Université de Parakou, BP 123 Parakou, République du Bénin</w:t>
      </w:r>
    </w:p>
    <w:p w14:paraId="43F9AFB7" w14:textId="77777777" w:rsidR="00013DE8" w:rsidRPr="004A6E2A"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r w:rsidRPr="004A6E2A">
        <w:rPr>
          <w:rFonts w:asciiTheme="minorHAnsi" w:eastAsiaTheme="minorHAnsi" w:hAnsiTheme="minorHAnsi" w:cstheme="minorHAnsi"/>
          <w:color w:val="000000" w:themeColor="text1"/>
          <w:sz w:val="22"/>
          <w:szCs w:val="22"/>
          <w:vertAlign w:val="superscript"/>
          <w:lang w:eastAsia="en-US"/>
        </w:rPr>
        <w:t>c</w:t>
      </w:r>
      <w:r w:rsidRPr="004A6E2A">
        <w:rPr>
          <w:rFonts w:asciiTheme="minorHAnsi" w:eastAsiaTheme="minorHAnsi" w:hAnsiTheme="minorHAnsi" w:cstheme="minorHAnsi"/>
          <w:color w:val="000000" w:themeColor="text1"/>
          <w:sz w:val="22"/>
          <w:szCs w:val="22"/>
          <w:lang w:eastAsia="en-US"/>
        </w:rPr>
        <w:t xml:space="preserve"> Laboratoire d’Analyse et de Recherche sur les Dynamiques Économiques et Sociales (LARDES), Faculté d’Agronomie, Université de Parakou, BP 123 Parakou, République du Bénin</w:t>
      </w:r>
    </w:p>
    <w:p w14:paraId="5CD6D57F" w14:textId="77777777" w:rsidR="00013DE8"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r w:rsidRPr="004A6E2A">
        <w:rPr>
          <w:rFonts w:asciiTheme="minorHAnsi" w:eastAsiaTheme="minorHAnsi" w:hAnsiTheme="minorHAnsi" w:cstheme="minorHAnsi"/>
          <w:color w:val="000000" w:themeColor="text1"/>
          <w:sz w:val="22"/>
          <w:szCs w:val="22"/>
          <w:vertAlign w:val="superscript"/>
          <w:lang w:eastAsia="en-US"/>
        </w:rPr>
        <w:t xml:space="preserve">d </w:t>
      </w:r>
      <w:r w:rsidRPr="004A6E2A">
        <w:rPr>
          <w:rFonts w:asciiTheme="minorHAnsi" w:eastAsiaTheme="minorHAnsi" w:hAnsiTheme="minorHAnsi" w:cstheme="minorHAnsi"/>
          <w:color w:val="000000" w:themeColor="text1"/>
          <w:sz w:val="22"/>
          <w:szCs w:val="22"/>
          <w:lang w:eastAsia="en-US"/>
        </w:rPr>
        <w:t>Unité de Recherche en Foresterie et Conservation des Bioressources (U/RFCBio), Université Nationale d'Agriculture de Porto-Novo, Benin</w:t>
      </w:r>
    </w:p>
    <w:p w14:paraId="38C9570F" w14:textId="77777777" w:rsidR="00013DE8" w:rsidRPr="004A6E2A"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r>
        <w:rPr>
          <w:rFonts w:asciiTheme="minorHAnsi" w:eastAsiaTheme="minorHAnsi" w:hAnsiTheme="minorHAnsi" w:cs="Calibri (Corps)"/>
          <w:color w:val="000000" w:themeColor="text1"/>
          <w:sz w:val="22"/>
          <w:szCs w:val="22"/>
          <w:vertAlign w:val="superscript"/>
          <w:lang w:eastAsia="en-US"/>
        </w:rPr>
        <w:t>e</w:t>
      </w:r>
      <w:r w:rsidRPr="00E31C4B">
        <w:rPr>
          <w:rFonts w:asciiTheme="minorHAnsi" w:eastAsiaTheme="minorHAnsi" w:hAnsiTheme="minorHAnsi" w:cs="Calibri (Corps)"/>
          <w:color w:val="000000" w:themeColor="text1"/>
          <w:sz w:val="22"/>
          <w:szCs w:val="22"/>
          <w:vertAlign w:val="superscript"/>
          <w:lang w:eastAsia="en-US"/>
        </w:rPr>
        <w:t xml:space="preserve"> </w:t>
      </w:r>
      <w:r w:rsidRPr="00037DA1">
        <w:rPr>
          <w:rFonts w:asciiTheme="minorHAnsi" w:eastAsiaTheme="minorHAnsi" w:hAnsiTheme="minorHAnsi" w:cstheme="minorHAnsi"/>
          <w:color w:val="000000" w:themeColor="text1"/>
          <w:sz w:val="22"/>
          <w:szCs w:val="22"/>
          <w:lang w:eastAsia="en-US"/>
        </w:rPr>
        <w:t>MARBEC, Univ Montpellier, IRD, CNRS, IFREMER, Montpellier, France</w:t>
      </w:r>
    </w:p>
    <w:p w14:paraId="1F1D9FD6" w14:textId="77777777" w:rsidR="00013DE8"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r>
        <w:rPr>
          <w:rFonts w:asciiTheme="minorHAnsi" w:eastAsiaTheme="minorHAnsi" w:hAnsiTheme="minorHAnsi" w:cstheme="minorHAnsi"/>
          <w:color w:val="000000" w:themeColor="text1"/>
          <w:sz w:val="22"/>
          <w:szCs w:val="22"/>
          <w:vertAlign w:val="superscript"/>
          <w:lang w:eastAsia="en-US"/>
        </w:rPr>
        <w:t>f</w:t>
      </w:r>
      <w:r w:rsidRPr="004A6E2A">
        <w:rPr>
          <w:rFonts w:asciiTheme="minorHAnsi" w:eastAsiaTheme="minorHAnsi" w:hAnsiTheme="minorHAnsi" w:cstheme="minorHAnsi"/>
          <w:color w:val="000000" w:themeColor="text1"/>
          <w:sz w:val="22"/>
          <w:szCs w:val="22"/>
          <w:lang w:eastAsia="en-US"/>
        </w:rPr>
        <w:t xml:space="preserve"> Laboratoire Evolution et Diversité Biologique, UPS/CNRS/IRD, Université Paul Sabatier, 118 Route de Narbonne, Bat. 4R1, 31062 Toulouse, </w:t>
      </w:r>
      <w:r>
        <w:rPr>
          <w:rFonts w:asciiTheme="minorHAnsi" w:eastAsiaTheme="minorHAnsi" w:hAnsiTheme="minorHAnsi" w:cstheme="minorHAnsi"/>
          <w:color w:val="000000" w:themeColor="text1"/>
          <w:sz w:val="22"/>
          <w:szCs w:val="22"/>
          <w:lang w:eastAsia="en-US"/>
        </w:rPr>
        <w:t>France</w:t>
      </w:r>
    </w:p>
    <w:p w14:paraId="4E898FDC" w14:textId="77777777" w:rsidR="00013DE8" w:rsidRPr="004A6E2A"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r>
        <w:rPr>
          <w:rFonts w:asciiTheme="minorHAnsi" w:eastAsiaTheme="minorHAnsi" w:hAnsiTheme="minorHAnsi" w:cstheme="minorHAnsi"/>
          <w:color w:val="000000" w:themeColor="text1"/>
          <w:sz w:val="22"/>
          <w:szCs w:val="22"/>
          <w:vertAlign w:val="superscript"/>
          <w:lang w:eastAsia="en-US"/>
        </w:rPr>
        <w:t>g</w:t>
      </w:r>
      <w:r w:rsidRPr="004A6E2A">
        <w:rPr>
          <w:rFonts w:asciiTheme="minorHAnsi" w:eastAsiaTheme="minorHAnsi" w:hAnsiTheme="minorHAnsi" w:cstheme="minorHAnsi"/>
          <w:color w:val="000000" w:themeColor="text1"/>
          <w:sz w:val="22"/>
          <w:szCs w:val="22"/>
          <w:lang w:eastAsia="en-US"/>
        </w:rPr>
        <w:t xml:space="preserve"> CIIMAR, Terminal de Cruzeiros Do Porto de Leixoes, Avenida General Norton de Matos s/n, 4450-208 Matosinhos, Portugal</w:t>
      </w:r>
    </w:p>
    <w:p w14:paraId="0E60D0D4" w14:textId="77777777" w:rsidR="00013DE8" w:rsidRPr="004A6E2A" w:rsidRDefault="00013DE8" w:rsidP="00013DE8">
      <w:pPr>
        <w:pStyle w:val="NormalWeb"/>
        <w:tabs>
          <w:tab w:val="left" w:pos="1276"/>
        </w:tabs>
        <w:spacing w:before="0" w:beforeAutospacing="0" w:after="0" w:afterAutospacing="0" w:line="480" w:lineRule="auto"/>
        <w:rPr>
          <w:rFonts w:asciiTheme="minorHAnsi" w:eastAsiaTheme="minorHAnsi" w:hAnsiTheme="minorHAnsi" w:cstheme="minorHAnsi"/>
          <w:color w:val="000000" w:themeColor="text1"/>
          <w:sz w:val="22"/>
          <w:szCs w:val="22"/>
          <w:lang w:eastAsia="en-US"/>
        </w:rPr>
      </w:pPr>
    </w:p>
    <w:p w14:paraId="333809B1" w14:textId="77777777" w:rsidR="00013DE8" w:rsidRPr="004A6E2A" w:rsidRDefault="00013DE8" w:rsidP="00013DE8">
      <w:pPr>
        <w:pStyle w:val="NormalWeb"/>
        <w:tabs>
          <w:tab w:val="left" w:pos="1276"/>
        </w:tabs>
        <w:spacing w:before="0" w:beforeAutospacing="0" w:after="0" w:afterAutospacing="0" w:line="480" w:lineRule="auto"/>
        <w:rPr>
          <w:rStyle w:val="Hyperlink"/>
          <w:rFonts w:asciiTheme="minorHAnsi" w:eastAsiaTheme="minorHAnsi" w:hAnsiTheme="minorHAnsi" w:cstheme="minorHAnsi"/>
          <w:color w:val="000000" w:themeColor="text1"/>
          <w:sz w:val="22"/>
          <w:szCs w:val="22"/>
          <w:lang w:val="en-US" w:eastAsia="en-US"/>
        </w:rPr>
      </w:pPr>
      <w:r w:rsidRPr="004A6E2A">
        <w:rPr>
          <w:rFonts w:asciiTheme="minorHAnsi" w:eastAsiaTheme="minorHAnsi" w:hAnsiTheme="minorHAnsi" w:cstheme="minorHAnsi"/>
          <w:b/>
          <w:color w:val="000000" w:themeColor="text1"/>
          <w:sz w:val="22"/>
          <w:szCs w:val="22"/>
          <w:vertAlign w:val="superscript"/>
          <w:lang w:val="en-US" w:eastAsia="en-US"/>
        </w:rPr>
        <w:t>*</w:t>
      </w:r>
      <w:r w:rsidRPr="004A6E2A">
        <w:rPr>
          <w:rFonts w:asciiTheme="minorHAnsi" w:eastAsiaTheme="minorHAnsi" w:hAnsiTheme="minorHAnsi" w:cstheme="minorHAnsi"/>
          <w:b/>
          <w:color w:val="000000" w:themeColor="text1"/>
          <w:sz w:val="22"/>
          <w:szCs w:val="22"/>
          <w:lang w:val="en-US" w:eastAsia="en-US"/>
        </w:rPr>
        <w:t>Corresponding authors:</w:t>
      </w:r>
      <w:r w:rsidRPr="004A6E2A">
        <w:rPr>
          <w:rFonts w:asciiTheme="minorHAnsi" w:eastAsiaTheme="minorHAnsi" w:hAnsiTheme="minorHAnsi" w:cstheme="minorHAnsi"/>
          <w:color w:val="000000" w:themeColor="text1"/>
          <w:sz w:val="22"/>
          <w:szCs w:val="22"/>
          <w:lang w:val="en-US" w:eastAsia="en-US"/>
        </w:rPr>
        <w:t xml:space="preserve"> </w:t>
      </w:r>
      <w:hyperlink r:id="rId4" w:history="1">
        <w:r w:rsidRPr="00D77D1D">
          <w:rPr>
            <w:rStyle w:val="Hyperlink"/>
            <w:rFonts w:asciiTheme="minorHAnsi" w:eastAsiaTheme="minorHAnsi" w:hAnsiTheme="minorHAnsi" w:cstheme="minorHAnsi"/>
            <w:color w:val="000000" w:themeColor="text1"/>
            <w:sz w:val="22"/>
            <w:szCs w:val="22"/>
            <w:lang w:val="en-US" w:eastAsia="en-US"/>
          </w:rPr>
          <w:t>dchabi@gmail.com</w:t>
        </w:r>
      </w:hyperlink>
      <w:r w:rsidRPr="00D77D1D">
        <w:rPr>
          <w:rStyle w:val="Hyperlink"/>
          <w:rFonts w:asciiTheme="minorHAnsi" w:eastAsiaTheme="minorHAnsi" w:hAnsiTheme="minorHAnsi" w:cstheme="minorHAnsi"/>
          <w:color w:val="000000" w:themeColor="text1"/>
          <w:sz w:val="22"/>
          <w:szCs w:val="22"/>
          <w:lang w:val="en-US" w:eastAsia="en-US"/>
        </w:rPr>
        <w:t xml:space="preserve"> and </w:t>
      </w:r>
      <w:hyperlink r:id="rId5" w:history="1">
        <w:r w:rsidRPr="00D77D1D">
          <w:rPr>
            <w:rStyle w:val="Hyperlink"/>
            <w:rFonts w:asciiTheme="minorHAnsi" w:eastAsiaTheme="minorHAnsi" w:hAnsiTheme="minorHAnsi" w:cstheme="minorHAnsi"/>
            <w:sz w:val="22"/>
            <w:szCs w:val="22"/>
            <w:lang w:val="en-US" w:eastAsia="en-US"/>
          </w:rPr>
          <w:t>philippe.gaubert@univ-tlse3.fr</w:t>
        </w:r>
      </w:hyperlink>
    </w:p>
    <w:p w14:paraId="07D89961" w14:textId="77777777" w:rsidR="00013DE8" w:rsidRDefault="00013DE8" w:rsidP="00013DE8">
      <w:pPr>
        <w:spacing w:line="480" w:lineRule="auto"/>
        <w:rPr>
          <w:lang w:val="en-US"/>
        </w:rPr>
      </w:pPr>
      <w:r>
        <w:rPr>
          <w:lang w:val="en-US"/>
        </w:rPr>
        <w:br w:type="page"/>
      </w:r>
    </w:p>
    <w:p w14:paraId="1B80DC0F" w14:textId="77777777" w:rsidR="00013DE8" w:rsidRDefault="00013DE8" w:rsidP="00013DE8">
      <w:pPr>
        <w:spacing w:line="480" w:lineRule="auto"/>
        <w:rPr>
          <w:lang w:val="en-GB"/>
        </w:rPr>
      </w:pPr>
      <w:r>
        <w:rPr>
          <w:lang w:val="en-US"/>
        </w:rPr>
        <w:lastRenderedPageBreak/>
        <w:t xml:space="preserve">Appendix 1. </w:t>
      </w:r>
      <w:r>
        <w:rPr>
          <w:lang w:val="en-GB"/>
        </w:rPr>
        <w:t>PCR a</w:t>
      </w:r>
      <w:r w:rsidRPr="004A6E2A">
        <w:rPr>
          <w:lang w:val="en-GB"/>
        </w:rPr>
        <w:t>mplification and sequencing procedures together with post-processing validation of the nucleotide sequences</w:t>
      </w:r>
      <w:r>
        <w:rPr>
          <w:lang w:val="en-GB"/>
        </w:rPr>
        <w:t xml:space="preserve"> used in the study.</w:t>
      </w:r>
    </w:p>
    <w:p w14:paraId="3986D94E" w14:textId="77777777" w:rsidR="00013DE8" w:rsidRPr="00C80982" w:rsidRDefault="00013DE8" w:rsidP="00013DE8">
      <w:pPr>
        <w:spacing w:line="480" w:lineRule="auto"/>
        <w:rPr>
          <w:lang w:val="en-US"/>
        </w:rPr>
      </w:pPr>
    </w:p>
    <w:p w14:paraId="054B6579" w14:textId="77777777" w:rsidR="00013DE8" w:rsidRPr="00C80982" w:rsidRDefault="00013DE8" w:rsidP="00013DE8">
      <w:pPr>
        <w:spacing w:line="480" w:lineRule="auto"/>
        <w:rPr>
          <w:lang w:val="en-US"/>
        </w:rPr>
      </w:pPr>
      <w:r w:rsidRPr="00C80982">
        <w:rPr>
          <w:lang w:val="en-US"/>
        </w:rPr>
        <w:t xml:space="preserve">PCR mixture was carried out in 20 µl final volume with ~10-50 ng template DNA, 0.1 mg/mL BSA, 0.2 x 4 mM dNTPs, 0.5 x 2 µM primers, 1 X Flexi Go Taq Buffer,  1.5 mM MgCl2 and 0.5 U GoTaq® Flexi DNA polymerase (Promega, Charbonnières-les-Bains, France). Cycling conditions included a first step of denaturation (94 °C, 2 min), followed by 35 cycles of denaturation (92 °C, 30 s), annealing (30 s; 50°C for cyt b and COX1 and 52°C for 12S and 16S) and extension (72 °C, 30 s), and a final extension step (72 °C, 15 min). Amplicons were purified and sequenced in both direction on a 3730xl DNA Analyzer 96-capillary sequencer (Applied Biosystems, Foster City, CA) at Macrogen, Amsterdam, Netherlands (http://dna.macrogen.com/eng) and Genoscreen, Lille, France (https://www.genoscreen.fr/fr/). All the sequences produced in this study were deposited in Genbank under accession numbers </w:t>
      </w:r>
      <w:r w:rsidRPr="00BF4808">
        <w:rPr>
          <w:highlight w:val="yellow"/>
          <w:lang w:val="en-US"/>
        </w:rPr>
        <w:t>XXX-XXX</w:t>
      </w:r>
      <w:r w:rsidRPr="00C80982">
        <w:rPr>
          <w:lang w:val="en-US"/>
        </w:rPr>
        <w:t>.</w:t>
      </w:r>
    </w:p>
    <w:p w14:paraId="38808828" w14:textId="77777777" w:rsidR="00013DE8" w:rsidRPr="00C80982" w:rsidRDefault="00013DE8" w:rsidP="00013DE8">
      <w:pPr>
        <w:spacing w:line="480" w:lineRule="auto"/>
        <w:rPr>
          <w:lang w:val="en-US"/>
        </w:rPr>
      </w:pPr>
      <w:r w:rsidRPr="00C80982">
        <w:rPr>
          <w:lang w:val="en-US"/>
        </w:rPr>
        <w:t xml:space="preserve">Sequences of cyt b and COX1 were edited and aligned manually using BioEdit 7.2.5. (Hall, 1999). We aligned the 12S and 16S fragments using MUSCLE (Edgar, 2004) at https://www.ebi.ac.uk/Tools/msa/muscle/ with default settings. In order to detect the presence of pseudogenes in cyt b and COX1 (coding genes), nucleotide sequence alignments were translated into amino-acids using  MEGA 10.0.5 (Kumar et al., 2018), checking for putative stop codons and indels. We also checked atypical branch lengths and phylogenetic branching in the gene trees (see Material and Methods), a method applicable to genes without reading frames such as the 12S and 16S ribosomal subunits (Triant and DeWoody, 2007). </w:t>
      </w:r>
    </w:p>
    <w:p w14:paraId="35F43F06" w14:textId="77777777" w:rsidR="00013DE8" w:rsidRPr="00C80982" w:rsidRDefault="00013DE8" w:rsidP="00013DE8">
      <w:pPr>
        <w:spacing w:line="480" w:lineRule="auto"/>
        <w:rPr>
          <w:lang w:val="en-US"/>
        </w:rPr>
      </w:pPr>
    </w:p>
    <w:p w14:paraId="76229082" w14:textId="77777777" w:rsidR="00013DE8" w:rsidRPr="00C80982" w:rsidRDefault="00013DE8" w:rsidP="00013DE8">
      <w:pPr>
        <w:spacing w:line="480" w:lineRule="auto"/>
        <w:rPr>
          <w:b/>
          <w:lang w:val="en-US"/>
        </w:rPr>
      </w:pPr>
      <w:r w:rsidRPr="00C80982">
        <w:rPr>
          <w:b/>
          <w:lang w:val="en-US"/>
        </w:rPr>
        <w:t>References</w:t>
      </w:r>
    </w:p>
    <w:p w14:paraId="270EC86F" w14:textId="77777777" w:rsidR="00013DE8" w:rsidRPr="00C80982" w:rsidRDefault="00013DE8" w:rsidP="00013DE8">
      <w:pPr>
        <w:spacing w:line="480" w:lineRule="auto"/>
        <w:rPr>
          <w:lang w:val="en-US"/>
        </w:rPr>
      </w:pPr>
      <w:r w:rsidRPr="00C80982">
        <w:rPr>
          <w:lang w:val="en-US"/>
        </w:rPr>
        <w:lastRenderedPageBreak/>
        <w:t xml:space="preserve">Edgar RC (2004) MUSCLE: multiple sequence alignment with high accuracy and high throughput. Nucleic Acids Research 32: 1792-1797. </w:t>
      </w:r>
    </w:p>
    <w:p w14:paraId="7D2C11E1" w14:textId="77777777" w:rsidR="00013DE8" w:rsidRPr="00C80982" w:rsidRDefault="00013DE8" w:rsidP="00013DE8">
      <w:pPr>
        <w:spacing w:line="480" w:lineRule="auto"/>
        <w:rPr>
          <w:lang w:val="en-US"/>
        </w:rPr>
      </w:pPr>
      <w:r w:rsidRPr="00C80982">
        <w:rPr>
          <w:lang w:val="en-US"/>
        </w:rPr>
        <w:t xml:space="preserve">Hall TA (1999) BioEdit: a user-friendly biological sequence alignment editor and analysis program for Windows 95/98/NT. Nucleic acids symposium series 41: 95-98. </w:t>
      </w:r>
    </w:p>
    <w:p w14:paraId="1EB6D07D" w14:textId="77777777" w:rsidR="00013DE8" w:rsidRPr="00C80982" w:rsidRDefault="00013DE8" w:rsidP="00013DE8">
      <w:pPr>
        <w:spacing w:line="480" w:lineRule="auto"/>
        <w:rPr>
          <w:lang w:val="en-US"/>
        </w:rPr>
      </w:pPr>
      <w:r w:rsidRPr="00C80982">
        <w:rPr>
          <w:lang w:val="en-US"/>
        </w:rPr>
        <w:t>Kumar S, Stecher G, Li M et al (2018) MEGA X: molecular evolutionary genetics analysis across computing platforms. Molecular Biology and Evolution 35: 1547. https://doi.org/10.1093%2Fmolbev%2Fmsy096</w:t>
      </w:r>
    </w:p>
    <w:p w14:paraId="666906AD" w14:textId="77777777" w:rsidR="00013DE8" w:rsidRDefault="00013DE8" w:rsidP="00013DE8">
      <w:pPr>
        <w:spacing w:line="480" w:lineRule="auto"/>
        <w:rPr>
          <w:lang w:val="en-US"/>
        </w:rPr>
      </w:pPr>
      <w:r w:rsidRPr="00C80982">
        <w:rPr>
          <w:lang w:val="en-US"/>
        </w:rPr>
        <w:t xml:space="preserve">Triant DA, DeWoody JA (2007) The occurrence, detection, and avoidance of mitochondrial DNA translocations in mammalian systematics and phylogeography. J Mamm 88: 908-920. </w:t>
      </w:r>
      <w:hyperlink r:id="rId6" w:history="1">
        <w:r w:rsidRPr="00D30460">
          <w:rPr>
            <w:rStyle w:val="Hyperlink"/>
            <w:lang w:val="en-US"/>
          </w:rPr>
          <w:t>https://doi.org/10.1644/06-MAMM-A-204R1.1</w:t>
        </w:r>
      </w:hyperlink>
    </w:p>
    <w:p w14:paraId="66320EAF" w14:textId="77777777" w:rsidR="00013DE8" w:rsidRDefault="00013DE8" w:rsidP="00013DE8">
      <w:pPr>
        <w:spacing w:line="480" w:lineRule="auto"/>
        <w:rPr>
          <w:lang w:val="en-US"/>
        </w:rPr>
      </w:pPr>
      <w:r>
        <w:rPr>
          <w:lang w:val="en-US"/>
        </w:rPr>
        <w:br w:type="page"/>
      </w:r>
    </w:p>
    <w:p w14:paraId="296A48BC" w14:textId="77777777" w:rsidR="00013DE8" w:rsidRDefault="00013DE8" w:rsidP="00013DE8">
      <w:pPr>
        <w:spacing w:line="480" w:lineRule="auto"/>
        <w:rPr>
          <w:lang w:val="en-US"/>
        </w:rPr>
      </w:pPr>
      <w:r w:rsidRPr="004A6E2A">
        <w:rPr>
          <w:lang w:val="en-US"/>
        </w:rPr>
        <w:lastRenderedPageBreak/>
        <w:t>Table S1</w:t>
      </w:r>
      <w:r>
        <w:rPr>
          <w:lang w:val="en-US"/>
        </w:rPr>
        <w:t>. List of the 94 mammalian species identified on traditional medicine markets and bushmeat markets from southern Benin, together with their conservation status, ecological characteristics and functional traits. Taxonomy follows the IUCN Red List of Threatened Species. Domestic species are given in red. [Excel file]</w:t>
      </w:r>
    </w:p>
    <w:p w14:paraId="6D75231E" w14:textId="77777777" w:rsidR="00013DE8" w:rsidRPr="004A6E2A" w:rsidRDefault="00013DE8" w:rsidP="00013DE8">
      <w:pPr>
        <w:spacing w:line="480" w:lineRule="auto"/>
        <w:rPr>
          <w:lang w:val="en-US"/>
        </w:rPr>
      </w:pPr>
    </w:p>
    <w:p w14:paraId="41D13966" w14:textId="77777777" w:rsidR="00013DE8" w:rsidRDefault="00013DE8" w:rsidP="00013DE8">
      <w:pPr>
        <w:spacing w:line="480" w:lineRule="auto"/>
        <w:rPr>
          <w:lang w:val="en-US"/>
        </w:rPr>
      </w:pPr>
      <w:r w:rsidRPr="004A6E2A">
        <w:rPr>
          <w:lang w:val="en-US"/>
        </w:rPr>
        <w:t>Table S2</w:t>
      </w:r>
      <w:r>
        <w:rPr>
          <w:lang w:val="en-US"/>
        </w:rPr>
        <w:t xml:space="preserve">. List of the 194 genetic samples collected as part of this study and identified through a four-gene DNA-typing approach. COX1: Cytochrome oxidase I; Cyt </w:t>
      </w:r>
      <w:r w:rsidRPr="003A2F32">
        <w:rPr>
          <w:i/>
          <w:lang w:val="en-US"/>
        </w:rPr>
        <w:t>b</w:t>
      </w:r>
      <w:r>
        <w:rPr>
          <w:lang w:val="en-US"/>
        </w:rPr>
        <w:t xml:space="preserve">: Cytochrome </w:t>
      </w:r>
      <w:r w:rsidRPr="003A2F32">
        <w:rPr>
          <w:i/>
          <w:lang w:val="en-US"/>
        </w:rPr>
        <w:t>b</w:t>
      </w:r>
      <w:r>
        <w:rPr>
          <w:lang w:val="en-US"/>
        </w:rPr>
        <w:t>. Final taxonomy follows the IUCN Red List of Threatened Species. [Excel file]</w:t>
      </w:r>
    </w:p>
    <w:p w14:paraId="1293CF81" w14:textId="77777777" w:rsidR="00013DE8" w:rsidRDefault="00013DE8" w:rsidP="00013DE8">
      <w:pPr>
        <w:spacing w:line="480" w:lineRule="auto"/>
        <w:rPr>
          <w:lang w:val="en-US"/>
        </w:rPr>
      </w:pPr>
      <w:r>
        <w:rPr>
          <w:lang w:val="en-US"/>
        </w:rPr>
        <w:br w:type="page"/>
      </w:r>
    </w:p>
    <w:p w14:paraId="4B8C4C59" w14:textId="77777777" w:rsidR="00013DE8" w:rsidRDefault="00013DE8" w:rsidP="00013DE8">
      <w:pPr>
        <w:spacing w:line="480" w:lineRule="auto"/>
        <w:rPr>
          <w:lang w:val="en-US"/>
        </w:rPr>
      </w:pPr>
      <w:r w:rsidRPr="004A6E2A">
        <w:rPr>
          <w:lang w:val="en-US"/>
        </w:rPr>
        <w:lastRenderedPageBreak/>
        <w:t xml:space="preserve">Figure </w:t>
      </w:r>
      <w:r>
        <w:rPr>
          <w:lang w:val="en-US"/>
        </w:rPr>
        <w:t xml:space="preserve">1 SI. Distribution of the mammalian species present in Traditional Medicine Markets (TMM) and Bushmeat Markets (BM) from southern Benin, according to taxonomic orders. </w:t>
      </w:r>
    </w:p>
    <w:p w14:paraId="6059CCEB" w14:textId="77777777" w:rsidR="00013DE8" w:rsidRDefault="00013DE8" w:rsidP="00013DE8">
      <w:pPr>
        <w:spacing w:line="480" w:lineRule="auto"/>
        <w:rPr>
          <w:lang w:val="en-US"/>
        </w:rPr>
      </w:pPr>
      <w:r w:rsidRPr="00A21DCF">
        <w:rPr>
          <w:noProof/>
          <w:lang w:eastAsia="fr-FR"/>
        </w:rPr>
        <w:drawing>
          <wp:inline distT="0" distB="0" distL="0" distR="0" wp14:anchorId="1EE6B95D" wp14:editId="1461EAEC">
            <wp:extent cx="5760720" cy="2832100"/>
            <wp:effectExtent l="0" t="0" r="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2832100"/>
                    </a:xfrm>
                    <a:prstGeom prst="rect">
                      <a:avLst/>
                    </a:prstGeom>
                  </pic:spPr>
                </pic:pic>
              </a:graphicData>
            </a:graphic>
          </wp:inline>
        </w:drawing>
      </w:r>
    </w:p>
    <w:p w14:paraId="7017445C" w14:textId="77777777" w:rsidR="00013DE8" w:rsidRDefault="00013DE8" w:rsidP="00013DE8">
      <w:pPr>
        <w:spacing w:line="480" w:lineRule="auto"/>
        <w:rPr>
          <w:lang w:val="en-US"/>
        </w:rPr>
      </w:pPr>
      <w:r>
        <w:rPr>
          <w:lang w:val="en-US"/>
        </w:rPr>
        <w:br w:type="page"/>
      </w:r>
    </w:p>
    <w:p w14:paraId="47A67A54" w14:textId="77777777" w:rsidR="00013DE8" w:rsidRDefault="00013DE8" w:rsidP="00013DE8">
      <w:pPr>
        <w:spacing w:line="480" w:lineRule="auto"/>
        <w:rPr>
          <w:lang w:val="en-US"/>
        </w:rPr>
      </w:pPr>
      <w:r w:rsidRPr="004A6E2A">
        <w:rPr>
          <w:lang w:val="en-US"/>
        </w:rPr>
        <w:lastRenderedPageBreak/>
        <w:t xml:space="preserve">Figure </w:t>
      </w:r>
      <w:r>
        <w:rPr>
          <w:lang w:val="en-US"/>
        </w:rPr>
        <w:t>2 SI. Distribution of the mammalian species present in Traditional Medicine Markets (TMM) and Bushmeat Markets (BM) from southern Benin, according to bioclimatic zones. Top: Radar representation. Bottom: Histogram representation.</w:t>
      </w:r>
    </w:p>
    <w:p w14:paraId="58AFBA90" w14:textId="77777777" w:rsidR="00013DE8" w:rsidRDefault="00013DE8" w:rsidP="00013DE8">
      <w:pPr>
        <w:spacing w:line="480" w:lineRule="auto"/>
        <w:rPr>
          <w:lang w:val="en-US"/>
        </w:rPr>
      </w:pPr>
      <w:r w:rsidRPr="00A21DCF">
        <w:rPr>
          <w:noProof/>
          <w:lang w:eastAsia="fr-FR"/>
        </w:rPr>
        <w:drawing>
          <wp:inline distT="0" distB="0" distL="0" distR="0" wp14:anchorId="0B7E13D0" wp14:editId="7ECACF40">
            <wp:extent cx="5760720" cy="572325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5723255"/>
                    </a:xfrm>
                    <a:prstGeom prst="rect">
                      <a:avLst/>
                    </a:prstGeom>
                  </pic:spPr>
                </pic:pic>
              </a:graphicData>
            </a:graphic>
          </wp:inline>
        </w:drawing>
      </w:r>
    </w:p>
    <w:p w14:paraId="6894FC2E" w14:textId="77777777" w:rsidR="00013DE8" w:rsidRDefault="00013DE8" w:rsidP="00013DE8">
      <w:pPr>
        <w:spacing w:line="480" w:lineRule="auto"/>
        <w:rPr>
          <w:lang w:val="en-US"/>
        </w:rPr>
      </w:pPr>
      <w:r>
        <w:rPr>
          <w:lang w:val="en-US"/>
        </w:rPr>
        <w:br w:type="page"/>
      </w:r>
    </w:p>
    <w:p w14:paraId="369B50B2" w14:textId="77777777" w:rsidR="00013DE8" w:rsidRDefault="00013DE8" w:rsidP="00013DE8">
      <w:pPr>
        <w:spacing w:line="480" w:lineRule="auto"/>
        <w:rPr>
          <w:lang w:val="en-US"/>
        </w:rPr>
      </w:pPr>
      <w:r w:rsidRPr="006773F6">
        <w:rPr>
          <w:lang w:val="en-US"/>
        </w:rPr>
        <w:lastRenderedPageBreak/>
        <w:t xml:space="preserve">Figure </w:t>
      </w:r>
      <w:r>
        <w:rPr>
          <w:lang w:val="en-US"/>
        </w:rPr>
        <w:t>3 SI. Distribution of the mammalian species present in Traditional Medicine Markets (TMM) and Bushmeat Markets (BM) from southern Benin, according to their presence status in Benin based on IUCN.</w:t>
      </w:r>
    </w:p>
    <w:p w14:paraId="7F738A49" w14:textId="77777777" w:rsidR="00013DE8" w:rsidRDefault="00013DE8" w:rsidP="00013DE8">
      <w:pPr>
        <w:spacing w:line="480" w:lineRule="auto"/>
        <w:rPr>
          <w:lang w:val="en-US"/>
        </w:rPr>
      </w:pPr>
      <w:r w:rsidRPr="00A21DCF">
        <w:rPr>
          <w:noProof/>
          <w:lang w:eastAsia="fr-FR"/>
        </w:rPr>
        <w:drawing>
          <wp:inline distT="0" distB="0" distL="0" distR="0" wp14:anchorId="457DCF66" wp14:editId="068A4D5B">
            <wp:extent cx="5760720" cy="2948305"/>
            <wp:effectExtent l="0" t="0" r="0" b="444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2948305"/>
                    </a:xfrm>
                    <a:prstGeom prst="rect">
                      <a:avLst/>
                    </a:prstGeom>
                  </pic:spPr>
                </pic:pic>
              </a:graphicData>
            </a:graphic>
          </wp:inline>
        </w:drawing>
      </w:r>
    </w:p>
    <w:p w14:paraId="0E8D199E" w14:textId="77777777" w:rsidR="00013DE8" w:rsidRDefault="00013DE8" w:rsidP="00013DE8">
      <w:pPr>
        <w:spacing w:line="480" w:lineRule="auto"/>
        <w:rPr>
          <w:lang w:val="en-US"/>
        </w:rPr>
      </w:pPr>
      <w:r>
        <w:rPr>
          <w:lang w:val="en-US"/>
        </w:rPr>
        <w:br w:type="page"/>
      </w:r>
    </w:p>
    <w:p w14:paraId="561C890E" w14:textId="77777777" w:rsidR="00013DE8" w:rsidRDefault="00013DE8" w:rsidP="00013DE8">
      <w:pPr>
        <w:spacing w:line="480" w:lineRule="auto"/>
        <w:rPr>
          <w:lang w:val="en-US"/>
        </w:rPr>
      </w:pPr>
      <w:r w:rsidRPr="00AF2FD2">
        <w:rPr>
          <w:lang w:val="en-US"/>
        </w:rPr>
        <w:lastRenderedPageBreak/>
        <w:t xml:space="preserve">Figure </w:t>
      </w:r>
      <w:r>
        <w:rPr>
          <w:lang w:val="en-US"/>
        </w:rPr>
        <w:t>4 SI</w:t>
      </w:r>
      <w:r w:rsidRPr="003A2F32">
        <w:rPr>
          <w:lang w:val="en-US"/>
        </w:rPr>
        <w:t xml:space="preserve">. </w:t>
      </w:r>
      <w:r>
        <w:rPr>
          <w:lang w:val="en-US"/>
        </w:rPr>
        <w:t>Distribution of the mammalian species present in Traditional Medicine Markets (TMM) and Bushmeat Markets (BM) from southern Benin, according to habitat. Species assigned to multiple habitat categories were demultiplexed (i.e., counted more than once).</w:t>
      </w:r>
    </w:p>
    <w:p w14:paraId="1FC2C2F1" w14:textId="77777777" w:rsidR="00013DE8" w:rsidRDefault="00013DE8" w:rsidP="00013DE8">
      <w:pPr>
        <w:spacing w:line="480" w:lineRule="auto"/>
        <w:rPr>
          <w:lang w:val="en-US"/>
        </w:rPr>
      </w:pPr>
      <w:r w:rsidRPr="009665C8">
        <w:rPr>
          <w:noProof/>
          <w:lang w:eastAsia="fr-FR"/>
        </w:rPr>
        <w:drawing>
          <wp:inline distT="0" distB="0" distL="0" distR="0" wp14:anchorId="02C6529C" wp14:editId="0D5BE724">
            <wp:extent cx="5760720" cy="3404235"/>
            <wp:effectExtent l="0" t="0" r="0" b="571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3404235"/>
                    </a:xfrm>
                    <a:prstGeom prst="rect">
                      <a:avLst/>
                    </a:prstGeom>
                  </pic:spPr>
                </pic:pic>
              </a:graphicData>
            </a:graphic>
          </wp:inline>
        </w:drawing>
      </w:r>
    </w:p>
    <w:p w14:paraId="0DBD5DC3" w14:textId="77777777" w:rsidR="00013DE8" w:rsidRDefault="00013DE8" w:rsidP="00013DE8">
      <w:pPr>
        <w:spacing w:line="480" w:lineRule="auto"/>
        <w:rPr>
          <w:lang w:val="en-US"/>
        </w:rPr>
      </w:pPr>
      <w:r>
        <w:rPr>
          <w:lang w:val="en-US"/>
        </w:rPr>
        <w:br w:type="page"/>
      </w:r>
    </w:p>
    <w:p w14:paraId="34C2BCE2" w14:textId="77777777" w:rsidR="00013DE8" w:rsidRDefault="00013DE8" w:rsidP="00013DE8">
      <w:pPr>
        <w:spacing w:line="480" w:lineRule="auto"/>
        <w:rPr>
          <w:lang w:val="en-US"/>
        </w:rPr>
      </w:pPr>
      <w:r w:rsidRPr="004A6E2A">
        <w:rPr>
          <w:lang w:val="en-US"/>
        </w:rPr>
        <w:lastRenderedPageBreak/>
        <w:t xml:space="preserve">Figure </w:t>
      </w:r>
      <w:r>
        <w:rPr>
          <w:lang w:val="en-US"/>
        </w:rPr>
        <w:t>5 SI. Distribution of the mammalian species present in Traditional Medicine Markets (TMM) and Bushmeat Markets (BM) from southern Benin, according to diet. Species assigned to multiple diet categories were demultiplexed (i.e., counted more than once).</w:t>
      </w:r>
    </w:p>
    <w:p w14:paraId="2DD5090A" w14:textId="77777777" w:rsidR="00013DE8" w:rsidRDefault="00013DE8" w:rsidP="00013DE8">
      <w:pPr>
        <w:spacing w:line="480" w:lineRule="auto"/>
        <w:rPr>
          <w:lang w:val="en-US"/>
        </w:rPr>
      </w:pPr>
      <w:r w:rsidRPr="009665C8">
        <w:rPr>
          <w:noProof/>
          <w:lang w:eastAsia="fr-FR"/>
        </w:rPr>
        <w:drawing>
          <wp:inline distT="0" distB="0" distL="0" distR="0" wp14:anchorId="19BF19F6" wp14:editId="5353C097">
            <wp:extent cx="5760720" cy="7134225"/>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7134225"/>
                    </a:xfrm>
                    <a:prstGeom prst="rect">
                      <a:avLst/>
                    </a:prstGeom>
                  </pic:spPr>
                </pic:pic>
              </a:graphicData>
            </a:graphic>
          </wp:inline>
        </w:drawing>
      </w:r>
    </w:p>
    <w:p w14:paraId="60C87D6D" w14:textId="77777777" w:rsidR="00013DE8" w:rsidRDefault="00013DE8" w:rsidP="00013DE8">
      <w:pPr>
        <w:spacing w:line="480" w:lineRule="auto"/>
        <w:rPr>
          <w:lang w:val="en-US"/>
        </w:rPr>
      </w:pPr>
      <w:r>
        <w:rPr>
          <w:lang w:val="en-US"/>
        </w:rPr>
        <w:br w:type="page"/>
      </w:r>
    </w:p>
    <w:p w14:paraId="0680B2AA" w14:textId="77777777" w:rsidR="00013DE8" w:rsidRDefault="00013DE8" w:rsidP="00013DE8">
      <w:pPr>
        <w:spacing w:line="480" w:lineRule="auto"/>
        <w:rPr>
          <w:lang w:val="en-US"/>
        </w:rPr>
      </w:pPr>
      <w:r w:rsidRPr="004A6E2A">
        <w:rPr>
          <w:lang w:val="en-US"/>
        </w:rPr>
        <w:lastRenderedPageBreak/>
        <w:t xml:space="preserve">Figure </w:t>
      </w:r>
      <w:r>
        <w:rPr>
          <w:lang w:val="en-US"/>
        </w:rPr>
        <w:t>6 SI. Distribution of the mammalian species present in Traditional Medicine Markets (TMM) and Bushmeat Markets (BM) from southern Benin, according to ecological function. Species assigned to multiple functional categories were demultiplexed (i.e., counted more than once).</w:t>
      </w:r>
    </w:p>
    <w:p w14:paraId="1252E519" w14:textId="77777777" w:rsidR="00013DE8" w:rsidRDefault="00013DE8" w:rsidP="00013DE8">
      <w:pPr>
        <w:spacing w:line="480" w:lineRule="auto"/>
        <w:rPr>
          <w:lang w:val="en-US"/>
        </w:rPr>
      </w:pPr>
      <w:r w:rsidRPr="00C04B4C">
        <w:rPr>
          <w:noProof/>
          <w:lang w:eastAsia="fr-FR"/>
        </w:rPr>
        <w:drawing>
          <wp:inline distT="0" distB="0" distL="0" distR="0" wp14:anchorId="4F1052F8" wp14:editId="404BE66F">
            <wp:extent cx="5760720" cy="3459480"/>
            <wp:effectExtent l="0" t="0" r="0" b="762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3459480"/>
                    </a:xfrm>
                    <a:prstGeom prst="rect">
                      <a:avLst/>
                    </a:prstGeom>
                  </pic:spPr>
                </pic:pic>
              </a:graphicData>
            </a:graphic>
          </wp:inline>
        </w:drawing>
      </w:r>
    </w:p>
    <w:p w14:paraId="112BB28C" w14:textId="77777777" w:rsidR="00013DE8" w:rsidRDefault="00013DE8" w:rsidP="00013DE8">
      <w:pPr>
        <w:spacing w:line="480" w:lineRule="auto"/>
        <w:rPr>
          <w:lang w:val="en-US"/>
        </w:rPr>
      </w:pPr>
      <w:r>
        <w:rPr>
          <w:lang w:val="en-US"/>
        </w:rPr>
        <w:br w:type="page"/>
      </w:r>
    </w:p>
    <w:p w14:paraId="546D5CC1" w14:textId="77777777" w:rsidR="00013DE8" w:rsidRDefault="00013DE8" w:rsidP="00013DE8">
      <w:pPr>
        <w:spacing w:line="480" w:lineRule="auto"/>
        <w:rPr>
          <w:lang w:val="en-US"/>
        </w:rPr>
      </w:pPr>
      <w:r w:rsidRPr="004A6E2A">
        <w:rPr>
          <w:lang w:val="en-US"/>
        </w:rPr>
        <w:lastRenderedPageBreak/>
        <w:t xml:space="preserve">Figure </w:t>
      </w:r>
      <w:r>
        <w:rPr>
          <w:lang w:val="en-US"/>
        </w:rPr>
        <w:t xml:space="preserve">7 SI. Scattered boxplots of mean weight (kg) among the mammalian species present in Traditional Medicine Markets (TMM) and Bushmeat Markets (BM) from southern Benin. </w:t>
      </w:r>
    </w:p>
    <w:p w14:paraId="028C454A" w14:textId="77777777" w:rsidR="00013DE8" w:rsidRDefault="00013DE8" w:rsidP="00013DE8">
      <w:pPr>
        <w:spacing w:line="480" w:lineRule="auto"/>
        <w:rPr>
          <w:lang w:val="en-US"/>
        </w:rPr>
      </w:pPr>
      <w:r w:rsidRPr="00FF64EC">
        <w:rPr>
          <w:noProof/>
          <w:lang w:eastAsia="fr-FR"/>
        </w:rPr>
        <w:drawing>
          <wp:inline distT="0" distB="0" distL="0" distR="0" wp14:anchorId="3AD41135" wp14:editId="74A4F2C5">
            <wp:extent cx="4632325" cy="402717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2325" cy="4027170"/>
                    </a:xfrm>
                    <a:prstGeom prst="rect">
                      <a:avLst/>
                    </a:prstGeom>
                    <a:noFill/>
                    <a:ln>
                      <a:noFill/>
                    </a:ln>
                  </pic:spPr>
                </pic:pic>
              </a:graphicData>
            </a:graphic>
          </wp:inline>
        </w:drawing>
      </w:r>
    </w:p>
    <w:p w14:paraId="5A4ACDF2" w14:textId="77777777" w:rsidR="00013DE8" w:rsidRDefault="00013DE8" w:rsidP="00013DE8">
      <w:pPr>
        <w:spacing w:line="480" w:lineRule="auto"/>
        <w:rPr>
          <w:lang w:val="en-US"/>
        </w:rPr>
      </w:pPr>
      <w:r>
        <w:rPr>
          <w:lang w:val="en-US"/>
        </w:rPr>
        <w:t>* Three species &gt; 500 kg (</w:t>
      </w:r>
      <w:r w:rsidRPr="003A2F32">
        <w:rPr>
          <w:i/>
          <w:lang w:val="en-US"/>
        </w:rPr>
        <w:t>Loxodonta africana, Hippopotamus amphibious, Syncerus caffer</w:t>
      </w:r>
      <w:r>
        <w:rPr>
          <w:lang w:val="en-US"/>
        </w:rPr>
        <w:t>)</w:t>
      </w:r>
      <w:r w:rsidRPr="00E60831">
        <w:rPr>
          <w:lang w:val="en-US"/>
        </w:rPr>
        <w:t xml:space="preserve"> </w:t>
      </w:r>
      <w:r>
        <w:rPr>
          <w:lang w:val="en-US"/>
        </w:rPr>
        <w:t>were removed from TMM for visualization purpose.</w:t>
      </w:r>
    </w:p>
    <w:p w14:paraId="02CBA140" w14:textId="77777777" w:rsidR="00013DE8" w:rsidRDefault="00013DE8" w:rsidP="00013DE8">
      <w:pPr>
        <w:spacing w:line="480" w:lineRule="auto"/>
        <w:rPr>
          <w:lang w:val="en-US"/>
        </w:rPr>
      </w:pPr>
      <w:r>
        <w:rPr>
          <w:lang w:val="en-US"/>
        </w:rPr>
        <w:br w:type="page"/>
      </w:r>
    </w:p>
    <w:p w14:paraId="58F5C0AE" w14:textId="77777777" w:rsidR="00013DE8" w:rsidRDefault="00013DE8" w:rsidP="00013DE8">
      <w:pPr>
        <w:spacing w:line="480" w:lineRule="auto"/>
        <w:rPr>
          <w:lang w:val="en-US"/>
        </w:rPr>
      </w:pPr>
      <w:r w:rsidRPr="004A6E2A">
        <w:rPr>
          <w:lang w:val="en-US"/>
        </w:rPr>
        <w:lastRenderedPageBreak/>
        <w:t xml:space="preserve">Figure </w:t>
      </w:r>
      <w:r>
        <w:rPr>
          <w:lang w:val="en-US"/>
        </w:rPr>
        <w:t>8 SI. Scattered boxplots of generation length (yrs) among the mammalian species present in Traditional Medicine Markets (TMM) and Bushmeat Markets (BM) from southern Benin.</w:t>
      </w:r>
    </w:p>
    <w:p w14:paraId="66EDC866" w14:textId="77777777" w:rsidR="00013DE8" w:rsidRDefault="00013DE8" w:rsidP="00013DE8">
      <w:pPr>
        <w:spacing w:line="480" w:lineRule="auto"/>
        <w:rPr>
          <w:lang w:val="en-US"/>
        </w:rPr>
      </w:pPr>
      <w:r w:rsidRPr="00634993">
        <w:rPr>
          <w:noProof/>
          <w:lang w:eastAsia="fr-FR"/>
        </w:rPr>
        <w:drawing>
          <wp:inline distT="0" distB="0" distL="0" distR="0" wp14:anchorId="77026B92" wp14:editId="32E5B18E">
            <wp:extent cx="4378325" cy="3524250"/>
            <wp:effectExtent l="0" t="0" r="317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78325" cy="3524250"/>
                    </a:xfrm>
                    <a:prstGeom prst="rect">
                      <a:avLst/>
                    </a:prstGeom>
                    <a:noFill/>
                    <a:ln>
                      <a:noFill/>
                    </a:ln>
                  </pic:spPr>
                </pic:pic>
              </a:graphicData>
            </a:graphic>
          </wp:inline>
        </w:drawing>
      </w:r>
    </w:p>
    <w:p w14:paraId="4B2DE531" w14:textId="77777777" w:rsidR="00013DE8" w:rsidRDefault="00013DE8" w:rsidP="00013DE8">
      <w:pPr>
        <w:spacing w:line="480" w:lineRule="auto"/>
        <w:rPr>
          <w:lang w:val="en-US"/>
        </w:rPr>
      </w:pPr>
      <w:r>
        <w:rPr>
          <w:lang w:val="en-US"/>
        </w:rPr>
        <w:br w:type="page"/>
      </w:r>
    </w:p>
    <w:p w14:paraId="3ABE7778" w14:textId="77777777" w:rsidR="00013DE8" w:rsidRDefault="00013DE8" w:rsidP="00013DE8">
      <w:pPr>
        <w:spacing w:line="480" w:lineRule="auto"/>
        <w:rPr>
          <w:lang w:val="en-US"/>
        </w:rPr>
      </w:pPr>
      <w:r w:rsidRPr="004A6E2A">
        <w:rPr>
          <w:lang w:val="en-US"/>
        </w:rPr>
        <w:lastRenderedPageBreak/>
        <w:t xml:space="preserve">Figure </w:t>
      </w:r>
      <w:r>
        <w:rPr>
          <w:lang w:val="en-US"/>
        </w:rPr>
        <w:t>9 SI. Scattered boxplots of litter size per year among the mammalian species present in Traditional Medicine Markets (TMM) and Bushmeat Markets (BM) from southern Benin.</w:t>
      </w:r>
    </w:p>
    <w:p w14:paraId="37FA1B4C" w14:textId="77777777" w:rsidR="00013DE8" w:rsidRDefault="00013DE8" w:rsidP="00013DE8">
      <w:pPr>
        <w:spacing w:line="480" w:lineRule="auto"/>
        <w:rPr>
          <w:lang w:val="en-US"/>
        </w:rPr>
      </w:pPr>
      <w:r w:rsidRPr="004E3597">
        <w:rPr>
          <w:noProof/>
          <w:lang w:eastAsia="fr-FR"/>
        </w:rPr>
        <w:drawing>
          <wp:inline distT="0" distB="0" distL="0" distR="0" wp14:anchorId="30D9759F" wp14:editId="218210DB">
            <wp:extent cx="4626610" cy="4027170"/>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26610" cy="4027170"/>
                    </a:xfrm>
                    <a:prstGeom prst="rect">
                      <a:avLst/>
                    </a:prstGeom>
                    <a:noFill/>
                    <a:ln>
                      <a:noFill/>
                    </a:ln>
                  </pic:spPr>
                </pic:pic>
              </a:graphicData>
            </a:graphic>
          </wp:inline>
        </w:drawing>
      </w:r>
    </w:p>
    <w:p w14:paraId="10F6113F" w14:textId="77777777" w:rsidR="00013DE8" w:rsidRDefault="00013DE8" w:rsidP="00013DE8">
      <w:pPr>
        <w:spacing w:line="480" w:lineRule="auto"/>
        <w:rPr>
          <w:lang w:val="en-US"/>
        </w:rPr>
      </w:pPr>
      <w:r>
        <w:rPr>
          <w:lang w:val="en-US"/>
        </w:rPr>
        <w:br w:type="page"/>
      </w:r>
    </w:p>
    <w:p w14:paraId="4B00612C" w14:textId="77777777" w:rsidR="00013DE8" w:rsidRDefault="00013DE8" w:rsidP="00013DE8">
      <w:pPr>
        <w:spacing w:line="480" w:lineRule="auto"/>
        <w:rPr>
          <w:lang w:val="en-US"/>
        </w:rPr>
      </w:pPr>
      <w:r>
        <w:rPr>
          <w:lang w:val="en-US"/>
        </w:rPr>
        <w:lastRenderedPageBreak/>
        <w:t xml:space="preserve">Figure 10 SI. Boxplot representation of mean weight (in kg) distribution across diet (top) and ecological function (bottom) categories within the mammalian species present in Traditional Medicine Markets (TMM; in green) and Bushmeat Markets (BM; in white) from southern Benin. </w:t>
      </w:r>
    </w:p>
    <w:p w14:paraId="689CB32B" w14:textId="77777777" w:rsidR="00013DE8" w:rsidRDefault="00013DE8" w:rsidP="00013DE8">
      <w:pPr>
        <w:spacing w:line="480" w:lineRule="auto"/>
        <w:rPr>
          <w:lang w:val="en-US"/>
        </w:rPr>
      </w:pPr>
    </w:p>
    <w:p w14:paraId="5E925ED2" w14:textId="77777777" w:rsidR="00013DE8" w:rsidRDefault="00013DE8" w:rsidP="00013DE8">
      <w:pPr>
        <w:spacing w:line="480" w:lineRule="auto"/>
        <w:rPr>
          <w:lang w:val="en-US"/>
        </w:rPr>
      </w:pPr>
      <w:r w:rsidRPr="00D91C3D">
        <w:rPr>
          <w:noProof/>
          <w:lang w:eastAsia="fr-FR"/>
        </w:rPr>
        <w:drawing>
          <wp:inline distT="0" distB="0" distL="0" distR="0" wp14:anchorId="15CD6EF6" wp14:editId="05269F33">
            <wp:extent cx="5760720" cy="7064037"/>
            <wp:effectExtent l="0" t="0" r="0" b="381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7064037"/>
                    </a:xfrm>
                    <a:prstGeom prst="rect">
                      <a:avLst/>
                    </a:prstGeom>
                    <a:noFill/>
                    <a:ln>
                      <a:noFill/>
                    </a:ln>
                  </pic:spPr>
                </pic:pic>
              </a:graphicData>
            </a:graphic>
          </wp:inline>
        </w:drawing>
      </w:r>
    </w:p>
    <w:p w14:paraId="304C9534" w14:textId="77777777" w:rsidR="00013DE8" w:rsidRPr="004A6E2A" w:rsidRDefault="00013DE8" w:rsidP="00013DE8">
      <w:pPr>
        <w:spacing w:line="480" w:lineRule="auto"/>
        <w:rPr>
          <w:lang w:val="en-US"/>
        </w:rPr>
      </w:pPr>
      <w:r>
        <w:rPr>
          <w:lang w:val="en-US"/>
        </w:rPr>
        <w:lastRenderedPageBreak/>
        <w:t>Three species &gt; 500 kg (</w:t>
      </w:r>
      <w:r w:rsidRPr="00FF7546">
        <w:rPr>
          <w:i/>
          <w:lang w:val="en-US"/>
        </w:rPr>
        <w:t>Loxodonta africana, Hippopotamus amphibious, Syncerus caffer</w:t>
      </w:r>
      <w:r>
        <w:rPr>
          <w:lang w:val="en-US"/>
        </w:rPr>
        <w:t>)</w:t>
      </w:r>
      <w:r w:rsidRPr="00E60831">
        <w:rPr>
          <w:lang w:val="en-US"/>
        </w:rPr>
        <w:t xml:space="preserve"> </w:t>
      </w:r>
      <w:r>
        <w:rPr>
          <w:lang w:val="en-US"/>
        </w:rPr>
        <w:t>were removed from TMM for visualization purpose.</w:t>
      </w:r>
    </w:p>
    <w:p w14:paraId="0504A97C" w14:textId="77777777" w:rsidR="00013DE8" w:rsidRPr="004A6E2A" w:rsidRDefault="00013DE8" w:rsidP="00013DE8">
      <w:pPr>
        <w:spacing w:line="480" w:lineRule="auto"/>
        <w:rPr>
          <w:lang w:val="en-US"/>
        </w:rPr>
      </w:pPr>
    </w:p>
    <w:p w14:paraId="22D60AD1" w14:textId="77777777" w:rsidR="00000F57" w:rsidRDefault="00013DE8"/>
    <w:sectPr w:rsidR="00000F57" w:rsidSect="003A2F32">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Corp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DE8"/>
    <w:rsid w:val="00013DE8"/>
    <w:rsid w:val="0007695B"/>
    <w:rsid w:val="005615C6"/>
    <w:rsid w:val="005E078B"/>
    <w:rsid w:val="00781D71"/>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0F160"/>
  <w15:chartTrackingRefBased/>
  <w15:docId w15:val="{6B302184-70D0-4F66-B217-3DF5FF23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DE8"/>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3DE8"/>
    <w:rPr>
      <w:color w:val="0563C1" w:themeColor="hyperlink"/>
      <w:u w:val="single"/>
    </w:rPr>
  </w:style>
  <w:style w:type="paragraph" w:styleId="NormalWeb">
    <w:name w:val="Normal (Web)"/>
    <w:basedOn w:val="Normal"/>
    <w:uiPriority w:val="99"/>
    <w:unhideWhenUsed/>
    <w:rsid w:val="00013DE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neNumber">
    <w:name w:val="line number"/>
    <w:basedOn w:val="DefaultParagraphFont"/>
    <w:uiPriority w:val="99"/>
    <w:semiHidden/>
    <w:unhideWhenUsed/>
    <w:rsid w:val="00013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emf"/><Relationship Id="rId1" Type="http://schemas.openxmlformats.org/officeDocument/2006/relationships/styles" Target="styles.xml"/><Relationship Id="rId6" Type="http://schemas.openxmlformats.org/officeDocument/2006/relationships/hyperlink" Target="https://doi.org/10.1644/06-MAMM-A-204R1.1" TargetMode="External"/><Relationship Id="rId11" Type="http://schemas.openxmlformats.org/officeDocument/2006/relationships/image" Target="media/image5.png"/><Relationship Id="rId5" Type="http://schemas.openxmlformats.org/officeDocument/2006/relationships/hyperlink" Target="mailto:philippe.gaubert@univ-tlse3.fr" TargetMode="External"/><Relationship Id="rId15" Type="http://schemas.openxmlformats.org/officeDocument/2006/relationships/image" Target="media/image9.emf"/><Relationship Id="rId10" Type="http://schemas.openxmlformats.org/officeDocument/2006/relationships/image" Target="media/image4.png"/><Relationship Id="rId4" Type="http://schemas.openxmlformats.org/officeDocument/2006/relationships/hyperlink" Target="mailto:dchabi@gmail.com" TargetMode="External"/><Relationship Id="rId9" Type="http://schemas.openxmlformats.org/officeDocument/2006/relationships/image" Target="media/image3.png"/><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1074</Words>
  <Characters>6122</Characters>
  <Application>Microsoft Office Word</Application>
  <DocSecurity>0</DocSecurity>
  <Lines>51</Lines>
  <Paragraphs>14</Paragraphs>
  <ScaleCrop>false</ScaleCrop>
  <Company>Springer Nature</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2022-11-25T04:20:00Z</dcterms:created>
  <dcterms:modified xsi:type="dcterms:W3CDTF">2022-11-25T04:20:00Z</dcterms:modified>
</cp:coreProperties>
</file>