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Three-Dimensional-Printed Calcium Alginate/Graphene Oxide Porous Adsorbent with Super-High Lead Ion Adsorption Ability in Aqueous Solution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Na Wang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 2, †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, Fuxiang Song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 2, †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, Yuxin Niu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1, 2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Zezhou Hu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1, 2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, Wenjie Chen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 xml:space="preserve"> 1, 2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, Bin Liu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vertAlign w:val="superscript"/>
          <w:lang w:val="en-US" w:eastAsia="zh-CN" w:bidi="ar"/>
        </w:rPr>
        <w:t>1, 2,</w:t>
      </w:r>
      <w:r>
        <w:rPr>
          <w:rStyle w:val="5"/>
          <w:sz w:val="20"/>
          <w:szCs w:val="20"/>
          <w:lang w:val="en-US"/>
        </w:rPr>
        <w:footnoteReference w:id="0" w:customMarkFollows="1"/>
        <w:t>*</w:t>
      </w:r>
      <w:r>
        <w:rPr>
          <w:sz w:val="20"/>
          <w:szCs w:val="20"/>
          <w:lang w:val="en-US"/>
        </w:rPr>
        <w:t xml:space="preserve">, Weibo Xie </w:t>
      </w:r>
      <w:r>
        <w:rPr>
          <w:sz w:val="20"/>
          <w:szCs w:val="20"/>
          <w:vertAlign w:val="superscript"/>
          <w:lang w:val="en-US"/>
        </w:rPr>
        <w:t>1, 3,</w:t>
      </w:r>
      <w:r>
        <w:rPr>
          <w:rStyle w:val="5"/>
          <w:sz w:val="20"/>
          <w:szCs w:val="20"/>
          <w:lang w:val="en-US"/>
        </w:rPr>
        <w:footnoteReference w:id="1" w:customMarkFollows="1"/>
        <w:t>*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 School/Hos</w:t>
      </w:r>
      <w:r>
        <w:rPr>
          <w:rFonts w:hint="eastAsia" w:eastAsia="宋体" w:cs="Times New Roman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cs="Times New Roman"/>
          <w:sz w:val="20"/>
          <w:szCs w:val="20"/>
        </w:rPr>
        <w:t>i</w:t>
      </w:r>
      <w:r>
        <w:rPr>
          <w:rFonts w:hint="eastAsia" w:eastAsia="宋体" w:cs="Times New Roman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sz w:val="20"/>
          <w:szCs w:val="20"/>
        </w:rPr>
        <w:t>al of Stomatology, Lanzhou University, Lanzhou 730000, P. R. China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b Key Laboratory of Dental Maxillofacial Reconstruction and Biological Intelligence Manufacturing, School of Stomatology, Lanzhou University, Lanzhou 730000, P. R. China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c Second Hostipal of Lanzhou University, Lanzhou 730000, P. R. China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</w:p>
    <w:p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Keywords</w:t>
      </w:r>
      <w:r>
        <w:rPr>
          <w:rFonts w:hint="default" w:ascii="Times New Roman" w:hAnsi="Times New Roman" w:cs="Times New Roman"/>
          <w:sz w:val="20"/>
          <w:szCs w:val="20"/>
        </w:rPr>
        <w:t xml:space="preserve">: 3D printing </w:t>
      </w:r>
      <w:r>
        <w:rPr>
          <w:rFonts w:hint="default" w:ascii="Times New Roman" w:hAnsi="Times New Roman" w:cs="Times New Roman"/>
          <w:sz w:val="20"/>
          <w:szCs w:val="20"/>
        </w:rPr>
        <w:t>CA/</w:t>
      </w:r>
      <w:r>
        <w:rPr>
          <w:rFonts w:hint="default" w:ascii="Times New Roman" w:hAnsi="Times New Roman" w:cs="Times New Roman"/>
          <w:sz w:val="20"/>
          <w:szCs w:val="20"/>
        </w:rPr>
        <w:t xml:space="preserve">GO; </w:t>
      </w:r>
      <w:r>
        <w:rPr>
          <w:rFonts w:hint="default" w:ascii="Times New Roman" w:hAnsi="Times New Roman" w:cs="Times New Roman"/>
          <w:sz w:val="20"/>
          <w:szCs w:val="20"/>
        </w:rPr>
        <w:t xml:space="preserve">porous </w:t>
      </w:r>
      <w:r>
        <w:rPr>
          <w:rFonts w:hint="default" w:ascii="Times New Roman" w:hAnsi="Times New Roman" w:cs="Times New Roman"/>
          <w:sz w:val="20"/>
          <w:szCs w:val="20"/>
        </w:rPr>
        <w:t>structure;</w:t>
      </w:r>
      <w:r>
        <w:rPr>
          <w:rFonts w:hint="default" w:ascii="Times New Roman" w:hAnsi="Times New Roman" w:cs="Times New Roman"/>
          <w:sz w:val="20"/>
          <w:szCs w:val="20"/>
        </w:rPr>
        <w:t xml:space="preserve"> Pb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2+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</w:rPr>
        <w:t>oral medical wastewater</w:t>
      </w:r>
    </w:p>
    <w:p>
      <w:pPr>
        <w:spacing w:line="36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93980</wp:posOffset>
            </wp:positionV>
            <wp:extent cx="4652645" cy="1296670"/>
            <wp:effectExtent l="0" t="0" r="8255" b="1143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264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0"/>
          <w:szCs w:val="20"/>
        </w:rPr>
        <w:t>Fig</w:t>
      </w:r>
      <w:r>
        <w:rPr>
          <w:rFonts w:hint="default" w:ascii="Times New Roman" w:hAnsi="Times New Roman" w:cs="Times New Roman"/>
          <w:b/>
          <w:sz w:val="20"/>
          <w:szCs w:val="20"/>
        </w:rPr>
        <w:t>. S</w:t>
      </w:r>
      <w:r>
        <w:rPr>
          <w:rFonts w:hint="default" w:ascii="Times New Roman" w:hAnsi="Times New Roman" w:cs="Times New Roman"/>
          <w:b/>
          <w:sz w:val="20"/>
          <w:szCs w:val="20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t xml:space="preserve"> (a) 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The 3D system setup of printing procedure.</w:t>
      </w:r>
      <w:r>
        <w:rPr>
          <w:rFonts w:hint="default" w:ascii="Times New Roman" w:hAnsi="Times New Roman" w:cs="Times New Roman"/>
          <w:sz w:val="20"/>
          <w:szCs w:val="20"/>
        </w:rPr>
        <w:t xml:space="preserve"> (b) 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The samples of the 3D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CA/GO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, “LZU” is the abbreviation of Lanzhou University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53975</wp:posOffset>
            </wp:positionV>
            <wp:extent cx="5141595" cy="2054860"/>
            <wp:effectExtent l="0" t="0" r="1905" b="254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Fig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. S2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The measurement of volumetric shrinkage of the 3D CA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/GO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 xml:space="preserve"> between primary mold and the final sample. The first row and second row are photos of 3D CA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/GO</w:t>
      </w: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 xml:space="preserve"> for primary mold and final sample size measurements.</w: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</w:pPr>
    </w:p>
    <w:p>
      <w:pPr>
        <w:spacing w:line="360" w:lineRule="auto"/>
        <w:ind w:firstLine="400" w:firstLineChars="2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bidi="ar"/>
        </w:rPr>
        <w:t>V1 and V2 represent the volume of the primary mold and the final sample respectively. The volume shrinkage rate is calculated by the formula ((V1-V2)/V1×100%) to be 10.03%.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154305</wp:posOffset>
            </wp:positionV>
            <wp:extent cx="4512945" cy="2174875"/>
            <wp:effectExtent l="0" t="0" r="8255" b="952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294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ig. S3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The test process to measure the compression performance of 3D CA/GO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(a-f)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the pictures of 3D CA/GO is compressed by 20%, 40%, 60%, and 80%, and the pictures recovered after compression.</w:t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200660</wp:posOffset>
            </wp:positionV>
            <wp:extent cx="4999990" cy="2820670"/>
            <wp:effectExtent l="0" t="0" r="3810" b="1143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F</w:t>
      </w:r>
      <w:r>
        <w:rPr>
          <w:rFonts w:hint="default" w:ascii="Times New Roman" w:hAnsi="Times New Roman" w:cs="Times New Roman"/>
          <w:b/>
          <w:sz w:val="20"/>
          <w:szCs w:val="20"/>
        </w:rPr>
        <w:t>ig. S4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(a-h) SEM and mapping characterization results of 3D CA/GO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(i-l) TEM and mapping characterization results of CA/GO sheets.</w:t>
      </w:r>
    </w:p>
    <w:p>
      <w:pPr>
        <w:rPr>
          <w:rFonts w:hint="default" w:ascii="Times New Roman" w:hAnsi="Times New Roman" w:cs="Times New Roman"/>
          <w:sz w:val="20"/>
          <w:szCs w:val="20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668020</wp:posOffset>
            </wp:positionH>
            <wp:positionV relativeFrom="page">
              <wp:posOffset>919480</wp:posOffset>
            </wp:positionV>
            <wp:extent cx="4110990" cy="3125470"/>
            <wp:effectExtent l="0" t="0" r="3810" b="1143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0"/>
          <w:szCs w:val="20"/>
        </w:rPr>
        <w:t>F</w:t>
      </w:r>
      <w:r>
        <w:rPr>
          <w:rFonts w:hint="default" w:ascii="Times New Roman" w:hAnsi="Times New Roman" w:cs="Times New Roman"/>
          <w:b/>
          <w:sz w:val="20"/>
          <w:szCs w:val="20"/>
        </w:rPr>
        <w:t>ig. S5</w:t>
      </w:r>
      <w:r>
        <w:rPr>
          <w:rFonts w:hint="default" w:ascii="Times New Roman" w:hAnsi="Times New Roman" w:cs="Times New Roman"/>
          <w:sz w:val="20"/>
          <w:szCs w:val="20"/>
        </w:rPr>
        <w:t xml:space="preserve"> The Kinetic model fitting curve: </w:t>
      </w:r>
      <w:r>
        <w:rPr>
          <w:rFonts w:hint="default" w:ascii="Times New Roman" w:hAnsi="Times New Roman" w:cs="Times New Roman"/>
          <w:sz w:val="20"/>
          <w:szCs w:val="20"/>
        </w:rPr>
        <w:t xml:space="preserve">(a) </w:t>
      </w:r>
      <w:r>
        <w:rPr>
          <w:rFonts w:hint="default" w:ascii="Times New Roman" w:hAnsi="Times New Roman" w:cs="Times New Roman"/>
          <w:sz w:val="20"/>
          <w:szCs w:val="20"/>
        </w:rPr>
        <w:t>Pseudo-second-order model</w:t>
      </w:r>
      <w:r>
        <w:rPr>
          <w:rFonts w:hint="default" w:ascii="Times New Roman" w:hAnsi="Times New Roman" w:cs="Times New Roman"/>
          <w:sz w:val="20"/>
          <w:szCs w:val="20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(b) </w:t>
      </w:r>
      <w:r>
        <w:rPr>
          <w:rFonts w:hint="default" w:ascii="Times New Roman" w:hAnsi="Times New Roman" w:cs="Times New Roman"/>
          <w:sz w:val="20"/>
          <w:szCs w:val="20"/>
        </w:rPr>
        <w:t>Pseudo-first-order model</w:t>
      </w:r>
      <w:r>
        <w:rPr>
          <w:rFonts w:hint="default" w:ascii="Times New Roman" w:hAnsi="Times New Roman" w:cs="Times New Roman"/>
          <w:sz w:val="20"/>
          <w:szCs w:val="20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(c)</w:t>
      </w:r>
      <w:r>
        <w:rPr>
          <w:rFonts w:hint="default" w:ascii="Times New Roman" w:hAnsi="Times New Roman" w:cs="Times New Roman"/>
          <w:sz w:val="20"/>
          <w:szCs w:val="20"/>
        </w:rPr>
        <w:t xml:space="preserve"> Intra-particle diffusion model</w:t>
      </w:r>
      <w:r>
        <w:rPr>
          <w:rFonts w:hint="default" w:ascii="Times New Roman" w:hAnsi="Times New Roman" w:cs="Times New Roman"/>
          <w:sz w:val="20"/>
          <w:szCs w:val="20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(d)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Elovich model</w:t>
      </w:r>
      <w:r>
        <w:rPr>
          <w:rFonts w:hint="default" w:ascii="Times New Roman" w:hAnsi="Times New Roman" w:cs="Times New Roman"/>
          <w:sz w:val="20"/>
          <w:szCs w:val="20"/>
        </w:rPr>
        <w:t>, respectively</w:t>
      </w:r>
      <w:r>
        <w:rPr>
          <w:rFonts w:hint="default" w:ascii="Times New Roman" w:hAnsi="Times New Roman" w:cs="Times New Roman"/>
          <w:sz w:val="20"/>
          <w:szCs w:val="20"/>
        </w:rPr>
        <w:t>.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186055</wp:posOffset>
            </wp:positionV>
            <wp:extent cx="4147185" cy="1539240"/>
            <wp:effectExtent l="0" t="0" r="5715" b="101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718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539750</wp:posOffset>
            </wp:positionH>
            <wp:positionV relativeFrom="page">
              <wp:posOffset>6836410</wp:posOffset>
            </wp:positionV>
            <wp:extent cx="4194810" cy="2493010"/>
            <wp:effectExtent l="0" t="0" r="8890" b="889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0"/>
          <w:szCs w:val="20"/>
        </w:rPr>
        <w:t>F</w:t>
      </w:r>
      <w:r>
        <w:rPr>
          <w:rFonts w:hint="default" w:ascii="Times New Roman" w:hAnsi="Times New Roman" w:cs="Times New Roman"/>
          <w:b/>
          <w:sz w:val="20"/>
          <w:szCs w:val="20"/>
        </w:rPr>
        <w:t>ig. S6</w:t>
      </w:r>
      <w:r>
        <w:rPr>
          <w:rFonts w:hint="default" w:ascii="Times New Roman" w:hAnsi="Times New Roman" w:cs="Times New Roman"/>
          <w:sz w:val="20"/>
          <w:szCs w:val="20"/>
        </w:rPr>
        <w:t xml:space="preserve"> The Isotherm model fitting curve: </w:t>
      </w:r>
      <w:r>
        <w:rPr>
          <w:rFonts w:hint="default" w:ascii="Times New Roman" w:hAnsi="Times New Roman" w:cs="Times New Roman"/>
          <w:sz w:val="20"/>
          <w:szCs w:val="20"/>
        </w:rPr>
        <w:t xml:space="preserve">(a) </w:t>
      </w:r>
      <w:r>
        <w:rPr>
          <w:rFonts w:hint="default" w:ascii="Times New Roman" w:hAnsi="Times New Roman" w:cs="Times New Roman"/>
          <w:bCs/>
          <w:sz w:val="20"/>
          <w:szCs w:val="20"/>
        </w:rPr>
        <w:t xml:space="preserve">Freundilich and </w:t>
      </w:r>
      <w:r>
        <w:rPr>
          <w:rFonts w:hint="default" w:ascii="Times New Roman" w:hAnsi="Times New Roman" w:cs="Times New Roman"/>
          <w:sz w:val="20"/>
          <w:szCs w:val="20"/>
        </w:rPr>
        <w:t xml:space="preserve">(b) </w:t>
      </w:r>
      <w:r>
        <w:rPr>
          <w:rFonts w:hint="default" w:ascii="Times New Roman" w:hAnsi="Times New Roman" w:cs="Times New Roman"/>
          <w:bCs/>
          <w:sz w:val="20"/>
          <w:szCs w:val="20"/>
        </w:rPr>
        <w:t>Langmuir model</w:t>
      </w:r>
      <w:r>
        <w:rPr>
          <w:rFonts w:hint="default" w:ascii="Times New Roman" w:hAnsi="Times New Roman" w:cs="Times New Roman"/>
          <w:bCs/>
          <w:sz w:val="20"/>
          <w:szCs w:val="20"/>
        </w:rPr>
        <w:t>.</w:t>
      </w:r>
    </w:p>
    <w:p>
      <w:pPr>
        <w:spacing w:before="120" w:after="120"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Fig</w:t>
      </w:r>
      <w:r>
        <w:rPr>
          <w:rFonts w:hint="default" w:ascii="Times New Roman" w:hAnsi="Times New Roman" w:cs="Times New Roman"/>
          <w:b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S7</w:t>
      </w:r>
      <w:r>
        <w:rPr>
          <w:rFonts w:hint="default" w:ascii="Times New Roman" w:hAnsi="Times New Roman" w:cs="Times New Roman"/>
          <w:sz w:val="20"/>
          <w:szCs w:val="20"/>
        </w:rPr>
        <w:t xml:space="preserve"> EDX characterization results of 3D CA/GO before and after Pb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2+</w:t>
      </w:r>
      <w:r>
        <w:rPr>
          <w:rFonts w:hint="default" w:ascii="Times New Roman" w:hAnsi="Times New Roman" w:cs="Times New Roman"/>
          <w:sz w:val="20"/>
          <w:szCs w:val="20"/>
        </w:rPr>
        <w:t xml:space="preserve"> adsorption.</w:t>
      </w:r>
    </w:p>
    <w:p>
      <w:pPr>
        <w:spacing w:before="120" w:after="12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64770</wp:posOffset>
            </wp:positionV>
            <wp:extent cx="3369945" cy="2384425"/>
            <wp:effectExtent l="0" t="0" r="8255" b="3175"/>
            <wp:wrapTopAndBottom/>
            <wp:docPr id="1" name="图片 1" descr="钙离子释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钙离子释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ig. S8</w:t>
      </w:r>
      <w:r>
        <w:rPr>
          <w:rFonts w:hint="default" w:ascii="Times New Roman" w:hAnsi="Times New Roman" w:cs="Times New Roman"/>
          <w:sz w:val="20"/>
          <w:szCs w:val="20"/>
        </w:rPr>
        <w:t xml:space="preserve"> Results of Ca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2+</w:t>
      </w:r>
      <w:r>
        <w:rPr>
          <w:rFonts w:hint="default" w:ascii="Times New Roman" w:hAnsi="Times New Roman" w:cs="Times New Roman"/>
          <w:sz w:val="20"/>
          <w:szCs w:val="20"/>
        </w:rPr>
        <w:t xml:space="preserve"> release experiments.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able S2</w:t>
      </w:r>
      <w:r>
        <w:rPr>
          <w:rFonts w:hint="default" w:ascii="Times New Roman" w:hAnsi="Times New Roman" w:cs="Times New Roman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List of concentrations of major heavy metal ions in collected medical wastewater before and after adsorption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by 3D CA/GO</w:t>
      </w:r>
      <w:r>
        <w:rPr>
          <w:rFonts w:hint="default" w:ascii="Times New Roman" w:hAnsi="Times New Roman" w:cs="Times New Roman"/>
          <w:sz w:val="20"/>
          <w:szCs w:val="20"/>
        </w:rPr>
        <w:t>.</w:t>
      </w:r>
    </w:p>
    <w:tbl>
      <w:tblPr>
        <w:tblStyle w:val="3"/>
        <w:tblW w:w="8212" w:type="dxa"/>
        <w:jc w:val="center"/>
        <w:tblBorders>
          <w:top w:val="single" w:color="auto" w:sz="4" w:space="0"/>
          <w:left w:val="single" w:color="FFFFFF" w:sz="8" w:space="0"/>
          <w:bottom w:val="single" w:color="auto" w:sz="4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0"/>
        <w:gridCol w:w="3118"/>
        <w:gridCol w:w="3544"/>
      </w:tblGrid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550" w:type="dxa"/>
            <w:vMerge w:val="restart"/>
            <w:tcBorders>
              <w:top w:val="single" w:color="auto" w:sz="4" w:space="0"/>
              <w:bottom w:val="single" w:color="FFFFFF" w:sz="8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Ionic</w:t>
            </w:r>
          </w:p>
        </w:tc>
        <w:tc>
          <w:tcPr>
            <w:tcW w:w="6662" w:type="dxa"/>
            <w:gridSpan w:val="2"/>
            <w:tcBorders>
              <w:top w:val="single" w:color="auto" w:sz="4" w:space="0"/>
              <w:bottom w:val="single" w:color="FFFFFF" w:sz="8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Concentration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550" w:type="dxa"/>
            <w:vMerge w:val="continue"/>
            <w:tcBorders>
              <w:top w:val="single" w:color="FFFFFF" w:sz="8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FFFFFF" w:sz="8" w:space="0"/>
              <w:bottom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Before adsorption (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mg/L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color="FFFFFF" w:sz="8" w:space="0"/>
              <w:bottom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After adsorption (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mg/L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Borders>
              <w:top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Pb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3118" w:type="dxa"/>
            <w:tcBorders>
              <w:top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0.023925</w:t>
            </w:r>
          </w:p>
        </w:tc>
        <w:tc>
          <w:tcPr>
            <w:tcW w:w="3544" w:type="dxa"/>
            <w:tcBorders>
              <w:top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Mo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4+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Cd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0.07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Co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0.01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Ni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0.095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Sr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0.5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0.45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Ti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0.02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FFFFFF" w:sz="8" w:space="0"/>
            <w:bottom w:val="single" w:color="auto" w:sz="4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50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Cr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3118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0.02</w:t>
            </w:r>
          </w:p>
        </w:tc>
        <w:tc>
          <w:tcPr>
            <w:tcW w:w="3544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4"/>
                <w:sz w:val="20"/>
                <w:szCs w:val="20"/>
              </w:rPr>
              <w:t>0.02</w:t>
            </w:r>
          </w:p>
        </w:tc>
      </w:tr>
    </w:tbl>
    <w:p>
      <w:pPr>
        <w:pStyle w:val="6"/>
        <w:rPr>
          <w:rFonts w:hint="default" w:ascii="Times New Roman" w:hAnsi="Times New Roman" w:cs="Times New Roman"/>
          <w:sz w:val="20"/>
          <w:szCs w:val="20"/>
        </w:rPr>
      </w:pPr>
    </w:p>
    <w:p>
      <w:pPr>
        <w:rPr>
          <w:rFonts w:hint="default" w:ascii="Times New Roman" w:hAnsi="Times New Roman" w:cs="Times New Roman"/>
          <w:sz w:val="20"/>
          <w:szCs w:val="20"/>
        </w:rPr>
      </w:pPr>
    </w:p>
    <w:p>
      <w:pPr>
        <w:rPr>
          <w:rFonts w:hint="default" w:ascii="Times New Roman" w:hAnsi="Times New Roman" w:cs="Times New Roman"/>
          <w:sz w:val="20"/>
          <w:szCs w:val="20"/>
        </w:rPr>
      </w:pPr>
    </w:p>
    <w:sectPr>
      <w:footnotePr>
        <w:numFmt w:val="chicago"/>
      </w:footnotePr>
      <w:pgSz w:w="11906" w:h="16838"/>
      <w:pgMar w:top="1440" w:right="1800" w:bottom="1440" w:left="1800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  <w:r>
        <w:rPr>
          <w:rStyle w:val="5"/>
          <w:rFonts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Corresponding authors: </w:t>
      </w:r>
      <w:r>
        <w:rPr>
          <w:rFonts w:hint="default" w:ascii="Times New Roman" w:hAnsi="Times New Roman" w:eastAsia="宋体" w:cs="Times New Roman"/>
          <w:color w:val="0000FF"/>
          <w:kern w:val="0"/>
          <w:sz w:val="18"/>
          <w:szCs w:val="18"/>
          <w:lang w:val="en-US" w:eastAsia="zh-CN" w:bidi="ar"/>
        </w:rPr>
        <w:t>liubkq@lzu.edu.cn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color w:val="0000FF"/>
          <w:kern w:val="0"/>
          <w:sz w:val="18"/>
          <w:szCs w:val="18"/>
          <w:lang w:val="en-US" w:eastAsia="zh-CN" w:bidi="ar"/>
        </w:rPr>
        <w:t xml:space="preserve">jiewb@lzu.edu.cn </w:t>
      </w:r>
    </w:p>
  </w:footnote>
  <w:footnote w:id="1">
    <w:p>
      <w:pPr>
        <w:pStyle w:val="2"/>
        <w:widowControl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chicago"/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1YTBjMGI0NTg2NjFlYmMyMWE0OWFkMGMyZGExOTQifQ=="/>
  </w:docVars>
  <w:rsids>
    <w:rsidRoot w:val="00F32BE9"/>
    <w:rsid w:val="00C446D3"/>
    <w:rsid w:val="00F32BE9"/>
    <w:rsid w:val="05BD21F2"/>
    <w:rsid w:val="0600615C"/>
    <w:rsid w:val="1EA41923"/>
    <w:rsid w:val="1F1A7E37"/>
    <w:rsid w:val="60611566"/>
    <w:rsid w:val="736C5B62"/>
    <w:rsid w:val="7AB23BF5"/>
    <w:rsid w:val="7AF8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kern w:val="0"/>
      <w:sz w:val="24"/>
      <w:szCs w:val="24"/>
      <w:lang w:val="en-US" w:eastAsia="en-US" w:bidi="he-IL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8"/>
    <w:semiHidden/>
    <w:unhideWhenUsed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2"/>
      <w:sz w:val="18"/>
      <w:szCs w:val="24"/>
      <w:lang w:val="en-US" w:eastAsia="zh-CN" w:bidi="ar"/>
    </w:rPr>
  </w:style>
  <w:style w:type="character" w:styleId="5">
    <w:name w:val="footnote reference"/>
    <w:basedOn w:val="4"/>
    <w:semiHidden/>
    <w:unhideWhenUsed/>
    <w:uiPriority w:val="99"/>
    <w:rPr>
      <w:vertAlign w:val="superscript"/>
    </w:rPr>
  </w:style>
  <w:style w:type="paragraph" w:customStyle="1" w:styleId="6">
    <w:name w:val="EndNote Bibliography"/>
    <w:basedOn w:val="1"/>
    <w:link w:val="7"/>
    <w:uiPriority w:val="0"/>
    <w:pPr>
      <w:widowControl w:val="0"/>
      <w:jc w:val="both"/>
    </w:pPr>
    <w:rPr>
      <w:rFonts w:ascii="Calibri" w:hAnsi="Calibri" w:eastAsia="宋体"/>
      <w:kern w:val="2"/>
      <w:sz w:val="20"/>
      <w:lang w:val="en-US" w:eastAsia="zh-CN" w:bidi="ar-SA"/>
    </w:rPr>
  </w:style>
  <w:style w:type="character" w:customStyle="1" w:styleId="7">
    <w:name w:val="EndNote Bibliography 字符"/>
    <w:link w:val="6"/>
    <w:uiPriority w:val="0"/>
    <w:rPr>
      <w:rFonts w:ascii="Calibri" w:hAnsi="Calibri" w:eastAsia="宋体" w:cs="Times New Roman"/>
      <w:sz w:val="20"/>
      <w:szCs w:val="24"/>
      <w:lang w:val="en-US" w:eastAsia="zh-CN"/>
    </w:rPr>
  </w:style>
  <w:style w:type="character" w:customStyle="1" w:styleId="8">
    <w:name w:val="脚注文本 字符"/>
    <w:basedOn w:val="4"/>
    <w:link w:val="2"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346</Words>
  <Characters>1866</Characters>
  <Lines>16</Lines>
  <Paragraphs>4</Paragraphs>
  <TotalTime>27</TotalTime>
  <ScaleCrop>false</ScaleCrop>
  <LinksUpToDate>false</LinksUpToDate>
  <CharactersWithSpaces>2169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2022-11-05T14:00:00Z</dcterms:created>
  <dc:creator>牛 玉新</dc:creator>
  <cp:lastModifiedBy>New</cp:lastModifiedBy>
  <dcterms:modified xsi:type="dcterms:W3CDTF">2022-11-22T17:38:18Z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F854CF7416BE4089A2DD19D729067B07</vt:lpwstr>
  </property>
</Properties>
</file>