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sz w:val="22"/>
          <w:szCs w:val="22"/>
          <w:lang w:eastAsia="ja-JP"/>
        </w:rPr>
      </w:pPr>
      <w:bookmarkStart w:id="0" w:name="_GoBack"/>
      <w:bookmarkEnd w:id="0"/>
      <w:r>
        <w:rPr>
          <w:sz w:val="22"/>
          <w:szCs w:val="22"/>
          <w:lang w:eastAsia="ja-JP"/>
        </w:rPr>
        <w:t>D</w:t>
      </w:r>
      <w:r>
        <w:rPr>
          <w:rFonts w:hint="eastAsia"/>
          <w:sz w:val="22"/>
          <w:szCs w:val="22"/>
          <w:lang w:eastAsia="ja-JP"/>
        </w:rPr>
        <w:t>e</w:t>
      </w:r>
      <w:r>
        <w:rPr>
          <w:sz w:val="22"/>
          <w:szCs w:val="22"/>
          <w:lang w:eastAsia="ja-JP"/>
        </w:rPr>
        <w:t>claration of Interest Statement</w:t>
      </w:r>
    </w:p>
    <w:p>
      <w:pPr>
        <w:jc w:val="both"/>
        <w:rPr>
          <w:rFonts w:hint="eastAsia"/>
          <w:sz w:val="22"/>
          <w:szCs w:val="22"/>
          <w:lang w:eastAsia="ja-JP"/>
        </w:rPr>
      </w:pPr>
    </w:p>
    <w:p>
      <w:pPr>
        <w:spacing w:line="360" w:lineRule="auto"/>
        <w:ind w:firstLine="440" w:firstLineChars="200"/>
        <w:jc w:val="both"/>
        <w:rPr>
          <w:sz w:val="22"/>
          <w:szCs w:val="22"/>
          <w:lang w:eastAsia="ja-JP"/>
        </w:rPr>
      </w:pPr>
      <w:r>
        <w:rPr>
          <w:sz w:val="22"/>
          <w:szCs w:val="22"/>
          <w:lang w:eastAsia="ja-JP"/>
        </w:rPr>
        <w:t>This manuscript “</w:t>
      </w:r>
      <w:r>
        <w:rPr>
          <w:rFonts w:hint="eastAsia"/>
          <w:sz w:val="22"/>
          <w:szCs w:val="22"/>
          <w:lang w:eastAsia="ja-JP"/>
        </w:rPr>
        <w:t>Three-Dimensional-Printed Calcium Alginate/Graphene Oxide Porous Adsorbent with Super-High Lead Ion Adsorption Ability in Aqueous Solution</w:t>
      </w:r>
      <w:r>
        <w:rPr>
          <w:sz w:val="22"/>
          <w:szCs w:val="22"/>
          <w:lang w:eastAsia="ja-JP"/>
        </w:rPr>
        <w:t xml:space="preserve">” was coauthored by </w:t>
      </w:r>
      <w:r>
        <w:rPr>
          <w:sz w:val="22"/>
          <w:szCs w:val="22"/>
        </w:rPr>
        <w:t>Na</w:t>
      </w:r>
      <w:r>
        <w:rPr>
          <w:rFonts w:hint="eastAsia" w:eastAsia="宋体"/>
          <w:sz w:val="22"/>
          <w:szCs w:val="22"/>
          <w:lang w:eastAsia="zh-CN"/>
        </w:rPr>
        <w:t xml:space="preserve"> </w:t>
      </w:r>
      <w:r>
        <w:rPr>
          <w:sz w:val="22"/>
          <w:szCs w:val="22"/>
        </w:rPr>
        <w:t>Wang, Fuxiang</w:t>
      </w:r>
      <w:r>
        <w:rPr>
          <w:rFonts w:hint="eastAsia" w:eastAsia="宋体"/>
          <w:sz w:val="22"/>
          <w:szCs w:val="22"/>
          <w:lang w:eastAsia="zh-CN"/>
        </w:rPr>
        <w:t xml:space="preserve"> </w:t>
      </w:r>
      <w:r>
        <w:rPr>
          <w:sz w:val="22"/>
          <w:szCs w:val="22"/>
        </w:rPr>
        <w:t>Song</w:t>
      </w:r>
      <w:r>
        <w:rPr>
          <w:rFonts w:hint="eastAsia" w:eastAsia="宋体"/>
          <w:sz w:val="22"/>
          <w:szCs w:val="22"/>
          <w:lang w:eastAsia="zh-CN"/>
        </w:rPr>
        <w:t xml:space="preserve">, </w:t>
      </w:r>
      <w:r>
        <w:rPr>
          <w:rFonts w:hint="eastAsia"/>
          <w:sz w:val="22"/>
          <w:szCs w:val="22"/>
          <w:lang w:eastAsia="ja-JP"/>
        </w:rPr>
        <w:t>Yuxin</w:t>
      </w:r>
      <w:r>
        <w:rPr>
          <w:rFonts w:hint="eastAsia" w:eastAsia="宋体"/>
          <w:sz w:val="22"/>
          <w:szCs w:val="22"/>
          <w:lang w:eastAsia="zh-CN"/>
        </w:rPr>
        <w:t xml:space="preserve"> </w:t>
      </w:r>
      <w:r>
        <w:rPr>
          <w:rFonts w:hint="eastAsia"/>
          <w:sz w:val="22"/>
          <w:szCs w:val="22"/>
          <w:lang w:eastAsia="ja-JP"/>
        </w:rPr>
        <w:t>Niu</w:t>
      </w:r>
      <w:r>
        <w:rPr>
          <w:sz w:val="22"/>
          <w:szCs w:val="22"/>
        </w:rPr>
        <w:t xml:space="preserve">, </w:t>
      </w:r>
      <w:r>
        <w:rPr>
          <w:rFonts w:hint="eastAsia" w:eastAsia="宋体"/>
          <w:sz w:val="22"/>
          <w:szCs w:val="22"/>
          <w:lang w:eastAsia="zh-CN"/>
        </w:rPr>
        <w:t>Zezhou</w:t>
      </w:r>
      <w:r>
        <w:rPr>
          <w:rFonts w:eastAsia="宋体"/>
          <w:sz w:val="22"/>
          <w:szCs w:val="22"/>
          <w:lang w:eastAsia="zh-CN"/>
        </w:rPr>
        <w:t xml:space="preserve"> Hu</w:t>
      </w:r>
      <w:r>
        <w:rPr>
          <w:rFonts w:hint="eastAsia" w:eastAsia="宋体"/>
          <w:sz w:val="22"/>
          <w:szCs w:val="22"/>
          <w:lang w:eastAsia="zh-CN"/>
        </w:rPr>
        <w:t>,</w:t>
      </w:r>
      <w:r>
        <w:rPr>
          <w:rFonts w:hint="eastAsia"/>
          <w:sz w:val="22"/>
          <w:szCs w:val="22"/>
        </w:rPr>
        <w:t xml:space="preserve"> Wenjie</w:t>
      </w:r>
      <w:r>
        <w:rPr>
          <w:rFonts w:hint="eastAsia" w:eastAsia="宋体"/>
          <w:sz w:val="22"/>
          <w:szCs w:val="22"/>
          <w:lang w:eastAsia="zh-CN"/>
        </w:rPr>
        <w:t xml:space="preserve"> </w:t>
      </w:r>
      <w:r>
        <w:rPr>
          <w:rFonts w:hint="eastAsia"/>
          <w:sz w:val="22"/>
          <w:szCs w:val="22"/>
        </w:rPr>
        <w:t>Chen</w:t>
      </w:r>
      <w:r>
        <w:rPr>
          <w:rFonts w:hint="eastAsia" w:eastAsia="宋体"/>
          <w:sz w:val="22"/>
          <w:szCs w:val="22"/>
          <w:lang w:eastAsia="zh-CN"/>
        </w:rPr>
        <w:t xml:space="preserve">, </w:t>
      </w:r>
      <w:r>
        <w:rPr>
          <w:sz w:val="22"/>
          <w:szCs w:val="22"/>
        </w:rPr>
        <w:t>Bin</w:t>
      </w:r>
      <w:r>
        <w:rPr>
          <w:rFonts w:hint="eastAsia" w:eastAsia="宋体"/>
          <w:sz w:val="22"/>
          <w:szCs w:val="22"/>
          <w:lang w:eastAsia="zh-CN"/>
        </w:rPr>
        <w:t xml:space="preserve"> </w:t>
      </w:r>
      <w:r>
        <w:rPr>
          <w:sz w:val="22"/>
          <w:szCs w:val="22"/>
        </w:rPr>
        <w:t>Liu</w:t>
      </w:r>
      <w:r>
        <w:rPr>
          <w:rFonts w:hint="eastAsia" w:eastAsia="宋体"/>
          <w:sz w:val="22"/>
          <w:szCs w:val="22"/>
          <w:lang w:eastAsia="zh-CN"/>
        </w:rPr>
        <w:t xml:space="preserve"> and </w:t>
      </w:r>
      <w:r>
        <w:rPr>
          <w:rFonts w:hint="eastAsia"/>
          <w:sz w:val="22"/>
          <w:szCs w:val="22"/>
          <w:lang w:eastAsia="ja-JP"/>
        </w:rPr>
        <w:t>Weibo</w:t>
      </w:r>
      <w:r>
        <w:rPr>
          <w:rFonts w:hint="eastAsia" w:eastAsia="宋体"/>
          <w:sz w:val="22"/>
          <w:szCs w:val="22"/>
          <w:lang w:eastAsia="zh-CN"/>
        </w:rPr>
        <w:t xml:space="preserve"> X</w:t>
      </w:r>
      <w:r>
        <w:rPr>
          <w:rFonts w:hint="eastAsia"/>
          <w:sz w:val="22"/>
          <w:szCs w:val="22"/>
          <w:lang w:eastAsia="ja-JP"/>
        </w:rPr>
        <w:t>ie</w:t>
      </w:r>
      <w:r>
        <w:rPr>
          <w:sz w:val="22"/>
          <w:szCs w:val="22"/>
          <w:lang w:eastAsia="ja-JP"/>
        </w:rPr>
        <w:t xml:space="preserve"> has not been published or presented elsewhere in part or in entirety and is not under consideration by another journal. </w:t>
      </w:r>
    </w:p>
    <w:p>
      <w:pPr>
        <w:spacing w:line="360" w:lineRule="auto"/>
        <w:ind w:firstLine="440" w:firstLineChars="200"/>
        <w:jc w:val="both"/>
        <w:rPr>
          <w:rFonts w:hint="eastAsia" w:eastAsia="等线"/>
          <w:sz w:val="22"/>
          <w:szCs w:val="22"/>
          <w:lang w:eastAsia="zh-CN"/>
        </w:rPr>
      </w:pPr>
      <w:r>
        <w:rPr>
          <w:rFonts w:eastAsia="等线"/>
          <w:sz w:val="22"/>
          <w:szCs w:val="22"/>
          <w:lang w:eastAsia="zh-CN"/>
        </w:rPr>
        <w:t>We declare that we have no financial and personal relationships with other people or organizations that can inappropriately influence our work, there is no professional or other personal interest of any nature or kind in any product service and/or company that could be construed as influencing the position presented in our manuscript.</w:t>
      </w:r>
    </w:p>
    <w:p>
      <w:pPr>
        <w:spacing w:line="360" w:lineRule="auto"/>
        <w:jc w:val="both"/>
        <w:rPr>
          <w:sz w:val="22"/>
          <w:szCs w:val="22"/>
          <w:lang w:eastAsia="ja-JP"/>
        </w:rPr>
      </w:pPr>
    </w:p>
    <w:p>
      <w:pPr>
        <w:spacing w:line="360" w:lineRule="auto"/>
        <w:jc w:val="both"/>
        <w:rPr>
          <w:sz w:val="22"/>
          <w:szCs w:val="22"/>
          <w:lang w:eastAsia="ja-JP"/>
        </w:rPr>
      </w:pPr>
    </w:p>
    <w:p/>
    <w:sectPr>
      <w:pgSz w:w="12240" w:h="15840"/>
      <w:pgMar w:top="1304" w:right="1797" w:bottom="1304" w:left="1797"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1YTBjMGI0NTg2NjFlYmMyMWE0OWFkMGMyZGExOTQifQ=="/>
  </w:docVars>
  <w:rsids>
    <w:rsidRoot w:val="0081240D"/>
    <w:rsid w:val="0081240D"/>
    <w:rsid w:val="00AA7049"/>
    <w:rsid w:val="042373E9"/>
    <w:rsid w:val="4E4A12EF"/>
    <w:rsid w:val="733F3B9A"/>
    <w:rsid w:val="77D55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MS Mincho" w:cs="Times New Roman"/>
      <w:kern w:val="0"/>
      <w:sz w:val="24"/>
      <w:szCs w:val="24"/>
      <w:lang w:val="en-US" w:eastAsia="en-US" w:bidi="he-IL"/>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111</Words>
  <Characters>635</Characters>
  <Lines>5</Lines>
  <Paragraphs>1</Paragraphs>
  <TotalTime>2</TotalTime>
  <ScaleCrop>false</ScaleCrop>
  <LinksUpToDate>false</LinksUpToDate>
  <CharactersWithSpaces>744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2022-11-05T13:51:00Z</dcterms:created>
  <dc:creator>1870452076@qq.com</dc:creator>
  <cp:lastModifiedBy>New</cp:lastModifiedBy>
  <dcterms:modified xsi:type="dcterms:W3CDTF">2022-11-22T17:13:47Z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B59C755686BE41F8822BE8F5B3DEDE1A</vt:lpwstr>
  </property>
</Properties>
</file>