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BC194F" w14:textId="6BEFA87E" w:rsidR="00E067E0" w:rsidRPr="00EA656D" w:rsidRDefault="00E067E0" w:rsidP="003032A4">
      <w:pPr>
        <w:pStyle w:val="TitleHom"/>
        <w:spacing w:line="480" w:lineRule="auto"/>
      </w:pPr>
      <w:r w:rsidRPr="00EA656D">
        <w:t xml:space="preserve">Systematic analysis of </w:t>
      </w:r>
      <w:r w:rsidR="004D4CAF">
        <w:t>para</w:t>
      </w:r>
      <w:r w:rsidRPr="00EA656D">
        <w:t>logous regions in 4</w:t>
      </w:r>
      <w:r w:rsidR="004644BA">
        <w:t>1,755</w:t>
      </w:r>
      <w:r w:rsidRPr="00EA656D">
        <w:t xml:space="preserve"> exomes uncovers </w:t>
      </w:r>
      <w:r w:rsidR="002F0A92">
        <w:t>clinically relevant</w:t>
      </w:r>
      <w:r w:rsidR="002001C7" w:rsidRPr="009460CE">
        <w:t xml:space="preserve"> </w:t>
      </w:r>
      <w:r w:rsidRPr="00EA656D">
        <w:t>variation</w:t>
      </w:r>
    </w:p>
    <w:p w14:paraId="6E7823F7" w14:textId="484379CE" w:rsidR="008871FB" w:rsidRPr="00EA656D" w:rsidRDefault="008871FB" w:rsidP="003032A4">
      <w:pPr>
        <w:pStyle w:val="Heading1"/>
        <w:spacing w:line="480" w:lineRule="auto"/>
        <w:rPr>
          <w:lang w:val="en-GB"/>
        </w:rPr>
      </w:pPr>
      <w:r w:rsidRPr="00EA656D">
        <w:rPr>
          <w:lang w:val="en-GB"/>
        </w:rPr>
        <w:t xml:space="preserve">Supplemental </w:t>
      </w:r>
      <w:r w:rsidR="00D03D10" w:rsidRPr="00EA656D">
        <w:rPr>
          <w:lang w:val="en-GB"/>
        </w:rPr>
        <w:t>data</w:t>
      </w:r>
    </w:p>
    <w:p w14:paraId="64DE225B" w14:textId="19AE2296" w:rsidR="00D03D10" w:rsidRPr="00EA656D" w:rsidRDefault="00D03D10" w:rsidP="003032A4">
      <w:pPr>
        <w:pStyle w:val="Heading2"/>
      </w:pPr>
      <w:r w:rsidRPr="00EA656D">
        <w:t xml:space="preserve">Supplemental data </w:t>
      </w:r>
      <w:r w:rsidR="00DC3CBF">
        <w:t>T</w:t>
      </w:r>
      <w:r w:rsidRPr="00EA656D">
        <w:t xml:space="preserve">1. Genomic coordinates of </w:t>
      </w:r>
      <w:r w:rsidR="004644BA">
        <w:t>single nucleotide</w:t>
      </w:r>
      <w:r w:rsidRPr="00EA656D">
        <w:t xml:space="preserve"> variant calls (not due to a gene conversion).</w:t>
      </w:r>
    </w:p>
    <w:p w14:paraId="71A23D8E" w14:textId="06D5A2C3" w:rsidR="00D03D10" w:rsidRPr="00EA656D" w:rsidRDefault="008B3842" w:rsidP="003032A4">
      <w:pPr>
        <w:spacing w:line="480" w:lineRule="auto"/>
        <w:rPr>
          <w:lang w:val="en-GB"/>
        </w:rPr>
      </w:pPr>
      <w:r w:rsidRPr="00EA656D">
        <w:rPr>
          <w:lang w:val="en-GB"/>
        </w:rPr>
        <w:t>Column A</w:t>
      </w:r>
      <w:r w:rsidR="00D03D10" w:rsidRPr="00EA656D">
        <w:rPr>
          <w:lang w:val="en-GB"/>
        </w:rPr>
        <w:t xml:space="preserve"> (recurrence) represents the number of times the variant is observed in the study cohort. Column </w:t>
      </w:r>
      <w:r w:rsidRPr="00EA656D">
        <w:rPr>
          <w:lang w:val="en-GB"/>
        </w:rPr>
        <w:t>B</w:t>
      </w:r>
      <w:r w:rsidR="00D03D10" w:rsidRPr="00EA656D">
        <w:rPr>
          <w:lang w:val="en-GB"/>
        </w:rPr>
        <w:t xml:space="preserve"> shows the genomic coordinate of the variant (Ensembl default notation; hg19). </w:t>
      </w:r>
    </w:p>
    <w:p w14:paraId="03E63D6B" w14:textId="028C450D" w:rsidR="00D03D10" w:rsidRPr="00EA656D" w:rsidRDefault="00D03D10" w:rsidP="003032A4">
      <w:pPr>
        <w:pStyle w:val="Heading2"/>
      </w:pPr>
      <w:r w:rsidRPr="00EA656D">
        <w:t xml:space="preserve">Supplemental data </w:t>
      </w:r>
      <w:r w:rsidR="00DC3CBF">
        <w:t>T</w:t>
      </w:r>
      <w:r w:rsidRPr="00EA656D">
        <w:t xml:space="preserve">2. Genomic coordinates of gene conversion calls. </w:t>
      </w:r>
    </w:p>
    <w:p w14:paraId="21E23FA6" w14:textId="3294B63B" w:rsidR="00D03D10" w:rsidRPr="00EA656D" w:rsidRDefault="008B3842" w:rsidP="003032A4">
      <w:pPr>
        <w:spacing w:line="480" w:lineRule="auto"/>
        <w:rPr>
          <w:lang w:val="en-GB"/>
        </w:rPr>
      </w:pPr>
      <w:r w:rsidRPr="00EA656D">
        <w:rPr>
          <w:lang w:val="en-GB"/>
        </w:rPr>
        <w:t>Column A</w:t>
      </w:r>
      <w:r w:rsidR="00D03D10" w:rsidRPr="00EA656D">
        <w:rPr>
          <w:lang w:val="en-GB"/>
        </w:rPr>
        <w:t xml:space="preserve"> (recurrence) represents the number of times the event is observed in the study cohort. Column </w:t>
      </w:r>
      <w:r w:rsidRPr="00EA656D">
        <w:rPr>
          <w:lang w:val="en-GB"/>
        </w:rPr>
        <w:t>B</w:t>
      </w:r>
      <w:r w:rsidR="00D03D10" w:rsidRPr="00EA656D">
        <w:rPr>
          <w:lang w:val="en-GB"/>
        </w:rPr>
        <w:t>,</w:t>
      </w:r>
      <w:r w:rsidR="004644BA">
        <w:rPr>
          <w:lang w:val="en-GB"/>
        </w:rPr>
        <w:t xml:space="preserve"> </w:t>
      </w:r>
      <w:r w:rsidRPr="00EA656D">
        <w:rPr>
          <w:lang w:val="en-GB"/>
        </w:rPr>
        <w:t>C</w:t>
      </w:r>
      <w:r w:rsidR="00D03D10" w:rsidRPr="00EA656D">
        <w:rPr>
          <w:lang w:val="en-GB"/>
        </w:rPr>
        <w:t xml:space="preserve"> and </w:t>
      </w:r>
      <w:r w:rsidRPr="00EA656D">
        <w:rPr>
          <w:lang w:val="en-GB"/>
        </w:rPr>
        <w:t>D</w:t>
      </w:r>
      <w:r w:rsidR="00D03D10" w:rsidRPr="00EA656D">
        <w:rPr>
          <w:lang w:val="en-GB"/>
        </w:rPr>
        <w:t xml:space="preserve"> respectively represent the chromosome, genomic start and </w:t>
      </w:r>
      <w:r w:rsidR="000A3036" w:rsidRPr="00EA656D">
        <w:rPr>
          <w:lang w:val="en-GB"/>
        </w:rPr>
        <w:t xml:space="preserve">genomic </w:t>
      </w:r>
      <w:r w:rsidR="00D03D10" w:rsidRPr="00EA656D">
        <w:rPr>
          <w:lang w:val="en-GB"/>
        </w:rPr>
        <w:t>end of the event.</w:t>
      </w:r>
    </w:p>
    <w:p w14:paraId="54AC9A87" w14:textId="1552552A" w:rsidR="00D03D10" w:rsidRPr="00EA656D" w:rsidRDefault="00D03D10" w:rsidP="003032A4">
      <w:pPr>
        <w:pStyle w:val="Heading2"/>
      </w:pPr>
      <w:r w:rsidRPr="00EA656D">
        <w:t xml:space="preserve">Supplemental data </w:t>
      </w:r>
      <w:r w:rsidR="00DC3CBF">
        <w:t>T</w:t>
      </w:r>
      <w:r w:rsidR="000A3036" w:rsidRPr="00EA656D">
        <w:t>3</w:t>
      </w:r>
      <w:r w:rsidRPr="00EA656D">
        <w:t>. Genomic coordinates of SNVs introduced by gene conversions.</w:t>
      </w:r>
    </w:p>
    <w:p w14:paraId="44BDD7A1" w14:textId="627C98AA" w:rsidR="008B3842" w:rsidRPr="00EA656D" w:rsidRDefault="008B3842" w:rsidP="003032A4">
      <w:pPr>
        <w:spacing w:line="480" w:lineRule="auto"/>
        <w:rPr>
          <w:lang w:val="en-GB"/>
        </w:rPr>
      </w:pPr>
      <w:r w:rsidRPr="00EA656D">
        <w:rPr>
          <w:lang w:val="en-GB"/>
        </w:rPr>
        <w:t xml:space="preserve">Column A (recurrence) represents the number of times the variant is observed in the study cohort. Column B shows the genomic coordinate of the variant (Ensembl default notation; hg19). </w:t>
      </w:r>
    </w:p>
    <w:p w14:paraId="0E6DBC8B" w14:textId="549C31EF" w:rsidR="000A3036" w:rsidRPr="00EA656D" w:rsidRDefault="000A3036" w:rsidP="003032A4">
      <w:pPr>
        <w:pStyle w:val="Heading2"/>
      </w:pPr>
      <w:r w:rsidRPr="00EA656D">
        <w:t xml:space="preserve">Supplemental data </w:t>
      </w:r>
      <w:r w:rsidR="00DC3CBF">
        <w:t>T</w:t>
      </w:r>
      <w:r w:rsidRPr="00EA656D">
        <w:t>4. Genomic coordinates of deletion calls.</w:t>
      </w:r>
    </w:p>
    <w:p w14:paraId="07E6C75D" w14:textId="44397BDC" w:rsidR="008B3842" w:rsidRPr="00EA656D" w:rsidRDefault="008B3842" w:rsidP="003032A4">
      <w:pPr>
        <w:spacing w:line="480" w:lineRule="auto"/>
        <w:rPr>
          <w:lang w:val="en-GB"/>
        </w:rPr>
      </w:pPr>
      <w:r w:rsidRPr="00EA656D">
        <w:rPr>
          <w:lang w:val="en-GB"/>
        </w:rPr>
        <w:t>Column A (recurrence) represents the number of times the event is observed in the study cohort. Column B,</w:t>
      </w:r>
      <w:r w:rsidR="004644BA">
        <w:rPr>
          <w:lang w:val="en-GB"/>
        </w:rPr>
        <w:t xml:space="preserve"> </w:t>
      </w:r>
      <w:r w:rsidRPr="00EA656D">
        <w:rPr>
          <w:lang w:val="en-GB"/>
        </w:rPr>
        <w:t>C and D respectively represent the chromosome, genomic start and genomic end of the event.</w:t>
      </w:r>
    </w:p>
    <w:p w14:paraId="24C356B4" w14:textId="5BB1767F" w:rsidR="00D03D10" w:rsidRPr="00EA656D" w:rsidRDefault="00D03D10" w:rsidP="003032A4">
      <w:pPr>
        <w:pStyle w:val="Heading2"/>
      </w:pPr>
      <w:r w:rsidRPr="00EA656D">
        <w:t xml:space="preserve">Supplemental data </w:t>
      </w:r>
      <w:r w:rsidR="00DC3CBF">
        <w:t>T</w:t>
      </w:r>
      <w:r w:rsidRPr="00EA656D">
        <w:t>5. Overview of technical validation for SNVs not due to a gene conversion</w:t>
      </w:r>
    </w:p>
    <w:p w14:paraId="64EFFCCA" w14:textId="5124D6E4" w:rsidR="00D03D10" w:rsidRPr="00EA656D" w:rsidRDefault="00D03D10" w:rsidP="003032A4">
      <w:pPr>
        <w:spacing w:line="480" w:lineRule="auto"/>
        <w:rPr>
          <w:lang w:val="en-GB"/>
        </w:rPr>
      </w:pPr>
      <w:r w:rsidRPr="00EA656D">
        <w:rPr>
          <w:lang w:val="en-GB"/>
        </w:rPr>
        <w:t xml:space="preserve">Column A indicates in which sample the variant was identified. Column B displays the variant call. In column C the corresponding variant in the </w:t>
      </w:r>
      <w:r w:rsidR="004D4CAF">
        <w:rPr>
          <w:lang w:val="en-GB"/>
        </w:rPr>
        <w:t>para</w:t>
      </w:r>
      <w:r w:rsidRPr="00EA656D">
        <w:rPr>
          <w:lang w:val="en-GB"/>
        </w:rPr>
        <w:t xml:space="preserve">logous region can be found. Column D indicates whether or not the variant was found in the VCF </w:t>
      </w:r>
      <w:r w:rsidR="008B3842" w:rsidRPr="00EA656D">
        <w:rPr>
          <w:lang w:val="en-GB"/>
        </w:rPr>
        <w:t xml:space="preserve">file </w:t>
      </w:r>
      <w:r w:rsidRPr="00EA656D">
        <w:rPr>
          <w:lang w:val="en-GB"/>
        </w:rPr>
        <w:t xml:space="preserve">of the LRS data. If so, the variant call is validated (column E). If not, the variant was manually checked </w:t>
      </w:r>
      <w:r w:rsidR="004644BA">
        <w:rPr>
          <w:lang w:val="en-GB"/>
        </w:rPr>
        <w:t>in the BAM file using</w:t>
      </w:r>
      <w:r w:rsidRPr="00EA656D">
        <w:rPr>
          <w:lang w:val="en-GB"/>
        </w:rPr>
        <w:t xml:space="preserve"> IGV. Column F indicates </w:t>
      </w:r>
      <w:r w:rsidRPr="00EA656D">
        <w:rPr>
          <w:lang w:val="en-GB"/>
        </w:rPr>
        <w:lastRenderedPageBreak/>
        <w:t xml:space="preserve">whether or not the variant was clearly visible in the reads. If so, the variant call is validated (column G). Column H summarizes the total validation status (column E OR column G). Column I indicates whether or not the variant is rare (cohort allele frequency ≤ 0.5%). </w:t>
      </w:r>
    </w:p>
    <w:p w14:paraId="153B0DA3" w14:textId="2BD834D6" w:rsidR="008871FB" w:rsidRPr="00EA656D" w:rsidRDefault="00B66294" w:rsidP="003032A4">
      <w:pPr>
        <w:pStyle w:val="Heading2"/>
      </w:pPr>
      <w:r w:rsidRPr="00EA656D">
        <w:t xml:space="preserve">Supplemental </w:t>
      </w:r>
      <w:r w:rsidR="00D03D10" w:rsidRPr="00EA656D">
        <w:t>data</w:t>
      </w:r>
      <w:r w:rsidR="008871FB" w:rsidRPr="00EA656D">
        <w:t xml:space="preserve"> </w:t>
      </w:r>
      <w:r w:rsidR="00DC3CBF">
        <w:t>T</w:t>
      </w:r>
      <w:r w:rsidR="008871FB" w:rsidRPr="00EA656D">
        <w:t>6. Overview of technical validation for gene conversions and deletions</w:t>
      </w:r>
      <w:r w:rsidRPr="00EA656D">
        <w:t>.</w:t>
      </w:r>
    </w:p>
    <w:p w14:paraId="70771730" w14:textId="1E0083E7" w:rsidR="008871FB" w:rsidRPr="00EA656D" w:rsidRDefault="008871FB" w:rsidP="003032A4">
      <w:pPr>
        <w:spacing w:line="480" w:lineRule="auto"/>
        <w:rPr>
          <w:lang w:val="en-GB"/>
        </w:rPr>
      </w:pPr>
      <w:r w:rsidRPr="00EA656D">
        <w:rPr>
          <w:lang w:val="en-GB"/>
        </w:rPr>
        <w:t>Column A indicates in which sample the variant was identified. Column B indicates whether the call is predicted to be a deletion or a gene conversion. Column F indicates whether or not the call is validated</w:t>
      </w:r>
      <w:r w:rsidR="00B66294" w:rsidRPr="00EA656D">
        <w:rPr>
          <w:lang w:val="en-GB"/>
        </w:rPr>
        <w:t>.</w:t>
      </w:r>
    </w:p>
    <w:p w14:paraId="23C1787C" w14:textId="4EF31215" w:rsidR="008871FB" w:rsidRPr="00EA656D" w:rsidRDefault="00B66294" w:rsidP="003032A4">
      <w:pPr>
        <w:pStyle w:val="Heading2"/>
      </w:pPr>
      <w:r w:rsidRPr="00EA656D">
        <w:t xml:space="preserve">Supplemental </w:t>
      </w:r>
      <w:r w:rsidR="00D03D10" w:rsidRPr="00EA656D">
        <w:t>data</w:t>
      </w:r>
      <w:r w:rsidR="008871FB" w:rsidRPr="00EA656D">
        <w:t xml:space="preserve"> </w:t>
      </w:r>
      <w:r w:rsidR="00DC3CBF">
        <w:t>T</w:t>
      </w:r>
      <w:r w:rsidR="008871FB" w:rsidRPr="00EA656D">
        <w:t>7. Technical overview of SNVs (not due to a gene conversion) in the trios</w:t>
      </w:r>
      <w:r w:rsidRPr="00EA656D">
        <w:t>.</w:t>
      </w:r>
    </w:p>
    <w:p w14:paraId="100588CC" w14:textId="6892ED27" w:rsidR="008871FB" w:rsidRDefault="008871FB" w:rsidP="003032A4">
      <w:pPr>
        <w:spacing w:line="480" w:lineRule="auto"/>
        <w:rPr>
          <w:lang w:val="en-GB"/>
        </w:rPr>
      </w:pPr>
      <w:r w:rsidRPr="00EA656D">
        <w:rPr>
          <w:lang w:val="en-GB"/>
        </w:rPr>
        <w:t>Column A shows the identifier for the particular child in each trio. There are 6,980 child-parent trios in total. Column B and D indicate the number of SNV calls in the particular proband (for 10% and 0.5% respectively). Column C and E indicate the number of variants that are not observed in the parents despite 60x read depth in the masked alignment (for 10% and 0.5% respectively; Methods). Overall, 99% of the variation that is observed in the child is inherited from one of the parents.</w:t>
      </w:r>
    </w:p>
    <w:p w14:paraId="3F5DA80A" w14:textId="1B2F4418" w:rsidR="008871FB" w:rsidRPr="00EA656D" w:rsidRDefault="00B66294" w:rsidP="003032A4">
      <w:pPr>
        <w:pStyle w:val="Heading2"/>
      </w:pPr>
      <w:r w:rsidRPr="00EA656D">
        <w:t xml:space="preserve">Supplemental </w:t>
      </w:r>
      <w:r w:rsidR="00D03D10" w:rsidRPr="00EA656D">
        <w:t>data</w:t>
      </w:r>
      <w:r w:rsidR="008871FB" w:rsidRPr="00EA656D">
        <w:t xml:space="preserve"> </w:t>
      </w:r>
      <w:r w:rsidR="00DC3CBF">
        <w:t>T</w:t>
      </w:r>
      <w:r w:rsidR="00BB072D">
        <w:t>8</w:t>
      </w:r>
      <w:r w:rsidR="008871FB" w:rsidRPr="00EA656D">
        <w:t>. Variants with ambiguous positions</w:t>
      </w:r>
      <w:r w:rsidRPr="00EA656D">
        <w:t>.</w:t>
      </w:r>
    </w:p>
    <w:p w14:paraId="07046EBD" w14:textId="370A1C03" w:rsidR="008871FB" w:rsidRPr="00EA656D" w:rsidRDefault="008871FB" w:rsidP="003032A4">
      <w:pPr>
        <w:spacing w:line="480" w:lineRule="auto"/>
        <w:rPr>
          <w:lang w:val="en-GB"/>
        </w:rPr>
      </w:pPr>
      <w:r w:rsidRPr="00EA656D">
        <w:rPr>
          <w:lang w:val="en-GB"/>
        </w:rPr>
        <w:t xml:space="preserve">Every variant call in the table either corresponds to a missense or LoF-variant (Genomic coordinate in column B; Ensembl consequence in column C; Canonical transcript in column D), or to a variant in the non-coding space of the genome (Genomic coordinate in column F; Ensembl consequence in column G; Canonical transcript in column H). LRS data allows us to evaluate which one of these 2 possible variants is the actual genomic alteration causing the variant call by Chameleolyser (column E for the coding and column I for the non-coding space).  </w:t>
      </w:r>
    </w:p>
    <w:p w14:paraId="5DCD7343" w14:textId="2CF6B858" w:rsidR="004D4CAF" w:rsidRDefault="004D4CAF" w:rsidP="004D4CAF">
      <w:pPr>
        <w:pStyle w:val="Heading2"/>
      </w:pPr>
      <w:r w:rsidRPr="00EA656D">
        <w:t xml:space="preserve">Supplemental data </w:t>
      </w:r>
      <w:r>
        <w:t>T</w:t>
      </w:r>
      <w:r w:rsidR="00BB072D">
        <w:t>9</w:t>
      </w:r>
      <w:r w:rsidRPr="00EA656D">
        <w:t>. Number of synonymous, missense and LoF variants identified by GATK in the full exome.</w:t>
      </w:r>
    </w:p>
    <w:p w14:paraId="147EC161" w14:textId="5504CAB9" w:rsidR="004D4CAF" w:rsidRPr="00BB072D" w:rsidRDefault="004D4CAF" w:rsidP="004D4CAF">
      <w:pPr>
        <w:spacing w:line="480" w:lineRule="auto"/>
        <w:rPr>
          <w:lang w:val="en-GB"/>
        </w:rPr>
      </w:pPr>
      <w:r w:rsidRPr="00EA656D">
        <w:rPr>
          <w:lang w:val="en-GB"/>
        </w:rPr>
        <w:t>Column A shows the identifier for the individual in the study cohort.</w:t>
      </w:r>
      <w:r>
        <w:rPr>
          <w:lang w:val="en-GB"/>
        </w:rPr>
        <w:t xml:space="preserve"> Column B, C and D respectively represent the number of synonymous, missense and LoF variants in the exome. </w:t>
      </w:r>
    </w:p>
    <w:p w14:paraId="171A25C3" w14:textId="100AD346" w:rsidR="00D03D10" w:rsidRDefault="00B66294" w:rsidP="00BF03D2">
      <w:pPr>
        <w:pStyle w:val="Heading2"/>
      </w:pPr>
      <w:r w:rsidRPr="00EA656D">
        <w:lastRenderedPageBreak/>
        <w:t xml:space="preserve">Supplemental </w:t>
      </w:r>
      <w:r w:rsidR="00D03D10" w:rsidRPr="00EA656D">
        <w:t xml:space="preserve">data </w:t>
      </w:r>
      <w:r w:rsidR="00DC3CBF">
        <w:t>T</w:t>
      </w:r>
      <w:r w:rsidR="0029357B">
        <w:t>1</w:t>
      </w:r>
      <w:r w:rsidR="00BB072D">
        <w:t>0</w:t>
      </w:r>
      <w:r w:rsidR="008871FB" w:rsidRPr="00EA656D">
        <w:t>. Number of synonymous, missense and LoF VAPs identified by Chameleolyser</w:t>
      </w:r>
      <w:r w:rsidRPr="00EA656D">
        <w:t>.</w:t>
      </w:r>
    </w:p>
    <w:p w14:paraId="396C8957" w14:textId="097CD6FE" w:rsidR="004D4CAF" w:rsidRPr="00BB072D" w:rsidRDefault="004D4CAF" w:rsidP="004D4CAF">
      <w:pPr>
        <w:spacing w:line="480" w:lineRule="auto"/>
        <w:rPr>
          <w:lang w:val="en-GB"/>
        </w:rPr>
      </w:pPr>
      <w:r w:rsidRPr="00EA656D">
        <w:rPr>
          <w:lang w:val="en-GB"/>
        </w:rPr>
        <w:t>Column A shows the identifier for the individual in the study cohort.</w:t>
      </w:r>
      <w:r>
        <w:rPr>
          <w:lang w:val="en-GB"/>
        </w:rPr>
        <w:t xml:space="preserve"> Column B, C and D respectively represent the number of synonymous, missense and LoF variants in the paralogous regions of the exome as determined by Chameleolyser. </w:t>
      </w:r>
    </w:p>
    <w:p w14:paraId="13A8B87B" w14:textId="27BC4DEC" w:rsidR="008871FB" w:rsidRPr="00EA656D" w:rsidRDefault="00B66294" w:rsidP="003032A4">
      <w:pPr>
        <w:pStyle w:val="Heading2"/>
      </w:pPr>
      <w:r w:rsidRPr="00EA656D">
        <w:t xml:space="preserve">Supplemental </w:t>
      </w:r>
      <w:r w:rsidR="00D03D10" w:rsidRPr="00EA656D">
        <w:t>data</w:t>
      </w:r>
      <w:r w:rsidR="008871FB" w:rsidRPr="00EA656D">
        <w:t xml:space="preserve"> </w:t>
      </w:r>
      <w:r w:rsidR="00DC3CBF">
        <w:t>T</w:t>
      </w:r>
      <w:r w:rsidR="008871FB" w:rsidRPr="00EA656D">
        <w:t>1</w:t>
      </w:r>
      <w:r w:rsidR="00BB072D">
        <w:t>1</w:t>
      </w:r>
      <w:r w:rsidR="008871FB" w:rsidRPr="00EA656D">
        <w:t>. Overview of the cohort of 41,755 WES samples</w:t>
      </w:r>
      <w:r w:rsidRPr="00EA656D">
        <w:t>.</w:t>
      </w:r>
    </w:p>
    <w:p w14:paraId="0639B0A2" w14:textId="6398C93A" w:rsidR="004465A9" w:rsidRPr="00EA656D" w:rsidRDefault="004465A9" w:rsidP="003032A4">
      <w:pPr>
        <w:spacing w:line="480" w:lineRule="auto"/>
        <w:rPr>
          <w:lang w:val="en-GB"/>
        </w:rPr>
      </w:pPr>
      <w:r w:rsidRPr="00EA656D">
        <w:rPr>
          <w:lang w:val="en-GB"/>
        </w:rPr>
        <w:t>Column A shows the identifier for the individual in the study cohort. Column B represents an identifier for the family. Column C indicates which member of the family the sample is (Child, father, mother or single sample). In column D the enrichment kit can be found. The type of sequencing machine that is used to generate the underlying data can be found in column E. Read length of the respective sequencing reads are displayed in column F. The molecular status before we conducted our analysis is displayed in column G.</w:t>
      </w:r>
    </w:p>
    <w:p w14:paraId="5A9C75A1" w14:textId="4AA295B1" w:rsidR="008871FB" w:rsidRPr="00EA656D" w:rsidRDefault="00B66294" w:rsidP="003032A4">
      <w:pPr>
        <w:pStyle w:val="Heading2"/>
      </w:pPr>
      <w:r w:rsidRPr="00EA656D">
        <w:t xml:space="preserve">Supplemental </w:t>
      </w:r>
      <w:r w:rsidR="00D03D10" w:rsidRPr="00EA656D">
        <w:t>data</w:t>
      </w:r>
      <w:r w:rsidR="008871FB" w:rsidRPr="00EA656D">
        <w:t xml:space="preserve"> </w:t>
      </w:r>
      <w:r w:rsidR="00DC3CBF">
        <w:t>T</w:t>
      </w:r>
      <w:r w:rsidR="008871FB" w:rsidRPr="00EA656D">
        <w:t>1</w:t>
      </w:r>
      <w:r w:rsidR="00BB072D">
        <w:t>2</w:t>
      </w:r>
      <w:r w:rsidR="008871FB" w:rsidRPr="00EA656D">
        <w:t>. SNVs (not due to gene conversions) of clinical interest</w:t>
      </w:r>
      <w:r w:rsidRPr="00EA656D">
        <w:t>.</w:t>
      </w:r>
    </w:p>
    <w:p w14:paraId="3F59751C" w14:textId="79CF322D" w:rsidR="008871FB" w:rsidRPr="00EA656D" w:rsidRDefault="00344BE3" w:rsidP="003032A4">
      <w:pPr>
        <w:spacing w:line="480" w:lineRule="auto"/>
        <w:rPr>
          <w:lang w:val="en-GB"/>
        </w:rPr>
      </w:pPr>
      <w:r w:rsidRPr="00EA656D">
        <w:rPr>
          <w:lang w:val="en-GB"/>
        </w:rPr>
        <w:t>Column A indicates in which sample the variant was identified. Column B corresponds to the variant call. Column C is the other possible genetic variant that could give rise to the variant call in column B</w:t>
      </w:r>
      <w:r w:rsidR="0081279A">
        <w:rPr>
          <w:lang w:val="en-GB"/>
        </w:rPr>
        <w:t xml:space="preserve"> (VAP)</w:t>
      </w:r>
      <w:r w:rsidRPr="00EA656D">
        <w:rPr>
          <w:lang w:val="en-GB"/>
        </w:rPr>
        <w:t xml:space="preserve">. The gene symbol is displayed in column D. The Ensembl consequence of the variant, relative to the canonical transcript (column F) is represented in column E. The variant allele fraction of the variant in the masked alignment is indicated in column G. </w:t>
      </w:r>
      <w:r w:rsidR="001F5101" w:rsidRPr="00EA656D">
        <w:rPr>
          <w:lang w:val="en-GB"/>
        </w:rPr>
        <w:t>The number of times that the variant is observed in the study cohort can be found in column H. Whether or not the variant is wet-lab tested i</w:t>
      </w:r>
      <w:r w:rsidR="00941D8D">
        <w:rPr>
          <w:lang w:val="en-GB"/>
        </w:rPr>
        <w:t>s</w:t>
      </w:r>
      <w:r w:rsidR="001F5101" w:rsidRPr="00EA656D">
        <w:rPr>
          <w:lang w:val="en-GB"/>
        </w:rPr>
        <w:t xml:space="preserve"> depicted in column I. In case the variant is confirmed as an alteration of the protein coding gene, a ‘1’ is displayed in the very last column. </w:t>
      </w:r>
    </w:p>
    <w:p w14:paraId="09FB10E8" w14:textId="1D92D064" w:rsidR="008871FB" w:rsidRPr="00EA656D" w:rsidRDefault="00B66294" w:rsidP="003032A4">
      <w:pPr>
        <w:pStyle w:val="Heading2"/>
      </w:pPr>
      <w:r w:rsidRPr="00EA656D">
        <w:t xml:space="preserve">Supplemental </w:t>
      </w:r>
      <w:r w:rsidR="00D03D10" w:rsidRPr="00EA656D">
        <w:t xml:space="preserve">data </w:t>
      </w:r>
      <w:r w:rsidR="00DC3CBF">
        <w:t>T</w:t>
      </w:r>
      <w:r w:rsidR="008871FB" w:rsidRPr="00EA656D">
        <w:t>1</w:t>
      </w:r>
      <w:r w:rsidR="00BB072D">
        <w:t>3</w:t>
      </w:r>
      <w:r w:rsidR="008871FB" w:rsidRPr="00EA656D">
        <w:t>. Homozygous ectopic gene conversions of clinical interest.</w:t>
      </w:r>
    </w:p>
    <w:p w14:paraId="622D7719" w14:textId="1CC4D239" w:rsidR="001F5101" w:rsidRDefault="0032075E" w:rsidP="003032A4">
      <w:pPr>
        <w:spacing w:line="480" w:lineRule="auto"/>
        <w:rPr>
          <w:lang w:val="en-GB"/>
        </w:rPr>
      </w:pPr>
      <w:r w:rsidRPr="00EA656D">
        <w:rPr>
          <w:lang w:val="en-GB"/>
        </w:rPr>
        <w:t>Column A indicates in which sample the variant was identified. Column B,</w:t>
      </w:r>
      <w:r w:rsidR="00941D8D">
        <w:rPr>
          <w:lang w:val="en-GB"/>
        </w:rPr>
        <w:t xml:space="preserve"> </w:t>
      </w:r>
      <w:r w:rsidRPr="00EA656D">
        <w:rPr>
          <w:lang w:val="en-GB"/>
        </w:rPr>
        <w:t xml:space="preserve">C and D respectively represent the chromosome, genomic start and genomic end of the ectopic gene conversion event. The number of times the event is observed in our study cohort can be seen in column E. The variant that is introduced by means of the gene conversion can be found in column F. Gene symbol and the </w:t>
      </w:r>
      <w:r w:rsidRPr="00EA656D">
        <w:rPr>
          <w:lang w:val="en-GB"/>
        </w:rPr>
        <w:lastRenderedPageBreak/>
        <w:t>Ensembl consequence of the variant (relative to the canonical transcript) can respectively be found in columns G and H.</w:t>
      </w:r>
    </w:p>
    <w:p w14:paraId="4AAE6865" w14:textId="5D290693" w:rsidR="00DC3CBF" w:rsidRPr="00EA656D" w:rsidRDefault="00DC3CBF" w:rsidP="00DC3CBF">
      <w:pPr>
        <w:pStyle w:val="Heading2"/>
      </w:pPr>
      <w:r w:rsidRPr="00EA656D">
        <w:t xml:space="preserve">Supplemental data </w:t>
      </w:r>
      <w:r>
        <w:t>T1</w:t>
      </w:r>
      <w:r w:rsidR="00BB072D">
        <w:t>4</w:t>
      </w:r>
      <w:r w:rsidRPr="00EA656D">
        <w:t xml:space="preserve">. </w:t>
      </w:r>
      <w:r w:rsidRPr="00004E40">
        <w:rPr>
          <w:i/>
          <w:iCs/>
        </w:rPr>
        <w:t>STRC</w:t>
      </w:r>
      <w:r w:rsidRPr="00EA656D">
        <w:t xml:space="preserve"> and </w:t>
      </w:r>
      <w:r w:rsidRPr="00004E40">
        <w:rPr>
          <w:i/>
          <w:iCs/>
        </w:rPr>
        <w:t>STRCP1</w:t>
      </w:r>
      <w:r w:rsidRPr="00EA656D">
        <w:t xml:space="preserve"> coverage for the </w:t>
      </w:r>
      <w:r w:rsidR="0040399B">
        <w:t>study</w:t>
      </w:r>
      <w:r w:rsidRPr="00EA656D">
        <w:t xml:space="preserve"> cohort.</w:t>
      </w:r>
    </w:p>
    <w:p w14:paraId="11B3AAD3" w14:textId="2260B300" w:rsidR="00DC3CBF" w:rsidRPr="00EA656D" w:rsidRDefault="00DC3CBF" w:rsidP="003032A4">
      <w:pPr>
        <w:spacing w:line="480" w:lineRule="auto"/>
        <w:rPr>
          <w:lang w:val="en-GB"/>
        </w:rPr>
      </w:pPr>
      <w:r w:rsidRPr="00EA656D">
        <w:rPr>
          <w:lang w:val="en-GB"/>
        </w:rPr>
        <w:t xml:space="preserve">Data table corresponding to </w:t>
      </w:r>
      <w:r w:rsidR="0081279A">
        <w:rPr>
          <w:lang w:val="en-GB"/>
        </w:rPr>
        <w:t>supplementary f</w:t>
      </w:r>
      <w:r w:rsidRPr="00EA656D">
        <w:rPr>
          <w:lang w:val="en-GB"/>
        </w:rPr>
        <w:t xml:space="preserve">igure 4. Column A represents the sample. Column B represents the number of reads that uniquely align onto the last 6 exons of </w:t>
      </w:r>
      <w:r w:rsidRPr="00EA656D">
        <w:rPr>
          <w:i/>
          <w:iCs/>
          <w:lang w:val="en-GB"/>
        </w:rPr>
        <w:t>STRC</w:t>
      </w:r>
      <w:r w:rsidRPr="00EA656D">
        <w:rPr>
          <w:lang w:val="en-GB"/>
        </w:rPr>
        <w:t xml:space="preserve">. The number of reads that align uniquely onto the </w:t>
      </w:r>
      <w:r w:rsidR="0081279A">
        <w:rPr>
          <w:lang w:val="en-GB"/>
        </w:rPr>
        <w:t>para</w:t>
      </w:r>
      <w:r w:rsidRPr="00EA656D">
        <w:rPr>
          <w:lang w:val="en-GB"/>
        </w:rPr>
        <w:t xml:space="preserve">logous sequence of </w:t>
      </w:r>
      <w:r w:rsidRPr="00EA656D">
        <w:rPr>
          <w:i/>
          <w:iCs/>
          <w:lang w:val="en-GB"/>
        </w:rPr>
        <w:t>STRCP1</w:t>
      </w:r>
      <w:r w:rsidRPr="00EA656D">
        <w:rPr>
          <w:lang w:val="en-GB"/>
        </w:rPr>
        <w:t xml:space="preserve"> are displayed in column C. The ratio (column B divided by column C) can be found in column D. The percentage of all reads </w:t>
      </w:r>
      <w:r w:rsidR="0040399B">
        <w:rPr>
          <w:lang w:val="en-GB"/>
        </w:rPr>
        <w:t xml:space="preserve">that </w:t>
      </w:r>
      <w:r w:rsidRPr="00EA656D">
        <w:rPr>
          <w:lang w:val="en-GB"/>
        </w:rPr>
        <w:t xml:space="preserve">originate from </w:t>
      </w:r>
      <w:r w:rsidRPr="00004E40">
        <w:rPr>
          <w:i/>
          <w:iCs/>
          <w:lang w:val="en-GB"/>
        </w:rPr>
        <w:t>STRC</w:t>
      </w:r>
      <w:r w:rsidRPr="00EA656D">
        <w:rPr>
          <w:lang w:val="en-GB"/>
        </w:rPr>
        <w:t xml:space="preserve"> can be found in column E (B/(B+C)). Based on this, the number of </w:t>
      </w:r>
      <w:r w:rsidRPr="00EA656D">
        <w:rPr>
          <w:i/>
          <w:iCs/>
          <w:lang w:val="en-GB"/>
        </w:rPr>
        <w:t>STRC</w:t>
      </w:r>
      <w:r w:rsidRPr="00EA656D">
        <w:rPr>
          <w:lang w:val="en-GB"/>
        </w:rPr>
        <w:t xml:space="preserve"> and </w:t>
      </w:r>
      <w:r w:rsidRPr="00EA656D">
        <w:rPr>
          <w:i/>
          <w:iCs/>
          <w:lang w:val="en-GB"/>
        </w:rPr>
        <w:t>STRCP1</w:t>
      </w:r>
      <w:r w:rsidRPr="00EA656D">
        <w:rPr>
          <w:lang w:val="en-GB"/>
        </w:rPr>
        <w:t xml:space="preserve"> copies can be estimated (the estimate correspond</w:t>
      </w:r>
      <w:r w:rsidR="0040399B">
        <w:rPr>
          <w:lang w:val="en-GB"/>
        </w:rPr>
        <w:t>s</w:t>
      </w:r>
      <w:r w:rsidRPr="00EA656D">
        <w:rPr>
          <w:lang w:val="en-GB"/>
        </w:rPr>
        <w:t xml:space="preserve"> to the closest theoretical ratio, see </w:t>
      </w:r>
      <w:r w:rsidR="0040399B">
        <w:rPr>
          <w:lang w:val="en-GB"/>
        </w:rPr>
        <w:t xml:space="preserve">supplementary </w:t>
      </w:r>
      <w:r w:rsidRPr="00EA656D">
        <w:rPr>
          <w:lang w:val="en-GB"/>
        </w:rPr>
        <w:t xml:space="preserve">figure 4). In case the deafness disease gene panel was requested, a ‘1’ is displayed in column H. </w:t>
      </w:r>
    </w:p>
    <w:p w14:paraId="7FC44368" w14:textId="0E35BEE7" w:rsidR="008871FB" w:rsidRPr="00EA656D" w:rsidRDefault="00B66294" w:rsidP="003032A4">
      <w:pPr>
        <w:pStyle w:val="Heading2"/>
      </w:pPr>
      <w:r w:rsidRPr="00EA656D">
        <w:t xml:space="preserve">Supplemental </w:t>
      </w:r>
      <w:r w:rsidR="00D03D10" w:rsidRPr="00EA656D">
        <w:t xml:space="preserve">data </w:t>
      </w:r>
      <w:r w:rsidR="00DC3CBF">
        <w:t>T</w:t>
      </w:r>
      <w:r w:rsidR="008871FB" w:rsidRPr="00EA656D">
        <w:t>1</w:t>
      </w:r>
      <w:r w:rsidR="00BB072D">
        <w:t>5</w:t>
      </w:r>
      <w:r w:rsidR="008871FB" w:rsidRPr="00EA656D">
        <w:t>. Homozygous deletions of clinical interest.</w:t>
      </w:r>
    </w:p>
    <w:p w14:paraId="2FBD6FAA" w14:textId="72BFC7A9" w:rsidR="0032075E" w:rsidRPr="00EA656D" w:rsidRDefault="0032075E" w:rsidP="003032A4">
      <w:pPr>
        <w:spacing w:line="480" w:lineRule="auto"/>
        <w:rPr>
          <w:lang w:val="en-GB"/>
        </w:rPr>
      </w:pPr>
      <w:r w:rsidRPr="00EA656D">
        <w:rPr>
          <w:lang w:val="en-GB"/>
        </w:rPr>
        <w:t>Column A indicates in which sample the deletion was identified. Column B,</w:t>
      </w:r>
      <w:r w:rsidR="00645FBD">
        <w:rPr>
          <w:lang w:val="en-GB"/>
        </w:rPr>
        <w:t xml:space="preserve"> </w:t>
      </w:r>
      <w:r w:rsidRPr="00EA656D">
        <w:rPr>
          <w:lang w:val="en-GB"/>
        </w:rPr>
        <w:t xml:space="preserve">C and D respectively represent the chromosome, genomic start and genomic end of the event. The number of times the event is observed in our study cohort can be seen in column E. The gene symbol of the gene that is affected by the deletion can be found in column F. </w:t>
      </w:r>
    </w:p>
    <w:p w14:paraId="4C796EB1" w14:textId="1B65715D" w:rsidR="00B66294" w:rsidRPr="00EA656D" w:rsidRDefault="00B66294" w:rsidP="003032A4">
      <w:pPr>
        <w:pStyle w:val="Heading2"/>
      </w:pPr>
      <w:r w:rsidRPr="00EA656D">
        <w:t xml:space="preserve">Supplemental </w:t>
      </w:r>
      <w:r w:rsidR="00D03D10" w:rsidRPr="00EA656D">
        <w:t xml:space="preserve">data </w:t>
      </w:r>
      <w:r w:rsidR="00DC3CBF">
        <w:t>T1</w:t>
      </w:r>
      <w:r w:rsidR="00BB072D">
        <w:t>6</w:t>
      </w:r>
      <w:r w:rsidR="008871FB" w:rsidRPr="00EA656D">
        <w:t xml:space="preserve">. Homozygous </w:t>
      </w:r>
      <w:r w:rsidR="00004E40" w:rsidRPr="00004E40">
        <w:rPr>
          <w:i/>
          <w:iCs/>
        </w:rPr>
        <w:t>STRC</w:t>
      </w:r>
      <w:r w:rsidR="00004E40">
        <w:t xml:space="preserve"> </w:t>
      </w:r>
      <w:r w:rsidR="008871FB" w:rsidRPr="00EA656D">
        <w:t>deletions and gene conversions in patients with hearing impairment.</w:t>
      </w:r>
    </w:p>
    <w:p w14:paraId="2AAE06A1" w14:textId="168A7775" w:rsidR="008871FB" w:rsidRDefault="008871FB" w:rsidP="003032A4">
      <w:pPr>
        <w:spacing w:line="480" w:lineRule="auto"/>
        <w:rPr>
          <w:lang w:val="en-GB"/>
        </w:rPr>
      </w:pPr>
      <w:r w:rsidRPr="00EA656D">
        <w:rPr>
          <w:lang w:val="en-GB"/>
        </w:rPr>
        <w:t>Amongst the group of patients with hearing impairment, 5</w:t>
      </w:r>
      <w:r w:rsidR="0032075E" w:rsidRPr="00EA656D">
        <w:rPr>
          <w:lang w:val="en-GB"/>
        </w:rPr>
        <w:t>8</w:t>
      </w:r>
      <w:r w:rsidRPr="00EA656D">
        <w:rPr>
          <w:lang w:val="en-GB"/>
        </w:rPr>
        <w:t xml:space="preserve"> homozygous</w:t>
      </w:r>
      <w:r w:rsidR="00004E40">
        <w:rPr>
          <w:lang w:val="en-GB"/>
        </w:rPr>
        <w:t xml:space="preserve"> </w:t>
      </w:r>
      <w:r w:rsidR="00004E40" w:rsidRPr="00004E40">
        <w:rPr>
          <w:i/>
          <w:iCs/>
          <w:lang w:val="en-GB"/>
        </w:rPr>
        <w:t>STRC</w:t>
      </w:r>
      <w:r w:rsidRPr="00EA656D">
        <w:rPr>
          <w:lang w:val="en-GB"/>
        </w:rPr>
        <w:t xml:space="preserve"> deletions were identified with WES. MLPA confirmed these events</w:t>
      </w:r>
      <w:r w:rsidR="0032075E" w:rsidRPr="00EA656D">
        <w:rPr>
          <w:lang w:val="en-GB"/>
        </w:rPr>
        <w:t xml:space="preserve"> (column F)</w:t>
      </w:r>
      <w:r w:rsidRPr="00EA656D">
        <w:rPr>
          <w:lang w:val="en-GB"/>
        </w:rPr>
        <w:t xml:space="preserve">. With Cameleolyser, 22 of these </w:t>
      </w:r>
      <w:r w:rsidR="0032075E" w:rsidRPr="00EA656D">
        <w:rPr>
          <w:lang w:val="en-GB"/>
        </w:rPr>
        <w:t>events are predicted to be gene conversions</w:t>
      </w:r>
      <w:r w:rsidRPr="00EA656D">
        <w:rPr>
          <w:lang w:val="en-GB"/>
        </w:rPr>
        <w:t xml:space="preserve"> instead of </w:t>
      </w:r>
      <w:r w:rsidR="0032075E" w:rsidRPr="00EA656D">
        <w:rPr>
          <w:lang w:val="en-GB"/>
        </w:rPr>
        <w:t>deletions (column E).</w:t>
      </w:r>
      <w:r w:rsidR="003807FF" w:rsidRPr="00EA656D">
        <w:rPr>
          <w:lang w:val="en-GB"/>
        </w:rPr>
        <w:t xml:space="preserve"> Respective sample and genomic coordinates can be found in columns A-D.</w:t>
      </w:r>
    </w:p>
    <w:p w14:paraId="4A1FF6B1" w14:textId="713C4E55" w:rsidR="00626912" w:rsidRDefault="00626912" w:rsidP="00626912">
      <w:pPr>
        <w:pStyle w:val="Heading2"/>
      </w:pPr>
      <w:r w:rsidRPr="00EA656D">
        <w:t xml:space="preserve">Supplemental data </w:t>
      </w:r>
      <w:r>
        <w:t>T17</w:t>
      </w:r>
      <w:r w:rsidRPr="00EA656D">
        <w:t xml:space="preserve">. </w:t>
      </w:r>
      <w:r w:rsidR="002F7DA4">
        <w:t>Homozygous conversions from STRCP1 to STRC that do not introduce LoF variants into STRC</w:t>
      </w:r>
    </w:p>
    <w:p w14:paraId="591579D3" w14:textId="45A1B3E7" w:rsidR="00DA2034" w:rsidRPr="00EA656D" w:rsidRDefault="002F7DA4" w:rsidP="002F7DA4">
      <w:pPr>
        <w:spacing w:line="480" w:lineRule="auto"/>
        <w:rPr>
          <w:lang w:val="en-GB"/>
        </w:rPr>
      </w:pPr>
      <w:r>
        <w:rPr>
          <w:lang w:val="en-GB"/>
        </w:rPr>
        <w:t xml:space="preserve">In our cohort of 41,755 we identified 47 ectopic gene conversions from </w:t>
      </w:r>
      <w:r w:rsidRPr="002F7DA4">
        <w:rPr>
          <w:i/>
          <w:iCs/>
          <w:lang w:val="en-GB"/>
        </w:rPr>
        <w:t>STRCP1</w:t>
      </w:r>
      <w:r>
        <w:rPr>
          <w:lang w:val="en-GB"/>
        </w:rPr>
        <w:t xml:space="preserve"> to </w:t>
      </w:r>
      <w:r w:rsidRPr="002F7DA4">
        <w:rPr>
          <w:i/>
          <w:iCs/>
          <w:lang w:val="en-GB"/>
        </w:rPr>
        <w:t>STRC</w:t>
      </w:r>
      <w:r>
        <w:rPr>
          <w:lang w:val="en-GB"/>
        </w:rPr>
        <w:t xml:space="preserve"> that do not introduce LoF variants into STRC. Column A represents the identifier of the </w:t>
      </w:r>
      <w:r w:rsidR="00AC382C">
        <w:rPr>
          <w:lang w:val="en-GB"/>
        </w:rPr>
        <w:t xml:space="preserve">individual. Columns B, C and D correspond to respectively the chromosome, genomic start and genomic end of each event. </w:t>
      </w:r>
      <w:r w:rsidR="00AC382C">
        <w:rPr>
          <w:lang w:val="en-GB"/>
        </w:rPr>
        <w:lastRenderedPageBreak/>
        <w:t>For clarity it is also indicated that all of these events are called as homozygous gene conversion events with Chameleolyser (column E) and homozygous deletions with Exome Depth (column F).</w:t>
      </w:r>
    </w:p>
    <w:p w14:paraId="14827A58" w14:textId="3BF1F6CE" w:rsidR="00A42F23" w:rsidRPr="00EA656D" w:rsidRDefault="00D03D10" w:rsidP="003032A4">
      <w:pPr>
        <w:pStyle w:val="Heading2"/>
      </w:pPr>
      <w:r w:rsidRPr="00EA656D">
        <w:t xml:space="preserve">Supplemental data </w:t>
      </w:r>
      <w:r w:rsidR="00DC3CBF">
        <w:t>T</w:t>
      </w:r>
      <w:r w:rsidR="00BB072D">
        <w:t>1</w:t>
      </w:r>
      <w:r w:rsidR="00604E43">
        <w:t>8</w:t>
      </w:r>
      <w:r w:rsidR="008871FB" w:rsidRPr="00EA656D">
        <w:t xml:space="preserve">. Overview of all genes implicated in the homology analysis. </w:t>
      </w:r>
    </w:p>
    <w:p w14:paraId="3F385DF8" w14:textId="5F07B9EB" w:rsidR="00A42F23" w:rsidRPr="00EA656D" w:rsidRDefault="00A42F23" w:rsidP="003032A4">
      <w:pPr>
        <w:spacing w:line="480" w:lineRule="auto"/>
        <w:rPr>
          <w:lang w:val="en-GB"/>
        </w:rPr>
      </w:pPr>
      <w:r w:rsidRPr="00EA656D">
        <w:rPr>
          <w:lang w:val="en-GB"/>
        </w:rPr>
        <w:t>Column A represents the gene symbol</w:t>
      </w:r>
      <w:r w:rsidR="00B23DC9" w:rsidRPr="00EA656D">
        <w:rPr>
          <w:lang w:val="en-GB"/>
        </w:rPr>
        <w:t xml:space="preserve"> of the gene </w:t>
      </w:r>
      <w:r w:rsidR="00D17FAC">
        <w:rPr>
          <w:lang w:val="en-GB"/>
        </w:rPr>
        <w:t xml:space="preserve">that is </w:t>
      </w:r>
      <w:r w:rsidR="00B23DC9" w:rsidRPr="00EA656D">
        <w:rPr>
          <w:lang w:val="en-GB"/>
        </w:rPr>
        <w:t>affected by sequence homology and therefore incorporated in our homology study</w:t>
      </w:r>
      <w:r w:rsidRPr="00EA656D">
        <w:rPr>
          <w:lang w:val="en-GB"/>
        </w:rPr>
        <w:t xml:space="preserve">. In column B the type of the gene product can be found (Ensembl 97). Ensembl stable gene id and stable canonical transcript id can respectively be found in columns </w:t>
      </w:r>
      <w:r w:rsidR="00B23DC9" w:rsidRPr="00EA656D">
        <w:rPr>
          <w:lang w:val="en-GB"/>
        </w:rPr>
        <w:t>C</w:t>
      </w:r>
      <w:r w:rsidRPr="00EA656D">
        <w:rPr>
          <w:lang w:val="en-GB"/>
        </w:rPr>
        <w:t xml:space="preserve"> and </w:t>
      </w:r>
      <w:r w:rsidR="00B23DC9" w:rsidRPr="00EA656D">
        <w:rPr>
          <w:lang w:val="en-GB"/>
        </w:rPr>
        <w:t>D</w:t>
      </w:r>
      <w:r w:rsidRPr="00EA656D">
        <w:rPr>
          <w:lang w:val="en-GB"/>
        </w:rPr>
        <w:t xml:space="preserve">. If </w:t>
      </w:r>
      <w:r w:rsidR="00B23DC9" w:rsidRPr="00EA656D">
        <w:rPr>
          <w:lang w:val="en-GB"/>
        </w:rPr>
        <w:t>coding exons of the canonical transcript are affected, they are listed in column E. Column F represents the ratio of exons that are involved in the analyses and the total number of exons in the canonical transcript. The total number of coding exons, over all transcripts, is displayed in column G. The number of coding bases can be found in column H. The phenotype that is linked to the respective gene is shown in the last column.</w:t>
      </w:r>
    </w:p>
    <w:p w14:paraId="2210C509" w14:textId="241FA938" w:rsidR="009B6ACB" w:rsidRPr="00EA656D" w:rsidRDefault="009B6ACB" w:rsidP="003032A4">
      <w:pPr>
        <w:pStyle w:val="Heading2"/>
      </w:pPr>
      <w:r w:rsidRPr="00EA656D">
        <w:t xml:space="preserve">Supplemental data </w:t>
      </w:r>
      <w:r w:rsidR="00DC3CBF">
        <w:t>T</w:t>
      </w:r>
      <w:r w:rsidR="00604E43">
        <w:t>19</w:t>
      </w:r>
      <w:r w:rsidRPr="00EA656D">
        <w:t xml:space="preserve">. Genomic alignment between </w:t>
      </w:r>
      <w:r w:rsidRPr="00EA656D">
        <w:rPr>
          <w:i/>
          <w:iCs/>
        </w:rPr>
        <w:t>CELA3A</w:t>
      </w:r>
      <w:r w:rsidRPr="00EA656D">
        <w:t xml:space="preserve"> (chr1:22338346-22339613) and </w:t>
      </w:r>
      <w:r w:rsidRPr="00EA656D">
        <w:rPr>
          <w:i/>
          <w:iCs/>
        </w:rPr>
        <w:t>CELA3B</w:t>
      </w:r>
      <w:r w:rsidRPr="00EA656D">
        <w:t xml:space="preserve">  (chr1:22315158-22316429). </w:t>
      </w:r>
    </w:p>
    <w:p w14:paraId="7863B45F" w14:textId="14FB2254" w:rsidR="009B6ACB" w:rsidRPr="00EA656D" w:rsidRDefault="009B6ACB" w:rsidP="003032A4">
      <w:pPr>
        <w:spacing w:line="480" w:lineRule="auto"/>
        <w:rPr>
          <w:lang w:val="en-GB"/>
        </w:rPr>
      </w:pPr>
      <w:r w:rsidRPr="00EA656D">
        <w:rPr>
          <w:lang w:val="en-GB"/>
        </w:rPr>
        <w:t xml:space="preserve">An ectopic gene conversion from </w:t>
      </w:r>
      <w:r w:rsidRPr="00004E40">
        <w:rPr>
          <w:i/>
          <w:iCs/>
          <w:lang w:val="en-GB"/>
        </w:rPr>
        <w:t>CELA3B</w:t>
      </w:r>
      <w:r w:rsidRPr="00EA656D">
        <w:rPr>
          <w:lang w:val="en-GB"/>
        </w:rPr>
        <w:t xml:space="preserve"> to </w:t>
      </w:r>
      <w:r w:rsidRPr="00004E40">
        <w:rPr>
          <w:i/>
          <w:iCs/>
          <w:lang w:val="en-GB"/>
        </w:rPr>
        <w:t>CELA3A</w:t>
      </w:r>
      <w:r w:rsidRPr="00EA656D">
        <w:rPr>
          <w:lang w:val="en-GB"/>
        </w:rPr>
        <w:t xml:space="preserve"> introduces variants into </w:t>
      </w:r>
      <w:r w:rsidRPr="00004E40">
        <w:rPr>
          <w:i/>
          <w:iCs/>
          <w:lang w:val="en-GB"/>
        </w:rPr>
        <w:t>CELA3A</w:t>
      </w:r>
      <w:r w:rsidRPr="00EA656D">
        <w:rPr>
          <w:lang w:val="en-GB"/>
        </w:rPr>
        <w:t xml:space="preserve">, i.e. the sequence differences between both genes.  </w:t>
      </w:r>
    </w:p>
    <w:p w14:paraId="36EDEF25" w14:textId="6C60D697" w:rsidR="008871FB" w:rsidRPr="00EA656D" w:rsidRDefault="00D03D10" w:rsidP="003032A4">
      <w:pPr>
        <w:pStyle w:val="Heading2"/>
      </w:pPr>
      <w:r w:rsidRPr="00EA656D">
        <w:t>Supplemental data</w:t>
      </w:r>
      <w:r w:rsidR="008871FB" w:rsidRPr="00EA656D">
        <w:t xml:space="preserve"> </w:t>
      </w:r>
      <w:r w:rsidR="00DC3CBF">
        <w:t>T</w:t>
      </w:r>
      <w:r w:rsidR="008871FB" w:rsidRPr="00EA656D">
        <w:t>2</w:t>
      </w:r>
      <w:r w:rsidR="00604E43">
        <w:t>0</w:t>
      </w:r>
      <w:r w:rsidR="008871FB" w:rsidRPr="00EA656D">
        <w:t xml:space="preserve">. </w:t>
      </w:r>
      <w:r w:rsidR="00474624" w:rsidRPr="00EA656D">
        <w:t>List</w:t>
      </w:r>
      <w:r w:rsidR="008871FB" w:rsidRPr="00EA656D">
        <w:t xml:space="preserve"> of variant calling regions.</w:t>
      </w:r>
    </w:p>
    <w:p w14:paraId="17F88054" w14:textId="60A6FC7A" w:rsidR="009B6ACB" w:rsidRPr="00EA656D" w:rsidRDefault="009B6ACB" w:rsidP="003032A4">
      <w:pPr>
        <w:spacing w:line="480" w:lineRule="auto"/>
        <w:rPr>
          <w:lang w:val="en-GB"/>
        </w:rPr>
      </w:pPr>
      <w:r w:rsidRPr="00EA656D">
        <w:rPr>
          <w:lang w:val="en-GB"/>
        </w:rPr>
        <w:t>Column A, B and C respectively represent the chromosome, start and end of the variant calling regions in this study.</w:t>
      </w:r>
    </w:p>
    <w:p w14:paraId="665E7CBD" w14:textId="7D323F21" w:rsidR="008871FB" w:rsidRPr="00EA656D" w:rsidRDefault="00D03D10" w:rsidP="003032A4">
      <w:pPr>
        <w:pStyle w:val="Heading2"/>
      </w:pPr>
      <w:r w:rsidRPr="00EA656D">
        <w:t xml:space="preserve">Supplemental data </w:t>
      </w:r>
      <w:r w:rsidR="00DC3CBF">
        <w:t>T</w:t>
      </w:r>
      <w:r w:rsidR="008871FB" w:rsidRPr="00EA656D">
        <w:t>2</w:t>
      </w:r>
      <w:r w:rsidR="00604E43">
        <w:t>1</w:t>
      </w:r>
      <w:r w:rsidR="008871FB" w:rsidRPr="00EA656D">
        <w:t xml:space="preserve">. </w:t>
      </w:r>
      <w:r w:rsidR="00474624" w:rsidRPr="00EA656D">
        <w:t xml:space="preserve">List </w:t>
      </w:r>
      <w:r w:rsidR="008871FB" w:rsidRPr="00EA656D">
        <w:t>of regions for read extraction.</w:t>
      </w:r>
    </w:p>
    <w:p w14:paraId="43F7E82B" w14:textId="77D5C8EF" w:rsidR="009B6ACB" w:rsidRPr="00EA656D" w:rsidRDefault="009B6ACB" w:rsidP="003032A4">
      <w:pPr>
        <w:spacing w:line="480" w:lineRule="auto"/>
        <w:rPr>
          <w:lang w:val="en-GB"/>
        </w:rPr>
      </w:pPr>
      <w:r w:rsidRPr="00EA656D">
        <w:rPr>
          <w:lang w:val="en-GB"/>
        </w:rPr>
        <w:t>Column A, B and C respectively represent the chromosome, start and end of the read extraction regions in this study.</w:t>
      </w:r>
    </w:p>
    <w:p w14:paraId="51E44250" w14:textId="7F87359D" w:rsidR="008871FB" w:rsidRPr="00EA656D" w:rsidRDefault="00D03D10" w:rsidP="003032A4">
      <w:pPr>
        <w:pStyle w:val="Heading2"/>
      </w:pPr>
      <w:r w:rsidRPr="00EA656D">
        <w:t>Supplemental data</w:t>
      </w:r>
      <w:r w:rsidR="008871FB" w:rsidRPr="00EA656D">
        <w:t xml:space="preserve"> </w:t>
      </w:r>
      <w:r w:rsidR="00DC3CBF">
        <w:t>T</w:t>
      </w:r>
      <w:r w:rsidR="008871FB" w:rsidRPr="00EA656D">
        <w:t>2</w:t>
      </w:r>
      <w:r w:rsidR="00604E43">
        <w:t>2</w:t>
      </w:r>
      <w:r w:rsidR="008871FB" w:rsidRPr="00EA656D">
        <w:t xml:space="preserve">. </w:t>
      </w:r>
      <w:r w:rsidR="00474624" w:rsidRPr="00EA656D">
        <w:t xml:space="preserve">List </w:t>
      </w:r>
      <w:r w:rsidR="008871FB" w:rsidRPr="00EA656D">
        <w:t>of regions to be masked in re-alignment of extracted reads.</w:t>
      </w:r>
    </w:p>
    <w:p w14:paraId="4C1E5CC2" w14:textId="2CF687CC" w:rsidR="009B6ACB" w:rsidRPr="00EA656D" w:rsidRDefault="009B6ACB" w:rsidP="003032A4">
      <w:pPr>
        <w:spacing w:line="480" w:lineRule="auto"/>
        <w:rPr>
          <w:lang w:val="en-GB"/>
        </w:rPr>
      </w:pPr>
      <w:r w:rsidRPr="00EA656D">
        <w:rPr>
          <w:lang w:val="en-GB"/>
        </w:rPr>
        <w:t>Column A, B and C respectively represent the chromosome, start and end of the regions that are masked in the reference sequence in the re-alignment of the extracted reads.</w:t>
      </w:r>
    </w:p>
    <w:p w14:paraId="3543990D" w14:textId="5EB4E040" w:rsidR="008871FB" w:rsidRPr="00EA656D" w:rsidRDefault="00D03D10" w:rsidP="003032A4">
      <w:pPr>
        <w:pStyle w:val="Heading2"/>
      </w:pPr>
      <w:r w:rsidRPr="00EA656D">
        <w:lastRenderedPageBreak/>
        <w:t>Supplemental data</w:t>
      </w:r>
      <w:r w:rsidR="008871FB" w:rsidRPr="00EA656D">
        <w:t xml:space="preserve"> </w:t>
      </w:r>
      <w:r w:rsidR="00DC3CBF">
        <w:t>T</w:t>
      </w:r>
      <w:r w:rsidR="008871FB" w:rsidRPr="00EA656D">
        <w:t>2</w:t>
      </w:r>
      <w:r w:rsidR="00604E43">
        <w:t>3</w:t>
      </w:r>
      <w:r w:rsidR="008871FB" w:rsidRPr="00EA656D">
        <w:t>. Overview of subregions for deletion and gene conversion calling.</w:t>
      </w:r>
    </w:p>
    <w:p w14:paraId="1F19D045" w14:textId="08C45995" w:rsidR="009B6ACB" w:rsidRPr="00EA656D" w:rsidRDefault="00EA656D" w:rsidP="003032A4">
      <w:pPr>
        <w:spacing w:line="480" w:lineRule="auto"/>
        <w:rPr>
          <w:lang w:val="en-GB"/>
        </w:rPr>
      </w:pPr>
      <w:r w:rsidRPr="00EA656D">
        <w:rPr>
          <w:lang w:val="en-GB"/>
        </w:rPr>
        <w:t xml:space="preserve">Regions in which deletion and gene conversion identification was conducted. All regions come in pairs: exactly 2 regions that are homologous. </w:t>
      </w:r>
    </w:p>
    <w:p w14:paraId="4E2E474F" w14:textId="1EB4F953" w:rsidR="00EA656D" w:rsidRDefault="00D03D10" w:rsidP="003032A4">
      <w:pPr>
        <w:pStyle w:val="Heading1"/>
        <w:spacing w:line="480" w:lineRule="auto"/>
        <w:rPr>
          <w:lang w:val="en-GB"/>
        </w:rPr>
      </w:pPr>
      <w:r w:rsidRPr="00EA656D">
        <w:rPr>
          <w:lang w:val="en-GB"/>
        </w:rPr>
        <w:t>Supplemental figures</w:t>
      </w:r>
    </w:p>
    <w:p w14:paraId="1FCD9DE0" w14:textId="03E8FC41" w:rsidR="00DC1F34" w:rsidRPr="00DC1F34" w:rsidRDefault="00DC1F34" w:rsidP="003032A4">
      <w:pPr>
        <w:spacing w:line="480" w:lineRule="auto"/>
        <w:rPr>
          <w:lang w:val="en-GB"/>
        </w:rPr>
      </w:pPr>
      <w:r>
        <w:rPr>
          <w:noProof/>
          <w:lang w:val="en-GB"/>
        </w:rPr>
        <w:drawing>
          <wp:inline distT="0" distB="0" distL="0" distR="0" wp14:anchorId="07B0AA3C" wp14:editId="1F0FDA13">
            <wp:extent cx="4320000" cy="4639871"/>
            <wp:effectExtent l="19050" t="19050" r="23495" b="2794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20000" cy="4639871"/>
                    </a:xfrm>
                    <a:prstGeom prst="rect">
                      <a:avLst/>
                    </a:prstGeom>
                    <a:ln>
                      <a:solidFill>
                        <a:schemeClr val="tx1"/>
                      </a:solidFill>
                    </a:ln>
                  </pic:spPr>
                </pic:pic>
              </a:graphicData>
            </a:graphic>
          </wp:inline>
        </w:drawing>
      </w:r>
    </w:p>
    <w:p w14:paraId="5DC3829B" w14:textId="4581C6D0" w:rsidR="00B419B4" w:rsidRPr="00B419B4" w:rsidRDefault="00EA656D" w:rsidP="003032A4">
      <w:pPr>
        <w:pStyle w:val="Heading2"/>
      </w:pPr>
      <w:r w:rsidRPr="00B419B4">
        <w:t>Supplemental figure 1</w:t>
      </w:r>
      <w:r w:rsidR="00B419B4" w:rsidRPr="00B419B4">
        <w:t>. Possible discrepancy between Chameleolyser and LRS for a single homozygous deletion</w:t>
      </w:r>
      <w:r w:rsidR="00DC1F34">
        <w:t>.</w:t>
      </w:r>
    </w:p>
    <w:p w14:paraId="5D0F984E" w14:textId="25F03575" w:rsidR="00F550FE" w:rsidRDefault="00B419B4" w:rsidP="00BB072D">
      <w:pPr>
        <w:spacing w:line="480" w:lineRule="auto"/>
        <w:rPr>
          <w:lang w:val="en-GB"/>
        </w:rPr>
      </w:pPr>
      <w:r w:rsidRPr="00B419B4">
        <w:rPr>
          <w:lang w:val="en-GB"/>
        </w:rPr>
        <w:t xml:space="preserve">LRS reads are visualized for 2 individuals. In the upper half of the figure, an individual in which Chameleolyser identified </w:t>
      </w:r>
      <w:r w:rsidR="002F0A92">
        <w:rPr>
          <w:lang w:val="en-GB"/>
        </w:rPr>
        <w:t>a</w:t>
      </w:r>
      <w:r w:rsidRPr="00B419B4">
        <w:rPr>
          <w:lang w:val="en-GB"/>
        </w:rPr>
        <w:t xml:space="preserve"> homozygous deletion of the </w:t>
      </w:r>
      <w:r w:rsidRPr="00B419B4">
        <w:rPr>
          <w:i/>
          <w:iCs/>
          <w:lang w:val="en-GB"/>
        </w:rPr>
        <w:t xml:space="preserve">GPR42 </w:t>
      </w:r>
      <w:r w:rsidRPr="00B419B4">
        <w:rPr>
          <w:lang w:val="en-GB"/>
        </w:rPr>
        <w:t xml:space="preserve">gene is visualized. </w:t>
      </w:r>
      <w:r>
        <w:rPr>
          <w:lang w:val="en-GB"/>
        </w:rPr>
        <w:t xml:space="preserve">The lower half corresponds to an individual without a deletion call for this gene. </w:t>
      </w:r>
      <w:r w:rsidRPr="00B419B4">
        <w:rPr>
          <w:lang w:val="en-GB"/>
        </w:rPr>
        <w:t xml:space="preserve">The genomic region of the variant call is indicated with a brace. </w:t>
      </w:r>
      <w:r>
        <w:rPr>
          <w:lang w:val="en-GB"/>
        </w:rPr>
        <w:t xml:space="preserve">It is clear that there is indeed a deletion in the individual that is displayed </w:t>
      </w:r>
      <w:r>
        <w:rPr>
          <w:lang w:val="en-GB"/>
        </w:rPr>
        <w:lastRenderedPageBreak/>
        <w:t xml:space="preserve">in the upper half of the figure. </w:t>
      </w:r>
      <w:r w:rsidRPr="00B419B4">
        <w:rPr>
          <w:lang w:val="en-GB"/>
        </w:rPr>
        <w:t xml:space="preserve">However, we cannot be completely sure about the fact that the genomic region within the brace is indeed homozygously deleted. The coverage track on the image however strongly suggests that the deletion comprises </w:t>
      </w:r>
      <w:r w:rsidRPr="00B419B4">
        <w:rPr>
          <w:i/>
          <w:iCs/>
          <w:lang w:val="en-GB"/>
        </w:rPr>
        <w:t>GPR42</w:t>
      </w:r>
      <w:r w:rsidR="00DC1F34">
        <w:rPr>
          <w:lang w:val="en-GB"/>
        </w:rPr>
        <w:t xml:space="preserve"> and thus that the call of Chameleolyser is correct. </w:t>
      </w:r>
    </w:p>
    <w:p w14:paraId="078D126E" w14:textId="14CA6618" w:rsidR="00F550FE" w:rsidRDefault="00F550FE">
      <w:pPr>
        <w:rPr>
          <w:lang w:val="en-GB"/>
        </w:rPr>
      </w:pPr>
    </w:p>
    <w:p w14:paraId="13EC5E29" w14:textId="77777777" w:rsidR="00F00B78" w:rsidRDefault="00F00B78">
      <w:pPr>
        <w:rPr>
          <w:lang w:val="en-GB"/>
        </w:rPr>
      </w:pPr>
      <w:r>
        <w:rPr>
          <w:noProof/>
          <w:lang w:val="en-GB"/>
        </w:rPr>
        <w:drawing>
          <wp:inline distT="0" distB="0" distL="0" distR="0" wp14:anchorId="60424BB1" wp14:editId="598DFC7D">
            <wp:extent cx="5400000" cy="3863985"/>
            <wp:effectExtent l="0" t="0" r="0" b="317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5">
                      <a:extLst>
                        <a:ext uri="{28A0092B-C50C-407E-A947-70E740481C1C}">
                          <a14:useLocalDpi xmlns:a14="http://schemas.microsoft.com/office/drawing/2010/main" val="0"/>
                        </a:ext>
                      </a:extLst>
                    </a:blip>
                    <a:stretch>
                      <a:fillRect/>
                    </a:stretch>
                  </pic:blipFill>
                  <pic:spPr>
                    <a:xfrm>
                      <a:off x="0" y="0"/>
                      <a:ext cx="5400000" cy="3863985"/>
                    </a:xfrm>
                    <a:prstGeom prst="rect">
                      <a:avLst/>
                    </a:prstGeom>
                  </pic:spPr>
                </pic:pic>
              </a:graphicData>
            </a:graphic>
          </wp:inline>
        </w:drawing>
      </w:r>
    </w:p>
    <w:p w14:paraId="194C5D1C" w14:textId="383D6248" w:rsidR="00F00B78" w:rsidRPr="00B419B4" w:rsidRDefault="00F00B78" w:rsidP="00F00B78">
      <w:pPr>
        <w:pStyle w:val="Heading2"/>
      </w:pPr>
      <w:r w:rsidRPr="00B419B4">
        <w:t xml:space="preserve">Supplemental figure </w:t>
      </w:r>
      <w:r w:rsidR="00BB072D">
        <w:t>2</w:t>
      </w:r>
      <w:r w:rsidRPr="00B419B4">
        <w:t xml:space="preserve">. </w:t>
      </w:r>
      <w:r>
        <w:t>The n</w:t>
      </w:r>
      <w:r w:rsidRPr="00046053">
        <w:t>umber of</w:t>
      </w:r>
      <w:r>
        <w:t xml:space="preserve"> unique</w:t>
      </w:r>
      <w:r w:rsidRPr="00046053">
        <w:t xml:space="preserve"> </w:t>
      </w:r>
      <w:r w:rsidRPr="00046053">
        <w:rPr>
          <w:i/>
          <w:iCs/>
        </w:rPr>
        <w:t>STRC</w:t>
      </w:r>
      <w:r w:rsidRPr="00046053">
        <w:t xml:space="preserve"> versus </w:t>
      </w:r>
      <w:r w:rsidRPr="00046053">
        <w:rPr>
          <w:i/>
          <w:iCs/>
        </w:rPr>
        <w:t>STRCP1</w:t>
      </w:r>
      <w:r w:rsidRPr="00046053">
        <w:t xml:space="preserve"> reads.</w:t>
      </w:r>
    </w:p>
    <w:p w14:paraId="4AB22C42" w14:textId="538BE07C" w:rsidR="00B419B4" w:rsidRPr="00B419B4" w:rsidRDefault="00F00B78" w:rsidP="00036491">
      <w:pPr>
        <w:spacing w:line="480" w:lineRule="auto"/>
        <w:rPr>
          <w:lang w:val="en-GB"/>
        </w:rPr>
      </w:pPr>
      <w:r w:rsidRPr="00F00B78">
        <w:rPr>
          <w:lang w:val="en-GB"/>
        </w:rPr>
        <w:t xml:space="preserve">The horizontal axis represents the absolute number of uniquely aligned reads onto the last 6 exons of </w:t>
      </w:r>
      <w:r w:rsidRPr="00004E40">
        <w:rPr>
          <w:i/>
          <w:iCs/>
          <w:lang w:val="en-GB"/>
        </w:rPr>
        <w:t>STRC</w:t>
      </w:r>
      <w:r w:rsidRPr="00F00B78">
        <w:rPr>
          <w:lang w:val="en-GB"/>
        </w:rPr>
        <w:t xml:space="preserve"> (ENST00000450892). The vertical axis corresponds to the number of reads that uniquely align onto the homologous region of </w:t>
      </w:r>
      <w:r w:rsidRPr="00004E40">
        <w:rPr>
          <w:i/>
          <w:iCs/>
          <w:lang w:val="en-GB"/>
        </w:rPr>
        <w:t>STRCP1</w:t>
      </w:r>
      <w:r w:rsidRPr="00F00B78">
        <w:rPr>
          <w:lang w:val="en-GB"/>
        </w:rPr>
        <w:t xml:space="preserve">. Each dot is an individual in the study cohort. The visualization is illustrative for the number of </w:t>
      </w:r>
      <w:r w:rsidRPr="00004E40">
        <w:rPr>
          <w:i/>
          <w:iCs/>
          <w:lang w:val="en-GB"/>
        </w:rPr>
        <w:t>STRC</w:t>
      </w:r>
      <w:r w:rsidRPr="00F00B78">
        <w:rPr>
          <w:lang w:val="en-GB"/>
        </w:rPr>
        <w:t xml:space="preserve"> and </w:t>
      </w:r>
      <w:r w:rsidRPr="00004E40">
        <w:rPr>
          <w:i/>
          <w:iCs/>
          <w:lang w:val="en-GB"/>
        </w:rPr>
        <w:t>STRCP1</w:t>
      </w:r>
      <w:r w:rsidRPr="00F00B78">
        <w:rPr>
          <w:lang w:val="en-GB"/>
        </w:rPr>
        <w:t xml:space="preserve"> copies each individual has. Patients with hearing impairment are coloured red. Point clouds are formed due to the (discrete) genetic nature of the events. </w:t>
      </w:r>
      <w:r>
        <w:rPr>
          <w:lang w:val="en-GB"/>
        </w:rPr>
        <w:br w:type="page"/>
      </w:r>
    </w:p>
    <w:p w14:paraId="4BA88A5E" w14:textId="6A8382C0" w:rsidR="00032093" w:rsidRDefault="00032093" w:rsidP="003032A4">
      <w:pPr>
        <w:spacing w:line="480" w:lineRule="auto"/>
        <w:rPr>
          <w:lang w:val="en-GB"/>
        </w:rPr>
      </w:pPr>
      <w:r>
        <w:rPr>
          <w:noProof/>
          <w:lang w:val="en-GB"/>
        </w:rPr>
        <w:lastRenderedPageBreak/>
        <w:drawing>
          <wp:inline distT="0" distB="0" distL="0" distR="0" wp14:anchorId="384BA917" wp14:editId="7AC46C35">
            <wp:extent cx="5469117" cy="4939665"/>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fbeelding 6"/>
                    <pic:cNvPicPr/>
                  </pic:nvPicPr>
                  <pic:blipFill rotWithShape="1">
                    <a:blip r:embed="rId6">
                      <a:extLst>
                        <a:ext uri="{28A0092B-C50C-407E-A947-70E740481C1C}">
                          <a14:useLocalDpi xmlns:a14="http://schemas.microsoft.com/office/drawing/2010/main" val="0"/>
                        </a:ext>
                      </a:extLst>
                    </a:blip>
                    <a:srcRect l="4578"/>
                    <a:stretch/>
                  </pic:blipFill>
                  <pic:spPr bwMode="auto">
                    <a:xfrm>
                      <a:off x="0" y="0"/>
                      <a:ext cx="5469117" cy="4939665"/>
                    </a:xfrm>
                    <a:prstGeom prst="rect">
                      <a:avLst/>
                    </a:prstGeom>
                    <a:ln>
                      <a:noFill/>
                    </a:ln>
                    <a:extLst>
                      <a:ext uri="{53640926-AAD7-44D8-BBD7-CCE9431645EC}">
                        <a14:shadowObscured xmlns:a14="http://schemas.microsoft.com/office/drawing/2010/main"/>
                      </a:ext>
                    </a:extLst>
                  </pic:spPr>
                </pic:pic>
              </a:graphicData>
            </a:graphic>
          </wp:inline>
        </w:drawing>
      </w:r>
    </w:p>
    <w:p w14:paraId="38E3C591" w14:textId="1E20558E" w:rsidR="007F41CE" w:rsidRDefault="007F41CE" w:rsidP="007F41CE">
      <w:pPr>
        <w:pStyle w:val="Heading2"/>
      </w:pPr>
      <w:r w:rsidRPr="00EA656D">
        <w:t xml:space="preserve">Supplemental figure </w:t>
      </w:r>
      <w:r w:rsidR="00BB072D">
        <w:t>3</w:t>
      </w:r>
      <w:r>
        <w:t>. Graphical summary of the derivation of region set I</w:t>
      </w:r>
    </w:p>
    <w:p w14:paraId="523C0113" w14:textId="151F1B2D" w:rsidR="003032A4" w:rsidRDefault="003032A4" w:rsidP="003032A4">
      <w:pPr>
        <w:spacing w:line="480" w:lineRule="auto"/>
        <w:rPr>
          <w:lang w:val="en-GB"/>
        </w:rPr>
      </w:pPr>
      <w:r>
        <w:rPr>
          <w:lang w:val="en-GB"/>
        </w:rPr>
        <w:t>This figure is a graphical representation of the derivation of region set I: regions in protein coding genes with known pseudogenes (Methods).</w:t>
      </w:r>
    </w:p>
    <w:p w14:paraId="65625C78" w14:textId="77777777" w:rsidR="007F41CE" w:rsidRDefault="007F41CE" w:rsidP="003032A4">
      <w:pPr>
        <w:spacing w:line="480" w:lineRule="auto"/>
        <w:rPr>
          <w:lang w:val="en-GB"/>
        </w:rPr>
      </w:pPr>
    </w:p>
    <w:p w14:paraId="0A417B94" w14:textId="4F7CFF64" w:rsidR="001A485E" w:rsidRDefault="001A485E" w:rsidP="003032A4">
      <w:pPr>
        <w:pStyle w:val="Heading2"/>
      </w:pPr>
      <w:r>
        <w:rPr>
          <w:noProof/>
        </w:rPr>
        <w:lastRenderedPageBreak/>
        <w:drawing>
          <wp:inline distT="0" distB="0" distL="0" distR="0" wp14:anchorId="095E86BC" wp14:editId="141051BC">
            <wp:extent cx="3600000" cy="5091685"/>
            <wp:effectExtent l="0" t="0" r="0" b="0"/>
            <wp:docPr id="7" name="Afbeelding 7" descr="Afbeelding met teks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7" descr="Afbeelding met tekst&#10;&#10;Automatisch gegenereerde beschrijving"/>
                    <pic:cNvPicPr/>
                  </pic:nvPicPr>
                  <pic:blipFill>
                    <a:blip r:embed="rId7">
                      <a:extLst>
                        <a:ext uri="{28A0092B-C50C-407E-A947-70E740481C1C}">
                          <a14:useLocalDpi xmlns:a14="http://schemas.microsoft.com/office/drawing/2010/main" val="0"/>
                        </a:ext>
                      </a:extLst>
                    </a:blip>
                    <a:stretch>
                      <a:fillRect/>
                    </a:stretch>
                  </pic:blipFill>
                  <pic:spPr>
                    <a:xfrm>
                      <a:off x="0" y="0"/>
                      <a:ext cx="3600000" cy="5091685"/>
                    </a:xfrm>
                    <a:prstGeom prst="rect">
                      <a:avLst/>
                    </a:prstGeom>
                  </pic:spPr>
                </pic:pic>
              </a:graphicData>
            </a:graphic>
          </wp:inline>
        </w:drawing>
      </w:r>
    </w:p>
    <w:p w14:paraId="7CBFCDB0" w14:textId="13B994D9" w:rsidR="00EA656D" w:rsidRDefault="00EA656D" w:rsidP="003032A4">
      <w:pPr>
        <w:pStyle w:val="Heading2"/>
      </w:pPr>
      <w:r w:rsidRPr="00EA656D">
        <w:t xml:space="preserve">Supplemental figure </w:t>
      </w:r>
      <w:r w:rsidR="00142CE5">
        <w:t>4</w:t>
      </w:r>
      <w:r w:rsidR="001A485E">
        <w:t>. Graphical summary of the derivation of region set II</w:t>
      </w:r>
    </w:p>
    <w:p w14:paraId="3EF02D25" w14:textId="4F9896BE" w:rsidR="003032A4" w:rsidRPr="003032A4" w:rsidRDefault="003032A4" w:rsidP="003032A4">
      <w:pPr>
        <w:spacing w:line="480" w:lineRule="auto"/>
        <w:rPr>
          <w:lang w:val="en-GB"/>
        </w:rPr>
      </w:pPr>
      <w:r>
        <w:rPr>
          <w:lang w:val="en-GB"/>
        </w:rPr>
        <w:t>This figure is a graphical representation of the derivation of region set II: regions that are associated with low mapping qualities (Methods).</w:t>
      </w:r>
    </w:p>
    <w:p w14:paraId="275A1BB4" w14:textId="77777777" w:rsidR="001A485E" w:rsidRPr="001A485E" w:rsidRDefault="001A485E" w:rsidP="003032A4">
      <w:pPr>
        <w:spacing w:line="480" w:lineRule="auto"/>
        <w:rPr>
          <w:lang w:val="en-GB"/>
        </w:rPr>
      </w:pPr>
    </w:p>
    <w:p w14:paraId="7FE7DABF" w14:textId="77777777" w:rsidR="00EA656D" w:rsidRPr="00EA656D" w:rsidRDefault="00EA656D" w:rsidP="003032A4">
      <w:pPr>
        <w:spacing w:line="480" w:lineRule="auto"/>
        <w:rPr>
          <w:lang w:val="en-GB"/>
        </w:rPr>
      </w:pPr>
    </w:p>
    <w:p w14:paraId="25B81D1C" w14:textId="77777777" w:rsidR="00EA656D" w:rsidRPr="00EA656D" w:rsidRDefault="00EA656D" w:rsidP="003032A4">
      <w:pPr>
        <w:spacing w:line="480" w:lineRule="auto"/>
        <w:rPr>
          <w:lang w:val="en-GB"/>
        </w:rPr>
      </w:pPr>
    </w:p>
    <w:p w14:paraId="3EFA71F4" w14:textId="77777777" w:rsidR="00EA656D" w:rsidRPr="00EA656D" w:rsidRDefault="00EA656D" w:rsidP="003032A4">
      <w:pPr>
        <w:spacing w:line="480" w:lineRule="auto"/>
        <w:rPr>
          <w:lang w:val="en-GB"/>
        </w:rPr>
      </w:pPr>
    </w:p>
    <w:p w14:paraId="66623386" w14:textId="77777777" w:rsidR="00EA656D" w:rsidRPr="00EA656D" w:rsidRDefault="00EA656D" w:rsidP="003032A4">
      <w:pPr>
        <w:spacing w:line="480" w:lineRule="auto"/>
        <w:rPr>
          <w:lang w:val="en-GB"/>
        </w:rPr>
      </w:pPr>
    </w:p>
    <w:p w14:paraId="17BE8CF8" w14:textId="77777777" w:rsidR="007C7DF5" w:rsidRPr="00EA656D" w:rsidRDefault="007C7DF5" w:rsidP="003032A4">
      <w:pPr>
        <w:spacing w:line="480" w:lineRule="auto"/>
        <w:rPr>
          <w:lang w:val="en-GB"/>
        </w:rPr>
      </w:pPr>
    </w:p>
    <w:sectPr w:rsidR="007C7DF5" w:rsidRPr="00EA65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7E0"/>
    <w:rsid w:val="00004E40"/>
    <w:rsid w:val="00032093"/>
    <w:rsid w:val="000344FE"/>
    <w:rsid w:val="00036491"/>
    <w:rsid w:val="000545E8"/>
    <w:rsid w:val="000A3036"/>
    <w:rsid w:val="000C0F9B"/>
    <w:rsid w:val="00142CE5"/>
    <w:rsid w:val="001A485E"/>
    <w:rsid w:val="001C423F"/>
    <w:rsid w:val="001F5101"/>
    <w:rsid w:val="002001C7"/>
    <w:rsid w:val="00235957"/>
    <w:rsid w:val="00276AC8"/>
    <w:rsid w:val="0029357B"/>
    <w:rsid w:val="002E3171"/>
    <w:rsid w:val="002F0A92"/>
    <w:rsid w:val="002F7DA4"/>
    <w:rsid w:val="003032A4"/>
    <w:rsid w:val="00306841"/>
    <w:rsid w:val="00312B0F"/>
    <w:rsid w:val="00313680"/>
    <w:rsid w:val="0032075E"/>
    <w:rsid w:val="00344BE3"/>
    <w:rsid w:val="003807FF"/>
    <w:rsid w:val="0040399B"/>
    <w:rsid w:val="004465A9"/>
    <w:rsid w:val="00457E62"/>
    <w:rsid w:val="004644BA"/>
    <w:rsid w:val="00474624"/>
    <w:rsid w:val="004D4CAF"/>
    <w:rsid w:val="004F0301"/>
    <w:rsid w:val="005B4279"/>
    <w:rsid w:val="005D0FFC"/>
    <w:rsid w:val="00604E43"/>
    <w:rsid w:val="00615CEA"/>
    <w:rsid w:val="00626912"/>
    <w:rsid w:val="00645FBD"/>
    <w:rsid w:val="007C7DF5"/>
    <w:rsid w:val="007F41CE"/>
    <w:rsid w:val="0081279A"/>
    <w:rsid w:val="00844D28"/>
    <w:rsid w:val="008871FB"/>
    <w:rsid w:val="008B3842"/>
    <w:rsid w:val="009224E1"/>
    <w:rsid w:val="00941D8D"/>
    <w:rsid w:val="009633E9"/>
    <w:rsid w:val="009B6ACB"/>
    <w:rsid w:val="00A01FFD"/>
    <w:rsid w:val="00A42F23"/>
    <w:rsid w:val="00AC382C"/>
    <w:rsid w:val="00B23DC9"/>
    <w:rsid w:val="00B419B4"/>
    <w:rsid w:val="00B66294"/>
    <w:rsid w:val="00B74A87"/>
    <w:rsid w:val="00B87C31"/>
    <w:rsid w:val="00BB072D"/>
    <w:rsid w:val="00BB1A3E"/>
    <w:rsid w:val="00BD231B"/>
    <w:rsid w:val="00BF03D2"/>
    <w:rsid w:val="00C00908"/>
    <w:rsid w:val="00C705AB"/>
    <w:rsid w:val="00CB5F55"/>
    <w:rsid w:val="00D03D10"/>
    <w:rsid w:val="00D12DEA"/>
    <w:rsid w:val="00D17FAC"/>
    <w:rsid w:val="00DA2034"/>
    <w:rsid w:val="00DC1F34"/>
    <w:rsid w:val="00DC3CBF"/>
    <w:rsid w:val="00E02287"/>
    <w:rsid w:val="00E067E0"/>
    <w:rsid w:val="00EA656D"/>
    <w:rsid w:val="00EA7DC7"/>
    <w:rsid w:val="00F00B78"/>
    <w:rsid w:val="00F35DD4"/>
    <w:rsid w:val="00F515DC"/>
    <w:rsid w:val="00F550FE"/>
    <w:rsid w:val="00FB2FBA"/>
    <w:rsid w:val="00FB474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440EA"/>
  <w15:chartTrackingRefBased/>
  <w15:docId w15:val="{57AF450D-7FCF-46F1-9680-0F5416CA3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tand_Hom"/>
    <w:qFormat/>
    <w:rsid w:val="008871FB"/>
    <w:rPr>
      <w:rFonts w:ascii="Arial" w:hAnsi="Arial"/>
      <w:sz w:val="20"/>
    </w:rPr>
  </w:style>
  <w:style w:type="paragraph" w:styleId="Heading1">
    <w:name w:val="heading 1"/>
    <w:aliases w:val="1_Hom"/>
    <w:basedOn w:val="Normal"/>
    <w:next w:val="Normal"/>
    <w:link w:val="Heading1Char"/>
    <w:uiPriority w:val="9"/>
    <w:qFormat/>
    <w:rsid w:val="008871FB"/>
    <w:pPr>
      <w:keepNext/>
      <w:keepLines/>
      <w:spacing w:after="240" w:line="240" w:lineRule="auto"/>
      <w:outlineLvl w:val="0"/>
    </w:pPr>
    <w:rPr>
      <w:rFonts w:eastAsiaTheme="majorEastAsia" w:cstheme="majorBidi"/>
      <w:b/>
      <w:sz w:val="28"/>
      <w:szCs w:val="32"/>
    </w:rPr>
  </w:style>
  <w:style w:type="paragraph" w:styleId="Heading2">
    <w:name w:val="heading 2"/>
    <w:aliases w:val="2_Hom"/>
    <w:basedOn w:val="Normal"/>
    <w:next w:val="Normal"/>
    <w:link w:val="Heading2Char"/>
    <w:autoRedefine/>
    <w:uiPriority w:val="9"/>
    <w:unhideWhenUsed/>
    <w:qFormat/>
    <w:rsid w:val="00F550FE"/>
    <w:pPr>
      <w:keepNext/>
      <w:keepLines/>
      <w:spacing w:before="40" w:after="0" w:line="480" w:lineRule="auto"/>
      <w:outlineLvl w:val="1"/>
    </w:pPr>
    <w:rPr>
      <w:rFonts w:eastAsiaTheme="majorEastAsia" w:cs="Arial"/>
      <w:b/>
      <w:bCs/>
      <w:color w:val="000000"/>
      <w:sz w:val="24"/>
      <w:szCs w:val="26"/>
      <w:lang w:val="en-GB"/>
    </w:rPr>
  </w:style>
  <w:style w:type="paragraph" w:styleId="Heading3">
    <w:name w:val="heading 3"/>
    <w:basedOn w:val="Normal"/>
    <w:next w:val="Normal"/>
    <w:link w:val="Heading3Char"/>
    <w:uiPriority w:val="9"/>
    <w:semiHidden/>
    <w:unhideWhenUsed/>
    <w:qFormat/>
    <w:rsid w:val="003032A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Hom">
    <w:name w:val="Title_Hom"/>
    <w:basedOn w:val="Title"/>
    <w:link w:val="TitleHomChar"/>
    <w:qFormat/>
    <w:rsid w:val="00E067E0"/>
    <w:pPr>
      <w:spacing w:after="240" w:line="360" w:lineRule="auto"/>
    </w:pPr>
    <w:rPr>
      <w:rFonts w:ascii="Arial" w:hAnsi="Arial"/>
      <w:b/>
      <w:sz w:val="32"/>
      <w:lang w:val="en-GB"/>
    </w:rPr>
  </w:style>
  <w:style w:type="character" w:customStyle="1" w:styleId="TitleHomChar">
    <w:name w:val="Title_Hom Char"/>
    <w:basedOn w:val="TitleChar"/>
    <w:link w:val="TitleHom"/>
    <w:rsid w:val="00E067E0"/>
    <w:rPr>
      <w:rFonts w:ascii="Arial" w:eastAsiaTheme="majorEastAsia" w:hAnsi="Arial" w:cstheme="majorBidi"/>
      <w:b/>
      <w:spacing w:val="-10"/>
      <w:kern w:val="28"/>
      <w:sz w:val="32"/>
      <w:szCs w:val="56"/>
      <w:lang w:val="en-GB"/>
    </w:rPr>
  </w:style>
  <w:style w:type="paragraph" w:styleId="Title">
    <w:name w:val="Title"/>
    <w:basedOn w:val="Normal"/>
    <w:next w:val="Normal"/>
    <w:link w:val="TitleChar"/>
    <w:uiPriority w:val="10"/>
    <w:qFormat/>
    <w:rsid w:val="00E067E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67E0"/>
    <w:rPr>
      <w:rFonts w:asciiTheme="majorHAnsi" w:eastAsiaTheme="majorEastAsia" w:hAnsiTheme="majorHAnsi" w:cstheme="majorBidi"/>
      <w:spacing w:val="-10"/>
      <w:kern w:val="28"/>
      <w:sz w:val="56"/>
      <w:szCs w:val="56"/>
    </w:rPr>
  </w:style>
  <w:style w:type="character" w:customStyle="1" w:styleId="Heading1Char">
    <w:name w:val="Heading 1 Char"/>
    <w:aliases w:val="1_Hom Char"/>
    <w:basedOn w:val="DefaultParagraphFont"/>
    <w:link w:val="Heading1"/>
    <w:uiPriority w:val="9"/>
    <w:rsid w:val="008871FB"/>
    <w:rPr>
      <w:rFonts w:ascii="Arial" w:eastAsiaTheme="majorEastAsia" w:hAnsi="Arial" w:cstheme="majorBidi"/>
      <w:b/>
      <w:sz w:val="28"/>
      <w:szCs w:val="32"/>
    </w:rPr>
  </w:style>
  <w:style w:type="character" w:customStyle="1" w:styleId="Heading2Char">
    <w:name w:val="Heading 2 Char"/>
    <w:aliases w:val="2_Hom Char"/>
    <w:basedOn w:val="DefaultParagraphFont"/>
    <w:link w:val="Heading2"/>
    <w:uiPriority w:val="9"/>
    <w:rsid w:val="00F550FE"/>
    <w:rPr>
      <w:rFonts w:ascii="Arial" w:eastAsiaTheme="majorEastAsia" w:hAnsi="Arial" w:cs="Arial"/>
      <w:b/>
      <w:bCs/>
      <w:color w:val="000000"/>
      <w:sz w:val="24"/>
      <w:szCs w:val="26"/>
      <w:lang w:val="en-GB"/>
    </w:rPr>
  </w:style>
  <w:style w:type="paragraph" w:styleId="NormalWeb">
    <w:name w:val="Normal (Web)"/>
    <w:basedOn w:val="Normal"/>
    <w:uiPriority w:val="99"/>
    <w:semiHidden/>
    <w:unhideWhenUsed/>
    <w:rsid w:val="00B419B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CommentReference">
    <w:name w:val="annotation reference"/>
    <w:basedOn w:val="DefaultParagraphFont"/>
    <w:uiPriority w:val="99"/>
    <w:semiHidden/>
    <w:unhideWhenUsed/>
    <w:rsid w:val="00DC1F34"/>
    <w:rPr>
      <w:sz w:val="16"/>
      <w:szCs w:val="16"/>
    </w:rPr>
  </w:style>
  <w:style w:type="paragraph" w:styleId="CommentText">
    <w:name w:val="annotation text"/>
    <w:basedOn w:val="Normal"/>
    <w:link w:val="CommentTextChar"/>
    <w:uiPriority w:val="99"/>
    <w:semiHidden/>
    <w:unhideWhenUsed/>
    <w:rsid w:val="00DC1F34"/>
    <w:pPr>
      <w:spacing w:after="0" w:line="240" w:lineRule="auto"/>
    </w:pPr>
    <w:rPr>
      <w:rFonts w:eastAsia="Arial" w:cs="Arial"/>
      <w:szCs w:val="20"/>
      <w:lang w:val="nl"/>
    </w:rPr>
  </w:style>
  <w:style w:type="character" w:customStyle="1" w:styleId="CommentTextChar">
    <w:name w:val="Comment Text Char"/>
    <w:basedOn w:val="DefaultParagraphFont"/>
    <w:link w:val="CommentText"/>
    <w:uiPriority w:val="99"/>
    <w:semiHidden/>
    <w:rsid w:val="00DC1F34"/>
    <w:rPr>
      <w:rFonts w:ascii="Arial" w:eastAsia="Arial" w:hAnsi="Arial" w:cs="Arial"/>
      <w:sz w:val="20"/>
      <w:szCs w:val="20"/>
      <w:lang w:val="nl"/>
    </w:rPr>
  </w:style>
  <w:style w:type="character" w:customStyle="1" w:styleId="Heading3Char">
    <w:name w:val="Heading 3 Char"/>
    <w:basedOn w:val="DefaultParagraphFont"/>
    <w:link w:val="Heading3"/>
    <w:uiPriority w:val="9"/>
    <w:semiHidden/>
    <w:rsid w:val="003032A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105096">
      <w:bodyDiv w:val="1"/>
      <w:marLeft w:val="0"/>
      <w:marRight w:val="0"/>
      <w:marTop w:val="0"/>
      <w:marBottom w:val="0"/>
      <w:divBdr>
        <w:top w:val="none" w:sz="0" w:space="0" w:color="auto"/>
        <w:left w:val="none" w:sz="0" w:space="0" w:color="auto"/>
        <w:bottom w:val="none" w:sz="0" w:space="0" w:color="auto"/>
        <w:right w:val="none" w:sz="0" w:space="0" w:color="auto"/>
      </w:divBdr>
    </w:div>
    <w:div w:id="349718928">
      <w:bodyDiv w:val="1"/>
      <w:marLeft w:val="0"/>
      <w:marRight w:val="0"/>
      <w:marTop w:val="0"/>
      <w:marBottom w:val="0"/>
      <w:divBdr>
        <w:top w:val="none" w:sz="0" w:space="0" w:color="auto"/>
        <w:left w:val="none" w:sz="0" w:space="0" w:color="auto"/>
        <w:bottom w:val="none" w:sz="0" w:space="0" w:color="auto"/>
        <w:right w:val="none" w:sz="0" w:space="0" w:color="auto"/>
      </w:divBdr>
    </w:div>
    <w:div w:id="781727971">
      <w:bodyDiv w:val="1"/>
      <w:marLeft w:val="0"/>
      <w:marRight w:val="0"/>
      <w:marTop w:val="0"/>
      <w:marBottom w:val="0"/>
      <w:divBdr>
        <w:top w:val="none" w:sz="0" w:space="0" w:color="auto"/>
        <w:left w:val="none" w:sz="0" w:space="0" w:color="auto"/>
        <w:bottom w:val="none" w:sz="0" w:space="0" w:color="auto"/>
        <w:right w:val="none" w:sz="0" w:space="0" w:color="auto"/>
      </w:divBdr>
    </w:div>
    <w:div w:id="840196894">
      <w:bodyDiv w:val="1"/>
      <w:marLeft w:val="0"/>
      <w:marRight w:val="0"/>
      <w:marTop w:val="0"/>
      <w:marBottom w:val="0"/>
      <w:divBdr>
        <w:top w:val="none" w:sz="0" w:space="0" w:color="auto"/>
        <w:left w:val="none" w:sz="0" w:space="0" w:color="auto"/>
        <w:bottom w:val="none" w:sz="0" w:space="0" w:color="auto"/>
        <w:right w:val="none" w:sz="0" w:space="0" w:color="auto"/>
      </w:divBdr>
    </w:div>
    <w:div w:id="1026255471">
      <w:bodyDiv w:val="1"/>
      <w:marLeft w:val="0"/>
      <w:marRight w:val="0"/>
      <w:marTop w:val="0"/>
      <w:marBottom w:val="0"/>
      <w:divBdr>
        <w:top w:val="none" w:sz="0" w:space="0" w:color="auto"/>
        <w:left w:val="none" w:sz="0" w:space="0" w:color="auto"/>
        <w:bottom w:val="none" w:sz="0" w:space="0" w:color="auto"/>
        <w:right w:val="none" w:sz="0" w:space="0" w:color="auto"/>
      </w:divBdr>
    </w:div>
    <w:div w:id="1071997763">
      <w:bodyDiv w:val="1"/>
      <w:marLeft w:val="0"/>
      <w:marRight w:val="0"/>
      <w:marTop w:val="0"/>
      <w:marBottom w:val="0"/>
      <w:divBdr>
        <w:top w:val="none" w:sz="0" w:space="0" w:color="auto"/>
        <w:left w:val="none" w:sz="0" w:space="0" w:color="auto"/>
        <w:bottom w:val="none" w:sz="0" w:space="0" w:color="auto"/>
        <w:right w:val="none" w:sz="0" w:space="0" w:color="auto"/>
      </w:divBdr>
    </w:div>
    <w:div w:id="1109079361">
      <w:bodyDiv w:val="1"/>
      <w:marLeft w:val="0"/>
      <w:marRight w:val="0"/>
      <w:marTop w:val="0"/>
      <w:marBottom w:val="0"/>
      <w:divBdr>
        <w:top w:val="none" w:sz="0" w:space="0" w:color="auto"/>
        <w:left w:val="none" w:sz="0" w:space="0" w:color="auto"/>
        <w:bottom w:val="none" w:sz="0" w:space="0" w:color="auto"/>
        <w:right w:val="none" w:sz="0" w:space="0" w:color="auto"/>
      </w:divBdr>
    </w:div>
    <w:div w:id="1386106423">
      <w:bodyDiv w:val="1"/>
      <w:marLeft w:val="0"/>
      <w:marRight w:val="0"/>
      <w:marTop w:val="0"/>
      <w:marBottom w:val="0"/>
      <w:divBdr>
        <w:top w:val="none" w:sz="0" w:space="0" w:color="auto"/>
        <w:left w:val="none" w:sz="0" w:space="0" w:color="auto"/>
        <w:bottom w:val="none" w:sz="0" w:space="0" w:color="auto"/>
        <w:right w:val="none" w:sz="0" w:space="0" w:color="auto"/>
      </w:divBdr>
    </w:div>
    <w:div w:id="1574313045">
      <w:bodyDiv w:val="1"/>
      <w:marLeft w:val="0"/>
      <w:marRight w:val="0"/>
      <w:marTop w:val="0"/>
      <w:marBottom w:val="0"/>
      <w:divBdr>
        <w:top w:val="none" w:sz="0" w:space="0" w:color="auto"/>
        <w:left w:val="none" w:sz="0" w:space="0" w:color="auto"/>
        <w:bottom w:val="none" w:sz="0" w:space="0" w:color="auto"/>
        <w:right w:val="none" w:sz="0" w:space="0" w:color="auto"/>
      </w:divBdr>
    </w:div>
    <w:div w:id="1602108489">
      <w:bodyDiv w:val="1"/>
      <w:marLeft w:val="0"/>
      <w:marRight w:val="0"/>
      <w:marTop w:val="0"/>
      <w:marBottom w:val="0"/>
      <w:divBdr>
        <w:top w:val="none" w:sz="0" w:space="0" w:color="auto"/>
        <w:left w:val="none" w:sz="0" w:space="0" w:color="auto"/>
        <w:bottom w:val="none" w:sz="0" w:space="0" w:color="auto"/>
        <w:right w:val="none" w:sz="0" w:space="0" w:color="auto"/>
      </w:divBdr>
    </w:div>
    <w:div w:id="1748065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9</Pages>
  <Words>1801</Words>
  <Characters>10267</Characters>
  <Application>Microsoft Office Word</Application>
  <DocSecurity>0</DocSecurity>
  <Lines>85</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Steyaert, Wouter</dc:creator>
  <cp:keywords/>
  <dc:description/>
  <cp:lastModifiedBy>Steyaert, Wouter</cp:lastModifiedBy>
  <cp:revision>9</cp:revision>
  <cp:lastPrinted>2022-06-04T12:47:00Z</cp:lastPrinted>
  <dcterms:created xsi:type="dcterms:W3CDTF">2022-08-18T16:07:00Z</dcterms:created>
  <dcterms:modified xsi:type="dcterms:W3CDTF">2022-11-22T08:59:00Z</dcterms:modified>
</cp:coreProperties>
</file>