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E0BFA" w14:textId="77777777" w:rsidR="006C4C46" w:rsidRDefault="00000000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OLE_LINK76"/>
      <w:bookmarkStart w:id="1" w:name="OLE_LINK78"/>
      <w:bookmarkStart w:id="2" w:name="_Hlk89788617"/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Supplementary information</w:t>
      </w:r>
    </w:p>
    <w:bookmarkEnd w:id="0"/>
    <w:bookmarkEnd w:id="1"/>
    <w:p w14:paraId="758E28B2" w14:textId="77777777" w:rsidR="006C4C46" w:rsidRDefault="00000000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Inhalable SARS-CoV-2 vaccine for single-dose dry powder aerosol immunization</w:t>
      </w:r>
    </w:p>
    <w:p w14:paraId="69BC1B50" w14:textId="77777777" w:rsidR="006C4C46" w:rsidRDefault="006C4C46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070C691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</w:rPr>
      </w:pPr>
      <w:bookmarkStart w:id="3" w:name="OLE_LINK119"/>
      <w:bookmarkEnd w:id="2"/>
      <w:r>
        <w:rPr>
          <w:rFonts w:ascii="Times New Roman" w:hAnsi="Times New Roman" w:cs="Times New Roman"/>
          <w:color w:val="000000" w:themeColor="text1"/>
          <w:szCs w:val="21"/>
        </w:rPr>
        <w:t>Tong Ye,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1,2,#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Zhouguang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Jiao,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1,#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Xin Li,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1,3,</w:t>
      </w:r>
      <w:bookmarkStart w:id="4" w:name="OLE_LINK86"/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#</w:t>
      </w:r>
      <w:bookmarkEnd w:id="4"/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Zhanlong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He,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4,#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Yanyan Li,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4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Fengmei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Yang,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4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Xin Zhao,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4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Youchun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Wang,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5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Weijin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Huang,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5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Meng Qin,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6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Yingmei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Feng,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7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Yefeng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Qiu,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8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Wenhui Yang,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9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Lingfei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Hu,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9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Yaling Hu,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 xml:space="preserve">10 </w:t>
      </w:r>
      <w:r>
        <w:rPr>
          <w:rFonts w:ascii="Times New Roman" w:hAnsi="Times New Roman" w:cs="Times New Roman"/>
          <w:color w:val="000000" w:themeColor="text1"/>
          <w:szCs w:val="21"/>
        </w:rPr>
        <w:t>Yu Zhai,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10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Erqiang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Wang,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10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Di Yu,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11,12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Shuang Wang,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Hua Yue,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Yishu Wang,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1,2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Hengliang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Wang,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3,*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Li Zhu,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3,*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Guanghui Ma,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1,2,*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Wei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Wei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1,2,*</w:t>
      </w:r>
    </w:p>
    <w:p w14:paraId="317EA834" w14:textId="77777777" w:rsidR="006C4C46" w:rsidRDefault="006C4C46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6307B2B9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State Key Laboratory of Biochemical Engineering, </w:t>
      </w:r>
      <w:bookmarkStart w:id="5" w:name="OLE_LINK136"/>
      <w:r>
        <w:rPr>
          <w:rFonts w:ascii="Times New Roman" w:hAnsi="Times New Roman" w:cs="Times New Roman"/>
          <w:color w:val="000000" w:themeColor="text1"/>
          <w:szCs w:val="21"/>
        </w:rPr>
        <w:t>Institute of Process Engineering, Chinese Academy of Sciences</w:t>
      </w:r>
      <w:bookmarkEnd w:id="5"/>
      <w:r>
        <w:rPr>
          <w:rFonts w:ascii="Times New Roman" w:hAnsi="Times New Roman" w:cs="Times New Roman"/>
          <w:color w:val="000000" w:themeColor="text1"/>
          <w:szCs w:val="21"/>
        </w:rPr>
        <w:t>, Beijing 100190, China</w:t>
      </w:r>
    </w:p>
    <w:p w14:paraId="39604943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School of Chemical Engineering, University of Chinese Academy of Sciences, Beijing 100049, China</w:t>
      </w:r>
    </w:p>
    <w:p w14:paraId="3DE751F4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3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State Key Laboratory of Pathogen and Biosecurity, Beijing Institute of Biotechnology, Beijing 100071, China</w:t>
      </w:r>
    </w:p>
    <w:p w14:paraId="6E3FC379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4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Yunnan Key Laboratory of Vaccine Research Development on Severe Infectious Disease, Institute of Medical Biology, Peking Union Medical College, Chinese Academy of Medical Sciences, Kunming 650118, China</w:t>
      </w:r>
    </w:p>
    <w:p w14:paraId="1F3ADDE3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5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Division of HIV/AIDS and Sex-Transmitted Virus Vaccines, Institute for Biological Product Control, National Institutes for Food and Drug Control (NIFDC) and WHO Collaborating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Center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for Standardization and Evaluation of Biologicals, Beijing 102629, China</w:t>
      </w:r>
    </w:p>
    <w:p w14:paraId="305F1AB8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6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Beijing Advanced Innovation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Center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for Soft Matter Science and Engineering, College of Life Science and Technology, Beijing University of Chemical Technology, Beijing 100029, China</w:t>
      </w:r>
    </w:p>
    <w:p w14:paraId="4B90C2BC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7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Beijing Youan Hospital, Capital Medical University, Beijing 100069, China</w:t>
      </w:r>
    </w:p>
    <w:p w14:paraId="0B8B817D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8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Laboratory Animal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Center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>, Academy of Military Medical Science, Beijing 100071, China</w:t>
      </w:r>
    </w:p>
    <w:p w14:paraId="01F34E10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9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State Key Laboratory of Pathogen and Biosecurity, Beijing Institute of Microbiology and Epidemiology, Beijing 100071, China</w:t>
      </w:r>
    </w:p>
    <w:p w14:paraId="6E067162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10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Sinovac Life Sciences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Coperation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Ltd., Beijing 100085, China</w:t>
      </w:r>
    </w:p>
    <w:p w14:paraId="0838B7F1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11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Frazer Institute, Faculty of Medicine, The University of Queensland, Brisbane, Queensland 4072, Australia</w:t>
      </w:r>
    </w:p>
    <w:p w14:paraId="02F53BFF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12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Ian Frazer Centre for Children's Immunotherapy Research, Child Health Research Centre, Faculty of Medicine, The University of Queensland, Brisbane, Queensland 4072, Australia</w:t>
      </w:r>
    </w:p>
    <w:p w14:paraId="150B55E5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  <w:vertAlign w:val="superscript"/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#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These authors contributed equally</w:t>
      </w:r>
    </w:p>
    <w:p w14:paraId="6EEAE4C5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</w:rPr>
        <w:t>*Correspondence: weiwei@ipe.ac.cn (W.W.), ghma@ipe.ac.cn (G.M.), jewly54@bmi.ac.cn (L.Z.), wanghl@bmi.ac.cn (H.W.)</w:t>
      </w:r>
      <w:bookmarkEnd w:id="3"/>
    </w:p>
    <w:p w14:paraId="44573B59" w14:textId="77777777" w:rsidR="006C4C46" w:rsidRDefault="006C4C46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618CA0D1" w14:textId="77777777" w:rsidR="006C4C46" w:rsidRDefault="006C4C46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6B0269CF" w14:textId="77777777" w:rsidR="006C4C46" w:rsidRDefault="006C4C46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56A21C04" w14:textId="77777777" w:rsidR="006C4C46" w:rsidRDefault="006C4C46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24199BFF" w14:textId="77777777" w:rsidR="006C4C46" w:rsidRDefault="006C4C46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0582579D" w14:textId="77777777" w:rsidR="006C4C46" w:rsidRDefault="006C4C46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7467CA92" w14:textId="77777777" w:rsidR="006C4C46" w:rsidRDefault="006C4C46">
      <w:pPr>
        <w:rPr>
          <w:rFonts w:ascii="Times New Roman" w:hAnsi="Times New Roman" w:cs="Times New Roman"/>
          <w:color w:val="000000" w:themeColor="text1"/>
          <w:szCs w:val="21"/>
          <w:lang w:val="en-US"/>
        </w:rPr>
      </w:pPr>
    </w:p>
    <w:p w14:paraId="4CD32725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  <w:lang w:val="en-US"/>
        </w:rPr>
      </w:pPr>
      <w:bookmarkStart w:id="6" w:name="OLE_LINK1"/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C177CBF" wp14:editId="3C197BC9">
            <wp:simplePos x="0" y="0"/>
            <wp:positionH relativeFrom="column">
              <wp:posOffset>132080</wp:posOffset>
            </wp:positionH>
            <wp:positionV relativeFrom="paragraph">
              <wp:posOffset>51435</wp:posOffset>
            </wp:positionV>
            <wp:extent cx="5270500" cy="1342390"/>
            <wp:effectExtent l="0" t="0" r="0" b="3810"/>
            <wp:wrapTopAndBottom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4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lang w:val="en-US"/>
        </w:rPr>
        <w:t>SI</w:t>
      </w:r>
      <w:r>
        <w:rPr>
          <w:rFonts w:ascii="Times New Roman" w:hAnsi="Times New Roman" w:cs="Times New Roman"/>
          <w:color w:val="000000" w:themeColor="text1"/>
          <w:szCs w:val="21"/>
          <w:lang w:val="en-US"/>
        </w:rPr>
        <w:t xml:space="preserve"> Figure 1</w:t>
      </w:r>
      <w:r>
        <w:rPr>
          <w:rFonts w:ascii="Times New Roman" w:hAnsi="Times New Roman" w:cs="Times New Roman" w:hint="eastAsia"/>
          <w:color w:val="000000" w:themeColor="text1"/>
          <w:szCs w:val="21"/>
          <w:lang w:val="en-US"/>
        </w:rPr>
        <w:t>. Uncropped immunoblots from Figure 1b and Extended Data Figure 1a.</w:t>
      </w:r>
    </w:p>
    <w:bookmarkEnd w:id="6"/>
    <w:p w14:paraId="5B9183B1" w14:textId="77777777" w:rsidR="006C4C46" w:rsidRDefault="00000000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:lang w:val="en-US"/>
        </w:rPr>
      </w:pPr>
      <w:r>
        <w:rPr>
          <w:rFonts w:ascii="Times New Roman" w:hAnsi="Times New Roman" w:cs="Times New Roman"/>
          <w:color w:val="000000" w:themeColor="text1"/>
          <w:szCs w:val="21"/>
          <w:lang w:val="en-US"/>
        </w:rPr>
        <w:br w:type="page"/>
      </w:r>
    </w:p>
    <w:p w14:paraId="7876018D" w14:textId="77777777" w:rsidR="006C4C46" w:rsidRDefault="00000000">
      <w:pPr>
        <w:rPr>
          <w:rFonts w:ascii="Times New Roman" w:hAnsi="Times New Roman" w:cs="Times New Roman"/>
          <w:color w:val="000000" w:themeColor="text1"/>
          <w:szCs w:val="21"/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38AEA40A" wp14:editId="1ED7DB31">
            <wp:simplePos x="0" y="0"/>
            <wp:positionH relativeFrom="column">
              <wp:posOffset>0</wp:posOffset>
            </wp:positionH>
            <wp:positionV relativeFrom="paragraph">
              <wp:posOffset>90170</wp:posOffset>
            </wp:positionV>
            <wp:extent cx="5267325" cy="3183255"/>
            <wp:effectExtent l="0" t="0" r="3175" b="444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8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2267FC6" w14:textId="77777777" w:rsidR="006C4C46" w:rsidRDefault="00000000">
      <w:pPr>
        <w:spacing w:afterLines="50" w:after="156"/>
        <w:rPr>
          <w:rFonts w:ascii="Times New Roman" w:eastAsia="DengXian" w:hAnsi="Times New Roman" w:cs="Times New Roman"/>
          <w:color w:val="000000" w:themeColor="text1"/>
          <w:sz w:val="20"/>
          <w:szCs w:val="20"/>
          <w:lang w:bidi="ar"/>
        </w:rPr>
      </w:pPr>
      <w:r>
        <w:rPr>
          <w:rFonts w:ascii="Times New Roman" w:eastAsia="DengXian" w:hAnsi="Times New Roman" w:cs="Times New Roman" w:hint="eastAsia"/>
          <w:color w:val="000000" w:themeColor="text1"/>
          <w:szCs w:val="21"/>
          <w:lang w:val="en-US" w:bidi="ar"/>
        </w:rPr>
        <w:t xml:space="preserve">SI </w:t>
      </w:r>
      <w:r>
        <w:rPr>
          <w:rFonts w:ascii="Times New Roman" w:eastAsia="DengXian" w:hAnsi="Times New Roman" w:cs="Times New Roman"/>
          <w:color w:val="000000" w:themeColor="text1"/>
          <w:szCs w:val="21"/>
          <w:lang w:bidi="ar"/>
        </w:rPr>
        <w:t>Figure</w:t>
      </w:r>
      <w:r>
        <w:rPr>
          <w:rFonts w:ascii="Times New Roman" w:eastAsia="DengXian" w:hAnsi="Times New Roman" w:cs="Times New Roman" w:hint="eastAsia"/>
          <w:color w:val="000000" w:themeColor="text1"/>
          <w:szCs w:val="21"/>
          <w:lang w:val="en-US" w:bidi="ar"/>
        </w:rPr>
        <w:t xml:space="preserve"> 2. </w:t>
      </w:r>
      <w:r>
        <w:rPr>
          <w:rFonts w:ascii="Times New Roman" w:eastAsia="DengXian" w:hAnsi="Times New Roman" w:cs="Times New Roman"/>
          <w:color w:val="000000" w:themeColor="text1"/>
          <w:sz w:val="20"/>
          <w:szCs w:val="20"/>
          <w:lang w:bidi="ar"/>
        </w:rPr>
        <w:t>Dry powder inhaler (DPI) device diagram and its application</w:t>
      </w:r>
      <w:r>
        <w:rPr>
          <w:rFonts w:ascii="Times New Roman" w:eastAsia="DengXian" w:hAnsi="Times New Roman" w:cs="Times New Roman" w:hint="eastAsia"/>
          <w:color w:val="000000" w:themeColor="text1"/>
          <w:sz w:val="20"/>
          <w:szCs w:val="20"/>
          <w:lang w:val="en-US" w:bidi="ar"/>
        </w:rPr>
        <w:t>s</w:t>
      </w:r>
      <w:r>
        <w:rPr>
          <w:rFonts w:ascii="Times New Roman" w:eastAsia="DengXian" w:hAnsi="Times New Roman" w:cs="Times New Roman"/>
          <w:color w:val="000000" w:themeColor="text1"/>
          <w:sz w:val="20"/>
          <w:szCs w:val="20"/>
          <w:lang w:bidi="ar"/>
        </w:rPr>
        <w:t>.</w:t>
      </w:r>
    </w:p>
    <w:p w14:paraId="7A00AB03" w14:textId="77777777" w:rsidR="006C4C46" w:rsidRDefault="00000000">
      <w:pPr>
        <w:spacing w:afterLines="50" w:after="156"/>
        <w:rPr>
          <w:rFonts w:ascii="Times New Roman" w:eastAsia="DengXian" w:hAnsi="Times New Roman" w:cs="Times New Roman"/>
          <w:color w:val="000000" w:themeColor="text1"/>
          <w:sz w:val="20"/>
          <w:szCs w:val="20"/>
          <w:lang w:bidi="ar"/>
        </w:rPr>
      </w:pPr>
      <w:r>
        <w:rPr>
          <w:rFonts w:ascii="Times New Roman" w:eastAsia="DengXian" w:hAnsi="Times New Roman" w:cs="Times New Roman"/>
          <w:color w:val="000000" w:themeColor="text1"/>
          <w:sz w:val="20"/>
          <w:szCs w:val="20"/>
          <w:lang w:bidi="ar"/>
        </w:rPr>
        <w:t>(a) DPI device diagram.</w:t>
      </w:r>
    </w:p>
    <w:p w14:paraId="06AD9B5D" w14:textId="77777777" w:rsidR="006C4C46" w:rsidRDefault="00000000">
      <w:pPr>
        <w:spacing w:afterLines="50" w:after="156"/>
        <w:rPr>
          <w:rFonts w:ascii="Times New Roman" w:eastAsia="DengXian" w:hAnsi="Times New Roman" w:cs="Times New Roman"/>
          <w:color w:val="000000" w:themeColor="text1"/>
          <w:sz w:val="20"/>
          <w:szCs w:val="20"/>
          <w:lang w:bidi="ar"/>
        </w:rPr>
      </w:pPr>
      <w:r>
        <w:rPr>
          <w:rFonts w:ascii="Times New Roman" w:eastAsia="DengXian" w:hAnsi="Times New Roman" w:cs="Times New Roman"/>
          <w:color w:val="000000" w:themeColor="text1"/>
          <w:sz w:val="20"/>
          <w:szCs w:val="20"/>
          <w:lang w:bidi="ar"/>
        </w:rPr>
        <w:t>(b)</w:t>
      </w:r>
      <w:bookmarkStart w:id="7" w:name="OLE_LINK23"/>
      <w:r>
        <w:rPr>
          <w:rFonts w:ascii="Times New Roman" w:eastAsia="DengXian" w:hAnsi="Times New Roman" w:cs="Times New Roman"/>
          <w:color w:val="000000" w:themeColor="text1"/>
          <w:sz w:val="20"/>
          <w:szCs w:val="20"/>
          <w:lang w:bidi="ar"/>
        </w:rPr>
        <w:t xml:space="preserve"> DPI device for mouse immunization.</w:t>
      </w:r>
      <w:bookmarkEnd w:id="7"/>
    </w:p>
    <w:p w14:paraId="4D2DE945" w14:textId="77777777" w:rsidR="006C4C46" w:rsidRDefault="00000000">
      <w:pPr>
        <w:spacing w:afterLines="50" w:after="156"/>
        <w:rPr>
          <w:rFonts w:ascii="Times New Roman" w:eastAsia="DengXian" w:hAnsi="Times New Roman" w:cs="Times New Roman"/>
          <w:color w:val="000000" w:themeColor="text1"/>
          <w:sz w:val="20"/>
          <w:szCs w:val="20"/>
          <w:lang w:bidi="ar"/>
        </w:rPr>
      </w:pPr>
      <w:r>
        <w:rPr>
          <w:rFonts w:ascii="Times New Roman" w:eastAsia="DengXian" w:hAnsi="Times New Roman" w:cs="Times New Roman"/>
          <w:color w:val="000000" w:themeColor="text1"/>
          <w:sz w:val="20"/>
          <w:szCs w:val="20"/>
          <w:lang w:bidi="ar"/>
        </w:rPr>
        <w:t>(c) DPI device for hamster immunization.</w:t>
      </w:r>
    </w:p>
    <w:p w14:paraId="755AD587" w14:textId="77777777" w:rsidR="006C4C46" w:rsidRDefault="00000000">
      <w:pPr>
        <w:rPr>
          <w:rFonts w:ascii="Times New Roman" w:eastAsia="DengXian" w:hAnsi="Times New Roman" w:cs="Times New Roman"/>
          <w:color w:val="000000" w:themeColor="text1"/>
          <w:sz w:val="20"/>
          <w:szCs w:val="20"/>
          <w:lang w:bidi="ar"/>
        </w:rPr>
      </w:pPr>
      <w:r>
        <w:rPr>
          <w:rFonts w:ascii="Times New Roman" w:eastAsia="DengXian" w:hAnsi="Times New Roman" w:cs="Times New Roman"/>
          <w:color w:val="000000" w:themeColor="text1"/>
          <w:sz w:val="20"/>
          <w:szCs w:val="20"/>
          <w:lang w:bidi="ar"/>
        </w:rPr>
        <w:t>(d) DPI device for monkey immunization.</w:t>
      </w:r>
    </w:p>
    <w:p w14:paraId="38BE979A" w14:textId="77777777" w:rsidR="006C4C46" w:rsidRDefault="00000000">
      <w:pPr>
        <w:widowControl/>
        <w:jc w:val="left"/>
        <w:rPr>
          <w:rFonts w:ascii="Times New Roman" w:eastAsia="DengXian" w:hAnsi="Times New Roman" w:cs="Times New Roman"/>
          <w:color w:val="FF0000"/>
          <w:sz w:val="20"/>
          <w:szCs w:val="20"/>
          <w:lang w:bidi="ar"/>
        </w:rPr>
      </w:pPr>
      <w:r>
        <w:rPr>
          <w:rFonts w:ascii="Times New Roman" w:eastAsia="DengXian" w:hAnsi="Times New Roman" w:cs="Times New Roman"/>
          <w:color w:val="FF0000"/>
          <w:sz w:val="20"/>
          <w:szCs w:val="20"/>
          <w:lang w:bidi="ar"/>
        </w:rPr>
        <w:br w:type="page"/>
      </w:r>
    </w:p>
    <w:p w14:paraId="02CAB6A8" w14:textId="5FF3956B" w:rsidR="006C4C46" w:rsidRDefault="005F552A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626FC4AA" wp14:editId="5EC40F95">
            <wp:extent cx="5238779" cy="8038061"/>
            <wp:effectExtent l="0" t="0" r="0" b="1270"/>
            <wp:docPr id="20207538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6613" cy="805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CDF7FD" w14:textId="77777777" w:rsidR="006C4C46" w:rsidRDefault="00000000">
      <w:pPr>
        <w:widowControl/>
        <w:spacing w:afterLines="50" w:after="156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  <w:lang w:val="en-US"/>
        </w:rPr>
        <w:t xml:space="preserve">SI </w:t>
      </w:r>
      <w:r>
        <w:rPr>
          <w:rFonts w:ascii="Times New Roman" w:hAnsi="Times New Roman" w:cs="Times New Roman"/>
          <w:szCs w:val="21"/>
        </w:rPr>
        <w:t xml:space="preserve">Figure </w:t>
      </w:r>
      <w:r>
        <w:rPr>
          <w:rFonts w:ascii="Times New Roman" w:hAnsi="Times New Roman" w:cs="Times New Roman" w:hint="eastAsia"/>
          <w:szCs w:val="21"/>
          <w:lang w:val="en-US"/>
        </w:rPr>
        <w:t>3</w:t>
      </w:r>
      <w:r>
        <w:rPr>
          <w:rFonts w:ascii="Times New Roman" w:hAnsi="Times New Roman" w:cs="Times New Roman"/>
          <w:szCs w:val="21"/>
        </w:rPr>
        <w:t xml:space="preserve">. Flow cytometric gating strategies, related to Figures </w:t>
      </w:r>
      <w:r>
        <w:rPr>
          <w:rFonts w:ascii="Times New Roman" w:hAnsi="Times New Roman" w:cs="Times New Roman" w:hint="eastAsia"/>
          <w:szCs w:val="21"/>
        </w:rPr>
        <w:t>2</w:t>
      </w:r>
      <w:r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 w:hint="eastAsia"/>
          <w:szCs w:val="21"/>
        </w:rPr>
        <w:t>Extended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Data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Figure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5</w:t>
      </w:r>
      <w:r>
        <w:rPr>
          <w:rFonts w:ascii="Times New Roman" w:hAnsi="Times New Roman" w:cs="Times New Roman"/>
          <w:szCs w:val="21"/>
        </w:rPr>
        <w:t>.</w:t>
      </w:r>
    </w:p>
    <w:p w14:paraId="39AF7E27" w14:textId="77777777" w:rsidR="006C4C46" w:rsidRDefault="00000000">
      <w:pPr>
        <w:widowControl/>
        <w:spacing w:afterLines="50" w:after="156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) Gating strategy </w:t>
      </w:r>
      <w:r>
        <w:rPr>
          <w:rFonts w:ascii="Times New Roman" w:eastAsia="DengXian" w:hAnsi="Times New Roman" w:cs="Times New Roman"/>
          <w:szCs w:val="21"/>
        </w:rPr>
        <w:t xml:space="preserve">used </w:t>
      </w:r>
      <w:r>
        <w:rPr>
          <w:rFonts w:ascii="Times New Roman" w:hAnsi="Times New Roman" w:cs="Times New Roman"/>
          <w:szCs w:val="21"/>
        </w:rPr>
        <w:t>in this study to distinguish lung</w:t>
      </w:r>
      <w:r>
        <w:rPr>
          <w:rFonts w:ascii="Times New Roman" w:eastAsia="DengXi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tissue-resident T cells.</w:t>
      </w:r>
    </w:p>
    <w:p w14:paraId="1C877576" w14:textId="77777777" w:rsidR="006C4C46" w:rsidRDefault="00000000">
      <w:pPr>
        <w:widowControl/>
        <w:spacing w:afterLines="50" w:after="156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(b) Gating strategy in this study used to distinguish multifunctional CD8</w:t>
      </w:r>
      <w:r>
        <w:rPr>
          <w:rFonts w:ascii="Times New Roman" w:hAnsi="Times New Roman" w:cs="Times New Roman"/>
          <w:szCs w:val="21"/>
          <w:vertAlign w:val="superscript"/>
        </w:rPr>
        <w:t>+</w:t>
      </w:r>
      <w:r>
        <w:rPr>
          <w:rFonts w:ascii="Times New Roman" w:hAnsi="Times New Roman" w:cs="Times New Roman"/>
          <w:szCs w:val="21"/>
        </w:rPr>
        <w:t xml:space="preserve"> T cells.</w:t>
      </w:r>
    </w:p>
    <w:p w14:paraId="13B1FACC" w14:textId="77777777" w:rsidR="006C4C46" w:rsidRDefault="00000000">
      <w:pPr>
        <w:widowControl/>
        <w:spacing w:afterLines="50" w:after="156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  <w:lang w:val="en-US"/>
        </w:rPr>
        <w:t>c</w:t>
      </w:r>
      <w:r>
        <w:rPr>
          <w:rFonts w:ascii="Times New Roman" w:hAnsi="Times New Roman" w:cs="Times New Roman"/>
          <w:szCs w:val="21"/>
        </w:rPr>
        <w:t>) Gating strategy in this study used to distinguish activated B cells.</w:t>
      </w:r>
    </w:p>
    <w:p w14:paraId="2DEF302A" w14:textId="77777777" w:rsidR="006C4C46" w:rsidRDefault="00000000">
      <w:pPr>
        <w:rPr>
          <w:rFonts w:ascii="Times New Roman" w:hAnsi="Times New Roman" w:cs="Times New Roman"/>
          <w:b/>
          <w:bCs/>
          <w:szCs w:val="21"/>
          <w:lang w:val="en-US"/>
        </w:rPr>
      </w:pPr>
      <w:r>
        <w:rPr>
          <w:rFonts w:ascii="Times New Roman" w:eastAsia="DengXian" w:hAnsi="Times New Roman" w:cs="Times New Roman"/>
          <w:szCs w:val="21"/>
        </w:rPr>
        <w:t>The example</w:t>
      </w:r>
      <w:r>
        <w:rPr>
          <w:rFonts w:ascii="Times New Roman" w:hAnsi="Times New Roman" w:cs="Times New Roman"/>
          <w:szCs w:val="21"/>
        </w:rPr>
        <w:t xml:space="preserve"> shown </w:t>
      </w:r>
      <w:r>
        <w:rPr>
          <w:rFonts w:ascii="Times New Roman" w:eastAsia="DengXian" w:hAnsi="Times New Roman" w:cs="Times New Roman"/>
          <w:szCs w:val="21"/>
        </w:rPr>
        <w:t>is</w:t>
      </w:r>
      <w:r>
        <w:rPr>
          <w:rFonts w:ascii="Times New Roman" w:hAnsi="Times New Roman" w:cs="Times New Roman"/>
          <w:szCs w:val="21"/>
        </w:rPr>
        <w:t xml:space="preserve"> representative </w:t>
      </w:r>
      <w:r>
        <w:rPr>
          <w:rFonts w:ascii="Times New Roman" w:eastAsia="DengXian" w:hAnsi="Times New Roman" w:cs="Times New Roman"/>
          <w:szCs w:val="21"/>
        </w:rPr>
        <w:t>of</w:t>
      </w:r>
      <w:r>
        <w:rPr>
          <w:rFonts w:ascii="Times New Roman" w:hAnsi="Times New Roman" w:cs="Times New Roman"/>
          <w:szCs w:val="21"/>
        </w:rPr>
        <w:t xml:space="preserve"> BALB/c mice vaccinated with R-CNP@M via inhalation.</w:t>
      </w:r>
    </w:p>
    <w:sectPr w:rsidR="006C4C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59D464" w14:textId="77777777" w:rsidR="00905E4C" w:rsidRDefault="00905E4C" w:rsidP="005F552A">
      <w:r>
        <w:separator/>
      </w:r>
    </w:p>
  </w:endnote>
  <w:endnote w:type="continuationSeparator" w:id="0">
    <w:p w14:paraId="19CD6700" w14:textId="77777777" w:rsidR="00905E4C" w:rsidRDefault="00905E4C" w:rsidP="005F5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7F37D0" w14:textId="77777777" w:rsidR="00905E4C" w:rsidRDefault="00905E4C" w:rsidP="005F552A">
      <w:r>
        <w:separator/>
      </w:r>
    </w:p>
  </w:footnote>
  <w:footnote w:type="continuationSeparator" w:id="0">
    <w:p w14:paraId="3F4401DE" w14:textId="77777777" w:rsidR="00905E4C" w:rsidRDefault="00905E4C" w:rsidP="005F55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E3Y2I3OTRlNTA1NjUwZGY1NGI3NTM4NWZhMGI4N2IifQ=="/>
  </w:docVars>
  <w:rsids>
    <w:rsidRoot w:val="001E11E0"/>
    <w:rsid w:val="000A6C5C"/>
    <w:rsid w:val="001E11E0"/>
    <w:rsid w:val="002E6643"/>
    <w:rsid w:val="0037155F"/>
    <w:rsid w:val="00467ECE"/>
    <w:rsid w:val="00583867"/>
    <w:rsid w:val="005F552A"/>
    <w:rsid w:val="006C4C46"/>
    <w:rsid w:val="00905E4C"/>
    <w:rsid w:val="00F561EF"/>
    <w:rsid w:val="054B711F"/>
    <w:rsid w:val="0D345CA2"/>
    <w:rsid w:val="1C204A0A"/>
    <w:rsid w:val="21982867"/>
    <w:rsid w:val="21C30312"/>
    <w:rsid w:val="22DD5403"/>
    <w:rsid w:val="247B4ED4"/>
    <w:rsid w:val="3D785FFC"/>
    <w:rsid w:val="3FD626E3"/>
    <w:rsid w:val="47C167F2"/>
    <w:rsid w:val="4D4E7526"/>
    <w:rsid w:val="6EC72090"/>
    <w:rsid w:val="74115B51"/>
    <w:rsid w:val="747D56CB"/>
    <w:rsid w:val="7722255A"/>
    <w:rsid w:val="78A7721B"/>
    <w:rsid w:val="7F7D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BD204C0"/>
  <w15:docId w15:val="{F57E0570-8B30-4EAE-A169-15A1C09B6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  <w:lang w:val="en-GB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444</Words>
  <Characters>2534</Characters>
  <Application>Microsoft Office Word</Application>
  <DocSecurity>0</DocSecurity>
  <Lines>21</Lines>
  <Paragraphs>5</Paragraphs>
  <ScaleCrop>false</ScaleCrop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李鑫</dc:creator>
  <cp:lastModifiedBy>leafy</cp:lastModifiedBy>
  <cp:revision>4</cp:revision>
  <dcterms:created xsi:type="dcterms:W3CDTF">2023-08-29T12:02:00Z</dcterms:created>
  <dcterms:modified xsi:type="dcterms:W3CDTF">2023-08-30T13:18:00Z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F4EED035CFC541389F26A9979D29ECD6_12</vt:lpwstr>
  </property>
</Properties>
</file>