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6F663" w14:textId="77777777" w:rsidR="008A04DB" w:rsidRPr="001501F2" w:rsidRDefault="008A04DB" w:rsidP="008A04DB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Pr="001501F2">
        <w:rPr>
          <w:rFonts w:ascii="Arial" w:hAnsi="Arial" w:cs="Arial"/>
          <w:b/>
          <w:sz w:val="24"/>
          <w:szCs w:val="24"/>
        </w:rPr>
        <w:t xml:space="preserve">mbient and household air pollution on </w:t>
      </w:r>
      <w:r>
        <w:rPr>
          <w:rFonts w:ascii="Arial" w:hAnsi="Arial" w:cs="Arial"/>
          <w:b/>
          <w:sz w:val="24"/>
          <w:szCs w:val="24"/>
        </w:rPr>
        <w:t xml:space="preserve">early-life determinants of </w:t>
      </w:r>
      <w:r w:rsidRPr="001501F2">
        <w:rPr>
          <w:rFonts w:ascii="Arial" w:hAnsi="Arial" w:cs="Arial"/>
          <w:b/>
          <w:sz w:val="24"/>
          <w:szCs w:val="24"/>
        </w:rPr>
        <w:t>stunting – a systematic review and meta-analysis</w:t>
      </w:r>
    </w:p>
    <w:p w14:paraId="0504F366" w14:textId="04F389C6" w:rsidR="008A04DB" w:rsidRPr="004161F0" w:rsidRDefault="008A04DB" w:rsidP="008A04DB">
      <w:r w:rsidRPr="003042DF">
        <w:t>Vivian C. Pun; Russell Dowling, Sumi Mehta</w:t>
      </w:r>
    </w:p>
    <w:p w14:paraId="29FA34EC" w14:textId="77777777" w:rsidR="008A04DB" w:rsidRPr="009E2A14" w:rsidRDefault="008A04DB" w:rsidP="009E2A14">
      <w:pPr>
        <w:jc w:val="center"/>
        <w:rPr>
          <w:b/>
          <w:sz w:val="28"/>
          <w:szCs w:val="28"/>
        </w:rPr>
      </w:pPr>
      <w:r w:rsidRPr="009E2A14">
        <w:rPr>
          <w:b/>
          <w:sz w:val="28"/>
          <w:szCs w:val="28"/>
        </w:rPr>
        <w:t>Supplementary materials</w:t>
      </w:r>
    </w:p>
    <w:p w14:paraId="2B130EA7" w14:textId="77777777" w:rsidR="004161F0" w:rsidRDefault="004161F0" w:rsidP="008A04DB">
      <w:pPr>
        <w:rPr>
          <w:sz w:val="12"/>
          <w:szCs w:val="12"/>
        </w:rPr>
      </w:pPr>
      <w:r w:rsidRPr="001501F2">
        <w:rPr>
          <w:b/>
          <w:sz w:val="24"/>
          <w:szCs w:val="24"/>
        </w:rPr>
        <w:t>S1</w:t>
      </w:r>
      <w:r>
        <w:rPr>
          <w:b/>
          <w:sz w:val="24"/>
          <w:szCs w:val="24"/>
        </w:rPr>
        <w:t xml:space="preserve"> </w:t>
      </w:r>
      <w:r w:rsidR="008A04DB" w:rsidRPr="001501F2">
        <w:rPr>
          <w:b/>
          <w:sz w:val="24"/>
          <w:szCs w:val="24"/>
        </w:rPr>
        <w:t>Figure.</w:t>
      </w:r>
      <w:r w:rsidR="008A04DB" w:rsidRPr="001501F2">
        <w:rPr>
          <w:sz w:val="24"/>
          <w:szCs w:val="24"/>
        </w:rPr>
        <w:t xml:space="preserve"> Odds ratios and 95% confidence intervals (CI) for stunting per 10 </w:t>
      </w:r>
      <w:proofErr w:type="spellStart"/>
      <w:r w:rsidR="008A04DB">
        <w:rPr>
          <w:sz w:val="24"/>
          <w:szCs w:val="24"/>
        </w:rPr>
        <w:t>μg</w:t>
      </w:r>
      <w:proofErr w:type="spellEnd"/>
      <w:r w:rsidR="008A04DB">
        <w:rPr>
          <w:sz w:val="24"/>
          <w:szCs w:val="24"/>
        </w:rPr>
        <w:t>/m</w:t>
      </w:r>
      <w:r w:rsidR="008A04DB" w:rsidRPr="001501F2">
        <w:rPr>
          <w:sz w:val="24"/>
          <w:szCs w:val="24"/>
          <w:vertAlign w:val="superscript"/>
        </w:rPr>
        <w:t>3</w:t>
      </w:r>
      <w:r w:rsidR="008A04DB" w:rsidRPr="001501F2">
        <w:rPr>
          <w:sz w:val="24"/>
          <w:szCs w:val="24"/>
        </w:rPr>
        <w:t xml:space="preserve"> increase in ambient PM</w:t>
      </w:r>
      <w:r w:rsidR="008A04DB" w:rsidRPr="001501F2">
        <w:rPr>
          <w:sz w:val="24"/>
          <w:szCs w:val="24"/>
          <w:vertAlign w:val="subscript"/>
        </w:rPr>
        <w:t>10</w:t>
      </w:r>
      <w:r w:rsidR="008A04DB" w:rsidRPr="001501F2">
        <w:rPr>
          <w:sz w:val="24"/>
          <w:szCs w:val="24"/>
        </w:rPr>
        <w:t xml:space="preserve"> concentration, by exposure period; pooled estimates of odds ratios are indicated by vertical points of diamonds and 95% CI are represented by horizontal points; size of shaded area around point estimate is proportional to weight in calculating pooled estimate.</w:t>
      </w:r>
      <w:r w:rsidR="008A04DB" w:rsidRPr="001501F2">
        <w:rPr>
          <w:sz w:val="12"/>
          <w:szCs w:val="12"/>
        </w:rPr>
        <w:t xml:space="preserve"> </w:t>
      </w:r>
    </w:p>
    <w:p w14:paraId="7ECD034B" w14:textId="0DF92BD4" w:rsidR="008A04DB" w:rsidRPr="001501F2" w:rsidRDefault="008A04DB" w:rsidP="008A04DB">
      <w:pPr>
        <w:rPr>
          <w:b/>
          <w:sz w:val="24"/>
          <w:szCs w:val="24"/>
        </w:rPr>
      </w:pPr>
      <w:r w:rsidRPr="001501F2">
        <w:rPr>
          <w:noProof/>
          <w:sz w:val="12"/>
          <w:szCs w:val="12"/>
        </w:rPr>
        <w:drawing>
          <wp:inline distT="0" distB="0" distL="0" distR="0" wp14:anchorId="434B1DF7" wp14:editId="2EE68264">
            <wp:extent cx="5667375" cy="615594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M10_SGA_all (all outcomes def)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4" t="8227" r="7372" b="8480"/>
                    <a:stretch/>
                  </pic:blipFill>
                  <pic:spPr bwMode="auto">
                    <a:xfrm>
                      <a:off x="0" y="0"/>
                      <a:ext cx="5669006" cy="6157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501F2">
        <w:rPr>
          <w:sz w:val="12"/>
          <w:szCs w:val="12"/>
        </w:rPr>
        <w:br w:type="page"/>
      </w:r>
    </w:p>
    <w:p w14:paraId="1A0451FA" w14:textId="6F84B524" w:rsidR="008A04DB" w:rsidRPr="001501F2" w:rsidRDefault="004161F0" w:rsidP="008A04DB">
      <w:pPr>
        <w:rPr>
          <w:b/>
        </w:rPr>
      </w:pPr>
      <w:r w:rsidRPr="001501F2">
        <w:rPr>
          <w:b/>
          <w:sz w:val="24"/>
          <w:szCs w:val="24"/>
        </w:rPr>
        <w:lastRenderedPageBreak/>
        <w:t>S2</w:t>
      </w:r>
      <w:r>
        <w:rPr>
          <w:b/>
          <w:sz w:val="24"/>
          <w:szCs w:val="24"/>
        </w:rPr>
        <w:t xml:space="preserve"> </w:t>
      </w:r>
      <w:r w:rsidR="008A04DB" w:rsidRPr="001501F2">
        <w:rPr>
          <w:b/>
          <w:sz w:val="24"/>
          <w:szCs w:val="24"/>
        </w:rPr>
        <w:t xml:space="preserve">Figure. </w:t>
      </w:r>
      <w:r w:rsidR="008A04DB" w:rsidRPr="001501F2">
        <w:rPr>
          <w:sz w:val="24"/>
          <w:szCs w:val="24"/>
        </w:rPr>
        <w:t>Odds ratios and 95% confidence intervals (CI) for severe stunting associated with exposure to household air pollution from solid fuel use compared with cleaner fuels during entire pregnancy; pooled estimates of odds ratios are indicated by vertical points of diamonds and 95% CI are represented by horizontal points; size of shaded area around point estimate is proportional to weight in calculating pooled estimate.</w:t>
      </w:r>
    </w:p>
    <w:p w14:paraId="32C9B5DE" w14:textId="77777777" w:rsidR="008A04DB" w:rsidRPr="001501F2" w:rsidRDefault="008A04DB" w:rsidP="008A04DB">
      <w:pPr>
        <w:rPr>
          <w:b/>
        </w:rPr>
      </w:pPr>
      <w:r w:rsidRPr="001501F2">
        <w:rPr>
          <w:noProof/>
          <w:sz w:val="12"/>
          <w:szCs w:val="12"/>
        </w:rPr>
        <w:drawing>
          <wp:inline distT="0" distB="0" distL="0" distR="0" wp14:anchorId="4EA1F588" wp14:editId="3655471C">
            <wp:extent cx="5943600" cy="178492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8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2DB83" w14:textId="77777777" w:rsidR="008A04DB" w:rsidRPr="001501F2" w:rsidRDefault="008A04DB" w:rsidP="008A04DB">
      <w:pPr>
        <w:rPr>
          <w:b/>
          <w:sz w:val="24"/>
          <w:szCs w:val="24"/>
        </w:rPr>
      </w:pPr>
      <w:r w:rsidRPr="001501F2">
        <w:rPr>
          <w:b/>
          <w:sz w:val="24"/>
          <w:szCs w:val="24"/>
        </w:rPr>
        <w:br w:type="page"/>
      </w:r>
    </w:p>
    <w:p w14:paraId="28BC36F0" w14:textId="47A3A2EA" w:rsidR="008A04DB" w:rsidRPr="001501F2" w:rsidRDefault="008A04DB" w:rsidP="008A04DB">
      <w:pPr>
        <w:rPr>
          <w:b/>
          <w:sz w:val="24"/>
          <w:szCs w:val="24"/>
        </w:rPr>
      </w:pPr>
      <w:r w:rsidRPr="001501F2">
        <w:rPr>
          <w:b/>
          <w:sz w:val="24"/>
          <w:szCs w:val="24"/>
        </w:rPr>
        <w:lastRenderedPageBreak/>
        <w:t>S3</w:t>
      </w:r>
      <w:r w:rsidR="004161F0">
        <w:rPr>
          <w:b/>
          <w:sz w:val="24"/>
          <w:szCs w:val="24"/>
        </w:rPr>
        <w:t xml:space="preserve"> </w:t>
      </w:r>
      <w:r w:rsidR="004161F0" w:rsidRPr="001501F2">
        <w:rPr>
          <w:b/>
          <w:sz w:val="24"/>
          <w:szCs w:val="24"/>
        </w:rPr>
        <w:t>Figure</w:t>
      </w:r>
      <w:r w:rsidRPr="001501F2">
        <w:rPr>
          <w:b/>
          <w:sz w:val="24"/>
          <w:szCs w:val="24"/>
        </w:rPr>
        <w:t xml:space="preserve">. </w:t>
      </w:r>
      <w:r w:rsidRPr="001501F2">
        <w:rPr>
          <w:sz w:val="24"/>
          <w:szCs w:val="24"/>
        </w:rPr>
        <w:t>Sensitivity analysis for SGA and PM</w:t>
      </w:r>
      <w:r w:rsidRPr="001501F2">
        <w:rPr>
          <w:sz w:val="24"/>
          <w:szCs w:val="24"/>
          <w:vertAlign w:val="subscript"/>
        </w:rPr>
        <w:t>2.5</w:t>
      </w:r>
      <w:r w:rsidRPr="001501F2">
        <w:rPr>
          <w:sz w:val="24"/>
          <w:szCs w:val="24"/>
        </w:rPr>
        <w:t xml:space="preserve"> (continuous) exposure during trimester 1</w:t>
      </w:r>
      <w:r w:rsidR="00435B95">
        <w:rPr>
          <w:sz w:val="24"/>
          <w:szCs w:val="24"/>
        </w:rPr>
        <w:t>.</w:t>
      </w:r>
    </w:p>
    <w:p w14:paraId="579462E3" w14:textId="469537C2" w:rsidR="008A04DB" w:rsidRDefault="008A04DB" w:rsidP="008A04DB">
      <w:pPr>
        <w:rPr>
          <w:b/>
          <w:sz w:val="24"/>
          <w:szCs w:val="24"/>
        </w:rPr>
      </w:pPr>
      <w:r w:rsidRPr="001501F2">
        <w:rPr>
          <w:b/>
          <w:noProof/>
          <w:sz w:val="24"/>
          <w:szCs w:val="24"/>
        </w:rPr>
        <w:drawing>
          <wp:inline distT="0" distB="0" distL="0" distR="0" wp14:anchorId="0095DBCF" wp14:editId="101E577D">
            <wp:extent cx="5268686" cy="1741714"/>
            <wp:effectExtent l="0" t="0" r="8255" b="1143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588E5AA" w14:textId="4FDFA2F1" w:rsidR="00435B95" w:rsidRDefault="00435B95" w:rsidP="008A04DB">
      <w:pPr>
        <w:rPr>
          <w:b/>
          <w:sz w:val="24"/>
          <w:szCs w:val="24"/>
        </w:rPr>
      </w:pPr>
    </w:p>
    <w:p w14:paraId="517ADEE0" w14:textId="023503BA" w:rsidR="00435B95" w:rsidRPr="001501F2" w:rsidRDefault="00435B95" w:rsidP="008A04DB">
      <w:pPr>
        <w:rPr>
          <w:b/>
          <w:sz w:val="24"/>
          <w:szCs w:val="24"/>
        </w:rPr>
      </w:pPr>
      <w:r w:rsidRPr="001501F2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</w:t>
      </w:r>
      <w:r w:rsidRPr="001501F2">
        <w:rPr>
          <w:b/>
          <w:sz w:val="24"/>
          <w:szCs w:val="24"/>
        </w:rPr>
        <w:t xml:space="preserve">Figure. </w:t>
      </w:r>
      <w:r w:rsidRPr="001501F2">
        <w:rPr>
          <w:sz w:val="24"/>
          <w:szCs w:val="24"/>
        </w:rPr>
        <w:t>Sensitivity analysis for HAZ and household air pollution.</w:t>
      </w:r>
    </w:p>
    <w:p w14:paraId="72A2862A" w14:textId="77777777" w:rsidR="008A04DB" w:rsidRPr="001501F2" w:rsidRDefault="008A04DB" w:rsidP="008A04DB">
      <w:pPr>
        <w:rPr>
          <w:b/>
          <w:sz w:val="24"/>
          <w:szCs w:val="24"/>
        </w:rPr>
      </w:pPr>
      <w:r w:rsidRPr="001501F2">
        <w:rPr>
          <w:b/>
          <w:noProof/>
          <w:sz w:val="24"/>
          <w:szCs w:val="24"/>
        </w:rPr>
        <w:drawing>
          <wp:inline distT="0" distB="0" distL="0" distR="0" wp14:anchorId="770F0E3B" wp14:editId="17A1DF24">
            <wp:extent cx="5268686" cy="1741714"/>
            <wp:effectExtent l="0" t="0" r="8255" b="1143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001E215" w14:textId="77777777" w:rsidR="00DD48A1" w:rsidRDefault="00435B95">
      <w:bookmarkStart w:id="0" w:name="_GoBack"/>
      <w:bookmarkEnd w:id="0"/>
    </w:p>
    <w:sectPr w:rsidR="00DD48A1" w:rsidSect="004161F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4DB"/>
    <w:rsid w:val="000C5B20"/>
    <w:rsid w:val="00172AF3"/>
    <w:rsid w:val="001A755D"/>
    <w:rsid w:val="001B1D30"/>
    <w:rsid w:val="001F496D"/>
    <w:rsid w:val="00293939"/>
    <w:rsid w:val="0033304E"/>
    <w:rsid w:val="003A04A1"/>
    <w:rsid w:val="004161F0"/>
    <w:rsid w:val="00435B95"/>
    <w:rsid w:val="00483884"/>
    <w:rsid w:val="0051629C"/>
    <w:rsid w:val="0066480F"/>
    <w:rsid w:val="006721BC"/>
    <w:rsid w:val="00711AB3"/>
    <w:rsid w:val="00744F64"/>
    <w:rsid w:val="00751DBA"/>
    <w:rsid w:val="007A190F"/>
    <w:rsid w:val="007D37F9"/>
    <w:rsid w:val="008A04DB"/>
    <w:rsid w:val="008C6639"/>
    <w:rsid w:val="008D435A"/>
    <w:rsid w:val="008E1221"/>
    <w:rsid w:val="008F37BA"/>
    <w:rsid w:val="00966E9D"/>
    <w:rsid w:val="009B1BB5"/>
    <w:rsid w:val="009E2A14"/>
    <w:rsid w:val="00A0605F"/>
    <w:rsid w:val="00A17AC0"/>
    <w:rsid w:val="00A32A42"/>
    <w:rsid w:val="00A52072"/>
    <w:rsid w:val="00B161AB"/>
    <w:rsid w:val="00B61834"/>
    <w:rsid w:val="00B85FDF"/>
    <w:rsid w:val="00BA762B"/>
    <w:rsid w:val="00BC631F"/>
    <w:rsid w:val="00BD5380"/>
    <w:rsid w:val="00CD679B"/>
    <w:rsid w:val="00D53A2A"/>
    <w:rsid w:val="00DB5D75"/>
    <w:rsid w:val="00E72CD1"/>
    <w:rsid w:val="00EC6560"/>
    <w:rsid w:val="00F0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A90BC"/>
  <w14:defaultImageDpi w14:val="32767"/>
  <w15:chartTrackingRefBased/>
  <w15:docId w15:val="{32B82A0D-2B78-E649-BED6-55D1FDD7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A04DB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A04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4241614699934233E-2"/>
          <c:y val="6.6301969365426733E-2"/>
          <c:w val="0.89924277724896295"/>
          <c:h val="0.60424254955001522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OR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Sheet1!$G$2:$G$11</c:f>
                <c:numCache>
                  <c:formatCode>General</c:formatCode>
                  <c:ptCount val="10"/>
                  <c:pt idx="0">
                    <c:v>2.200000000000002E-2</c:v>
                  </c:pt>
                  <c:pt idx="1">
                    <c:v>2.289999999999992E-2</c:v>
                  </c:pt>
                  <c:pt idx="2">
                    <c:v>2.100000000000013E-2</c:v>
                  </c:pt>
                  <c:pt idx="3">
                    <c:v>2.4399999999999977E-2</c:v>
                  </c:pt>
                  <c:pt idx="4">
                    <c:v>2.289999999999992E-2</c:v>
                  </c:pt>
                  <c:pt idx="5">
                    <c:v>2.0000000000000018E-2</c:v>
                  </c:pt>
                  <c:pt idx="6">
                    <c:v>2.1200000000000108E-2</c:v>
                  </c:pt>
                  <c:pt idx="7">
                    <c:v>2.1700000000000053E-2</c:v>
                  </c:pt>
                  <c:pt idx="8">
                    <c:v>2.3700000000000054E-2</c:v>
                  </c:pt>
                  <c:pt idx="9">
                    <c:v>2.5299999999999878E-2</c:v>
                  </c:pt>
                </c:numCache>
              </c:numRef>
            </c:plus>
            <c:minus>
              <c:numRef>
                <c:f>Sheet1!$F$2:$F$11</c:f>
                <c:numCache>
                  <c:formatCode>General</c:formatCode>
                  <c:ptCount val="10"/>
                  <c:pt idx="0">
                    <c:v>2.0000000000000018E-2</c:v>
                  </c:pt>
                  <c:pt idx="1">
                    <c:v>2.2300000000000209E-2</c:v>
                  </c:pt>
                  <c:pt idx="2">
                    <c:v>2.0599999999999952E-2</c:v>
                  </c:pt>
                  <c:pt idx="3">
                    <c:v>2.3799999999999932E-2</c:v>
                  </c:pt>
                  <c:pt idx="4">
                    <c:v>2.2299999999999986E-2</c:v>
                  </c:pt>
                  <c:pt idx="5">
                    <c:v>1.9699999999999829E-2</c:v>
                  </c:pt>
                  <c:pt idx="6">
                    <c:v>2.079999999999993E-2</c:v>
                  </c:pt>
                  <c:pt idx="7">
                    <c:v>2.1199999999999886E-2</c:v>
                  </c:pt>
                  <c:pt idx="8">
                    <c:v>2.3099999999999898E-2</c:v>
                  </c:pt>
                  <c:pt idx="9">
                    <c:v>2.4600000000000066E-2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Sheet1!$A$2:$A$11</c:f>
              <c:strCache>
                <c:ptCount val="10"/>
                <c:pt idx="0">
                  <c:v>Primary analysis</c:v>
                </c:pt>
                <c:pt idx="1">
                  <c:v>Stieb et al., 2016</c:v>
                </c:pt>
                <c:pt idx="2">
                  <c:v>Mannes et al., 2005</c:v>
                </c:pt>
                <c:pt idx="3">
                  <c:v>Hyder et al., 2014</c:v>
                </c:pt>
                <c:pt idx="4">
                  <c:v>Liu et al., 2007</c:v>
                </c:pt>
                <c:pt idx="5">
                  <c:v>Percy et al., 2019</c:v>
                </c:pt>
                <c:pt idx="6">
                  <c:v>Rich et al., 2009</c:v>
                </c:pt>
                <c:pt idx="7">
                  <c:v>Lee et al., 2013</c:v>
                </c:pt>
                <c:pt idx="8">
                  <c:v>Wang et al., 2019</c:v>
                </c:pt>
                <c:pt idx="9">
                  <c:v>Qian et al., 2016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1.0229999999999999</c:v>
                </c:pt>
                <c:pt idx="1">
                  <c:v>1.0273000000000001</c:v>
                </c:pt>
                <c:pt idx="2">
                  <c:v>1.0246999999999999</c:v>
                </c:pt>
                <c:pt idx="3">
                  <c:v>1.0186999999999999</c:v>
                </c:pt>
                <c:pt idx="4">
                  <c:v>1.0163</c:v>
                </c:pt>
                <c:pt idx="5">
                  <c:v>1.0291999999999999</c:v>
                </c:pt>
                <c:pt idx="6">
                  <c:v>1.0203</c:v>
                </c:pt>
                <c:pt idx="7">
                  <c:v>1.0228999999999999</c:v>
                </c:pt>
                <c:pt idx="8">
                  <c:v>1.0268999999999999</c:v>
                </c:pt>
                <c:pt idx="9">
                  <c:v>1.0239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65D-E741-85D1-194E54456D6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ln w="12700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strRef>
              <c:f>Sheet1!$A$2:$A$11</c:f>
              <c:strCache>
                <c:ptCount val="10"/>
                <c:pt idx="0">
                  <c:v>Primary analysis</c:v>
                </c:pt>
                <c:pt idx="1">
                  <c:v>Stieb et al., 2016</c:v>
                </c:pt>
                <c:pt idx="2">
                  <c:v>Mannes et al., 2005</c:v>
                </c:pt>
                <c:pt idx="3">
                  <c:v>Hyder et al., 2014</c:v>
                </c:pt>
                <c:pt idx="4">
                  <c:v>Liu et al., 2007</c:v>
                </c:pt>
                <c:pt idx="5">
                  <c:v>Percy et al., 2019</c:v>
                </c:pt>
                <c:pt idx="6">
                  <c:v>Rich et al., 2009</c:v>
                </c:pt>
                <c:pt idx="7">
                  <c:v>Lee et al., 2013</c:v>
                </c:pt>
                <c:pt idx="8">
                  <c:v>Wang et al., 2019</c:v>
                </c:pt>
                <c:pt idx="9">
                  <c:v>Qian et al., 2016</c:v>
                </c:pt>
              </c:strCache>
            </c: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65D-E741-85D1-194E54456D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2158656"/>
        <c:axId val="452160624"/>
      </c:lineChart>
      <c:catAx>
        <c:axId val="452158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2160624"/>
        <c:crosses val="autoZero"/>
        <c:auto val="1"/>
        <c:lblAlgn val="ctr"/>
        <c:lblOffset val="100"/>
        <c:tickMarkSkip val="1"/>
        <c:noMultiLvlLbl val="0"/>
      </c:catAx>
      <c:valAx>
        <c:axId val="452160624"/>
        <c:scaling>
          <c:orientation val="minMax"/>
          <c:min val="0.97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2158656"/>
        <c:crossesAt val="0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3249689907840703E-2"/>
          <c:y val="8.8183807439824957E-2"/>
          <c:w val="0.9102347020410565"/>
          <c:h val="0.66248499572126784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OR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Sheet1!$E$2:$E$7</c:f>
                <c:numCache>
                  <c:formatCode>General</c:formatCode>
                  <c:ptCount val="6"/>
                  <c:pt idx="0">
                    <c:v>0.185</c:v>
                  </c:pt>
                  <c:pt idx="1">
                    <c:v>0.19950000000000001</c:v>
                  </c:pt>
                  <c:pt idx="2">
                    <c:v>0.27250000000000002</c:v>
                  </c:pt>
                  <c:pt idx="3">
                    <c:v>0.2019</c:v>
                  </c:pt>
                  <c:pt idx="4">
                    <c:v>0.33610000000000001</c:v>
                  </c:pt>
                  <c:pt idx="5">
                    <c:v>0.1171</c:v>
                  </c:pt>
                </c:numCache>
              </c:numRef>
            </c:plus>
            <c:minus>
              <c:numRef>
                <c:f>Sheet1!$D$2:$D$7</c:f>
                <c:numCache>
                  <c:formatCode>General</c:formatCode>
                  <c:ptCount val="6"/>
                  <c:pt idx="0">
                    <c:v>0.16</c:v>
                  </c:pt>
                  <c:pt idx="1">
                    <c:v>0.16830000000000001</c:v>
                  </c:pt>
                  <c:pt idx="2">
                    <c:v>0.21729999999999999</c:v>
                  </c:pt>
                  <c:pt idx="3">
                    <c:v>0.17130000000000001</c:v>
                  </c:pt>
                  <c:pt idx="4">
                    <c:v>0.25829999999999997</c:v>
                  </c:pt>
                  <c:pt idx="5">
                    <c:v>0.1066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Sheet1!$A$2:$A$7</c:f>
              <c:strCache>
                <c:ptCount val="6"/>
                <c:pt idx="0">
                  <c:v>Primary analysis</c:v>
                </c:pt>
                <c:pt idx="1">
                  <c:v>Tielsch et al., 2009</c:v>
                </c:pt>
                <c:pt idx="2">
                  <c:v>Kyu et al., 2009</c:v>
                </c:pt>
                <c:pt idx="3">
                  <c:v>Machisa et al., 2013</c:v>
                </c:pt>
                <c:pt idx="4">
                  <c:v>Fenske et al., 2013</c:v>
                </c:pt>
                <c:pt idx="5">
                  <c:v>Kim et al., 2017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1.129</c:v>
                </c:pt>
                <c:pt idx="1">
                  <c:v>1.0791999999999999</c:v>
                </c:pt>
                <c:pt idx="2">
                  <c:v>1.0733999999999999</c:v>
                </c:pt>
                <c:pt idx="3">
                  <c:v>1.1266</c:v>
                </c:pt>
                <c:pt idx="4">
                  <c:v>1.1152</c:v>
                </c:pt>
                <c:pt idx="5">
                  <c:v>1.1787000000000001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793-C74E-861D-9A03C6E7546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spPr>
            <a:ln w="12700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strRef>
              <c:f>Sheet1!$A$2:$A$7</c:f>
              <c:strCache>
                <c:ptCount val="6"/>
                <c:pt idx="0">
                  <c:v>Primary analysis</c:v>
                </c:pt>
                <c:pt idx="1">
                  <c:v>Tielsch et al., 2009</c:v>
                </c:pt>
                <c:pt idx="2">
                  <c:v>Kyu et al., 2009</c:v>
                </c:pt>
                <c:pt idx="3">
                  <c:v>Machisa et al., 2013</c:v>
                </c:pt>
                <c:pt idx="4">
                  <c:v>Fenske et al., 2013</c:v>
                </c:pt>
                <c:pt idx="5">
                  <c:v>Kim et al., 2017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793-C74E-861D-9A03C6E754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2158656"/>
        <c:axId val="452160624"/>
      </c:lineChart>
      <c:catAx>
        <c:axId val="452158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2160624"/>
        <c:crosses val="autoZero"/>
        <c:auto val="1"/>
        <c:lblAlgn val="ctr"/>
        <c:lblOffset val="100"/>
        <c:noMultiLvlLbl val="0"/>
      </c:catAx>
      <c:valAx>
        <c:axId val="452160624"/>
        <c:scaling>
          <c:orientation val="minMax"/>
          <c:max val="1.6"/>
          <c:min val="0.8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bg1">
                <a:lumMod val="7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2158656"/>
        <c:crossesAt val="0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Pun</dc:creator>
  <cp:keywords/>
  <dc:description/>
  <cp:lastModifiedBy>Vivian Pun</cp:lastModifiedBy>
  <cp:revision>5</cp:revision>
  <dcterms:created xsi:type="dcterms:W3CDTF">2019-10-15T01:48:00Z</dcterms:created>
  <dcterms:modified xsi:type="dcterms:W3CDTF">2019-11-06T06:28:00Z</dcterms:modified>
</cp:coreProperties>
</file>