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C3392" w:rsidRPr="00892D68" w:rsidRDefault="0049047C" w:rsidP="00CF0422">
      <w:pPr>
        <w:pStyle w:val="Title"/>
        <w:rPr>
          <w:b/>
          <w:color w:val="auto"/>
          <w:lang w:val="en-GB"/>
        </w:rPr>
      </w:pPr>
      <w:r w:rsidRPr="00892D68">
        <w:rPr>
          <w:b/>
          <w:color w:val="auto"/>
          <w:lang w:val="en-GB"/>
        </w:rPr>
        <w:t>SUPPLEMENTARY APPENDIX</w:t>
      </w:r>
    </w:p>
    <w:p w:rsidR="00C17748" w:rsidRPr="00892D68" w:rsidRDefault="00C17748" w:rsidP="00CF0422">
      <w:pPr>
        <w:rPr>
          <w:lang w:val="en-GB"/>
        </w:rPr>
      </w:pPr>
    </w:p>
    <w:p w:rsidR="0049047C" w:rsidRPr="00892D68" w:rsidRDefault="0049047C" w:rsidP="00CF0422">
      <w:pPr>
        <w:rPr>
          <w:lang w:val="en-GB"/>
        </w:rPr>
      </w:pPr>
      <w:r w:rsidRPr="00892D68">
        <w:rPr>
          <w:lang w:val="en-GB"/>
        </w:rPr>
        <w:t xml:space="preserve">This appendix has been provided by the authors to give readers additional information about their work. </w:t>
      </w:r>
    </w:p>
    <w:p w:rsidR="0049047C" w:rsidRPr="00892D68" w:rsidRDefault="0049047C" w:rsidP="00CF0422">
      <w:pPr>
        <w:rPr>
          <w:lang w:val="en-GB"/>
        </w:rPr>
      </w:pPr>
    </w:p>
    <w:p w:rsidR="0049047C" w:rsidRPr="00892D68" w:rsidRDefault="0049047C" w:rsidP="00CF0422">
      <w:pPr>
        <w:rPr>
          <w:lang w:val="en-GB"/>
        </w:rPr>
      </w:pPr>
      <w:r w:rsidRPr="00892D68">
        <w:rPr>
          <w:lang w:val="en-GB"/>
        </w:rPr>
        <w:t>Supplement to:</w:t>
      </w:r>
    </w:p>
    <w:p w:rsidR="00F02050" w:rsidRPr="00892D68" w:rsidRDefault="00F02050" w:rsidP="00F02050">
      <w:pPr>
        <w:rPr>
          <w:b/>
          <w:bCs/>
          <w:i/>
          <w:lang w:val="en-GB"/>
        </w:rPr>
      </w:pPr>
      <w:r w:rsidRPr="00892D68">
        <w:rPr>
          <w:b/>
          <w:bCs/>
          <w:i/>
          <w:lang w:val="en-GB"/>
        </w:rPr>
        <w:t>A psychosocial intervention to address risky substance use and medication adherence amongst inpatients with multi-drug resistant tuberculosis in South Africa: a pilot study</w:t>
      </w:r>
    </w:p>
    <w:p w:rsidR="00F02050" w:rsidRPr="00892D68" w:rsidRDefault="00F02050" w:rsidP="00CF0422">
      <w:pPr>
        <w:rPr>
          <w:lang w:val="en-GB"/>
        </w:rPr>
      </w:pPr>
    </w:p>
    <w:p w:rsidR="00F02050" w:rsidRPr="00892D68" w:rsidRDefault="00F02050" w:rsidP="00F02050">
      <w:pPr>
        <w:rPr>
          <w:lang w:val="en-GB"/>
        </w:rPr>
      </w:pPr>
      <w:r w:rsidRPr="00892D68">
        <w:rPr>
          <w:lang w:val="en-GB"/>
        </w:rPr>
        <w:t xml:space="preserve">Gregory L. Calligaro, Zani de Wit, Jacqui </w:t>
      </w:r>
      <w:proofErr w:type="spellStart"/>
      <w:r w:rsidRPr="00892D68">
        <w:rPr>
          <w:lang w:val="en-GB"/>
        </w:rPr>
        <w:t>Cirota</w:t>
      </w:r>
      <w:proofErr w:type="spellEnd"/>
      <w:r w:rsidRPr="00892D68">
        <w:rPr>
          <w:lang w:val="en-GB"/>
        </w:rPr>
        <w:t xml:space="preserve">, Catherine </w:t>
      </w:r>
      <w:proofErr w:type="spellStart"/>
      <w:r w:rsidRPr="00892D68">
        <w:rPr>
          <w:lang w:val="en-GB"/>
        </w:rPr>
        <w:t>Orrell</w:t>
      </w:r>
      <w:proofErr w:type="spellEnd"/>
      <w:r w:rsidRPr="00892D68">
        <w:rPr>
          <w:lang w:val="en-GB"/>
        </w:rPr>
        <w:t xml:space="preserve">, Bronwyn Myers, Steven J. </w:t>
      </w:r>
      <w:proofErr w:type="spellStart"/>
      <w:r w:rsidRPr="00892D68">
        <w:rPr>
          <w:lang w:val="en-GB"/>
        </w:rPr>
        <w:t>Shoptaw</w:t>
      </w:r>
      <w:proofErr w:type="spellEnd"/>
      <w:r w:rsidRPr="00892D68">
        <w:rPr>
          <w:lang w:val="en-GB"/>
        </w:rPr>
        <w:t xml:space="preserve">, Dan J. Stein, Katherine </w:t>
      </w:r>
      <w:proofErr w:type="spellStart"/>
      <w:r w:rsidRPr="00892D68">
        <w:rPr>
          <w:lang w:val="en-GB"/>
        </w:rPr>
        <w:t>Sorsdahl</w:t>
      </w:r>
      <w:proofErr w:type="spellEnd"/>
      <w:r w:rsidRPr="00892D68">
        <w:rPr>
          <w:lang w:val="en-GB"/>
        </w:rPr>
        <w:t xml:space="preserve"> and Rodney Dawson.</w:t>
      </w:r>
    </w:p>
    <w:p w:rsidR="0049047C" w:rsidRPr="00892D68" w:rsidRDefault="0049047C" w:rsidP="00CF0422">
      <w:pPr>
        <w:rPr>
          <w:lang w:val="en-GB"/>
        </w:rPr>
      </w:pPr>
    </w:p>
    <w:p w:rsidR="0049047C" w:rsidRPr="00892D68" w:rsidRDefault="0049047C" w:rsidP="00CF0422">
      <w:pPr>
        <w:rPr>
          <w:lang w:val="en-GB"/>
        </w:rPr>
      </w:pPr>
      <w:r w:rsidRPr="00892D68">
        <w:rPr>
          <w:lang w:val="en-GB"/>
        </w:rPr>
        <w:t xml:space="preserve">Corresponding author: </w:t>
      </w:r>
    </w:p>
    <w:p w:rsidR="00F02050" w:rsidRPr="00892D68" w:rsidRDefault="00F02050" w:rsidP="00F02050">
      <w:pPr>
        <w:ind w:left="284"/>
        <w:rPr>
          <w:lang w:val="en-GB"/>
        </w:rPr>
      </w:pPr>
      <w:r w:rsidRPr="00892D68">
        <w:rPr>
          <w:lang w:val="en-GB"/>
        </w:rPr>
        <w:t>Professor Rodney Dawson</w:t>
      </w:r>
    </w:p>
    <w:p w:rsidR="00F02050" w:rsidRPr="00892D68" w:rsidRDefault="00F02050" w:rsidP="00F02050">
      <w:pPr>
        <w:ind w:left="284"/>
        <w:rPr>
          <w:lang w:val="en-GB"/>
        </w:rPr>
      </w:pPr>
      <w:r w:rsidRPr="00892D68">
        <w:rPr>
          <w:lang w:val="en-GB"/>
        </w:rPr>
        <w:t>Head, Centre for TB Research and Innovation</w:t>
      </w:r>
    </w:p>
    <w:p w:rsidR="00F02050" w:rsidRPr="00892D68" w:rsidRDefault="00F02050" w:rsidP="00F02050">
      <w:pPr>
        <w:ind w:left="284"/>
        <w:rPr>
          <w:lang w:val="en-GB"/>
        </w:rPr>
      </w:pPr>
      <w:r w:rsidRPr="00892D68">
        <w:rPr>
          <w:lang w:val="en-GB"/>
        </w:rPr>
        <w:t>University of Cape Town Lung Institute</w:t>
      </w:r>
    </w:p>
    <w:p w:rsidR="00F02050" w:rsidRPr="00892D68" w:rsidRDefault="00F02050" w:rsidP="00F02050">
      <w:pPr>
        <w:ind w:left="284"/>
        <w:rPr>
          <w:lang w:val="en-GB"/>
        </w:rPr>
      </w:pPr>
      <w:r w:rsidRPr="00892D68">
        <w:rPr>
          <w:lang w:val="en-GB"/>
        </w:rPr>
        <w:t xml:space="preserve">George Road, Mowbray, 7925 </w:t>
      </w:r>
    </w:p>
    <w:p w:rsidR="00F02050" w:rsidRPr="00892D68" w:rsidRDefault="00F02050" w:rsidP="00F02050">
      <w:pPr>
        <w:ind w:left="284"/>
        <w:rPr>
          <w:lang w:val="en-GB"/>
        </w:rPr>
      </w:pPr>
      <w:r w:rsidRPr="00892D68">
        <w:rPr>
          <w:lang w:val="en-GB"/>
        </w:rPr>
        <w:t>Cape Town, South Africa</w:t>
      </w:r>
    </w:p>
    <w:p w:rsidR="00F02050" w:rsidRPr="00892D68" w:rsidRDefault="00F02050" w:rsidP="00F02050">
      <w:pPr>
        <w:ind w:left="284"/>
        <w:rPr>
          <w:lang w:val="en-GB"/>
        </w:rPr>
      </w:pPr>
      <w:r w:rsidRPr="00892D68">
        <w:rPr>
          <w:lang w:val="en-GB"/>
        </w:rPr>
        <w:t>Tel: +27 21 650 1910</w:t>
      </w:r>
      <w:r w:rsidRPr="00892D68">
        <w:rPr>
          <w:lang w:val="en-GB"/>
        </w:rPr>
        <w:tab/>
        <w:t>Fax: +27 86 240 2589</w:t>
      </w:r>
    </w:p>
    <w:p w:rsidR="00F02050" w:rsidRPr="00892D68" w:rsidRDefault="00F02050" w:rsidP="00F02050">
      <w:pPr>
        <w:ind w:left="284"/>
        <w:rPr>
          <w:lang w:val="en-GB"/>
        </w:rPr>
      </w:pPr>
      <w:r w:rsidRPr="00892D68">
        <w:rPr>
          <w:lang w:val="en-GB"/>
        </w:rPr>
        <w:t xml:space="preserve">Email: </w:t>
      </w:r>
      <w:hyperlink r:id="rId8" w:history="1">
        <w:r w:rsidRPr="00892D68">
          <w:rPr>
            <w:rStyle w:val="Hyperlink"/>
            <w:lang w:val="en-GB"/>
          </w:rPr>
          <w:t>rodney.dawson@uct.ac.za</w:t>
        </w:r>
      </w:hyperlink>
    </w:p>
    <w:p w:rsidR="0049047C" w:rsidRPr="00892D68" w:rsidRDefault="0049047C" w:rsidP="00CF0422">
      <w:pPr>
        <w:rPr>
          <w:lang w:val="en-GB"/>
        </w:rPr>
      </w:pPr>
    </w:p>
    <w:p w:rsidR="00A41551" w:rsidRPr="00892D68" w:rsidRDefault="0049047C" w:rsidP="00A41551">
      <w:pPr>
        <w:rPr>
          <w:lang w:val="en-GB"/>
        </w:rPr>
      </w:pPr>
      <w:r w:rsidRPr="00892D68">
        <w:rPr>
          <w:lang w:val="en-GB"/>
        </w:rPr>
        <w:br w:type="page"/>
      </w:r>
    </w:p>
    <w:p w:rsidR="00A41551" w:rsidRPr="00A41551" w:rsidRDefault="00A41551" w:rsidP="00A41551">
      <w:pPr>
        <w:rPr>
          <w:bCs/>
          <w:u w:val="single"/>
          <w:lang w:val="en-GB"/>
        </w:rPr>
      </w:pPr>
      <w:r w:rsidRPr="00892D68">
        <w:rPr>
          <w:bCs/>
          <w:u w:val="single"/>
          <w:lang w:val="en-GB"/>
        </w:rPr>
        <w:lastRenderedPageBreak/>
        <w:t>Screening and assessment instruments</w:t>
      </w:r>
      <w:r w:rsidRPr="00A41551">
        <w:rPr>
          <w:bCs/>
          <w:u w:val="single"/>
          <w:lang w:val="en-GB"/>
        </w:rPr>
        <w:t>:</w:t>
      </w:r>
    </w:p>
    <w:p w:rsidR="00A41551" w:rsidRPr="00A41551" w:rsidRDefault="00A41551" w:rsidP="00A41551">
      <w:pPr>
        <w:rPr>
          <w:bCs/>
          <w:lang w:val="en-GB"/>
        </w:rPr>
      </w:pPr>
    </w:p>
    <w:p w:rsidR="00A41551" w:rsidRPr="00A41551" w:rsidRDefault="00A41551" w:rsidP="00A41551">
      <w:pPr>
        <w:rPr>
          <w:bCs/>
          <w:lang w:val="en-GB"/>
        </w:rPr>
      </w:pPr>
    </w:p>
    <w:p w:rsidR="00A41551" w:rsidRPr="00892D68" w:rsidRDefault="00DA7F30" w:rsidP="00A41551">
      <w:pPr>
        <w:numPr>
          <w:ilvl w:val="0"/>
          <w:numId w:val="2"/>
        </w:numPr>
        <w:rPr>
          <w:bCs/>
          <w:lang w:val="en-GB"/>
        </w:rPr>
      </w:pPr>
      <w:r w:rsidRPr="00892D68">
        <w:rPr>
          <w:bCs/>
          <w:lang w:val="en-GB"/>
        </w:rPr>
        <w:t>The</w:t>
      </w:r>
      <w:r w:rsidRPr="00892D68">
        <w:rPr>
          <w:b/>
          <w:bCs/>
          <w:lang w:val="en-GB"/>
        </w:rPr>
        <w:t xml:space="preserve"> Alcohol, Smoking and Substance Involvement Screening Test (</w:t>
      </w:r>
      <w:r w:rsidR="00A41551" w:rsidRPr="00A41551">
        <w:rPr>
          <w:b/>
          <w:bCs/>
          <w:lang w:val="en-GB"/>
        </w:rPr>
        <w:t>ASSIST</w:t>
      </w:r>
      <w:r w:rsidRPr="00892D68">
        <w:rPr>
          <w:b/>
          <w:bCs/>
          <w:lang w:val="en-GB"/>
        </w:rPr>
        <w:t>)</w:t>
      </w:r>
      <w:r w:rsidR="00684E00" w:rsidRPr="00892D68">
        <w:rPr>
          <w:b/>
          <w:bCs/>
          <w:lang w:val="en-GB"/>
        </w:rPr>
        <w:t xml:space="preserve"> </w:t>
      </w:r>
      <w:r w:rsidR="008B65B2" w:rsidRPr="00892D68">
        <w:rPr>
          <w:bCs/>
          <w:lang w:val="en-GB"/>
        </w:rPr>
        <w:fldChar w:fldCharType="begin"/>
      </w:r>
      <w:r w:rsidR="00431379">
        <w:rPr>
          <w:bCs/>
          <w:lang w:val="en-GB"/>
        </w:rPr>
        <w:instrText xml:space="preserve"> ADDIN EN.CITE &lt;EndNote&gt;&lt;Cite&gt;&lt;Author&gt;Group&lt;/Author&gt;&lt;Year&gt;2002&lt;/Year&gt;&lt;RecNum&gt;2321&lt;/RecNum&gt;&lt;DisplayText&gt;[1]&lt;/DisplayText&gt;&lt;record&gt;&lt;rec-number&gt;2321&lt;/rec-number&gt;&lt;foreign-keys&gt;&lt;key app="EN" db-id="tep92zxp5dz2snesx0oxd5adpdwr5rxd59xz" timestamp="1510145083"&gt;2321&lt;/key&gt;&lt;/foreign-keys&gt;&lt;ref-type name="Journal Article"&gt;17&lt;/ref-type&gt;&lt;contributors&gt;&lt;authors&gt;&lt;author&gt;WHO Assist Working Group,&lt;/author&gt;&lt;/authors&gt;&lt;/contributors&gt;&lt;titles&gt;&lt;title&gt;The Alcohol, Smoking and Substance Involvement Screening Test (ASSIST): development, reliability and feasibility&lt;/title&gt;&lt;secondary-title&gt;Addiction&lt;/secondary-title&gt;&lt;/titles&gt;&lt;periodical&gt;&lt;full-title&gt;Addiction&lt;/full-title&gt;&lt;/periodical&gt;&lt;pages&gt;1183-94&lt;/pages&gt;&lt;volume&gt;97&lt;/volume&gt;&lt;number&gt;9&lt;/number&gt;&lt;edition&gt;2002/08/30&lt;/edition&gt;&lt;keywords&gt;&lt;keyword&gt;Adult&lt;/keyword&gt;&lt;keyword&gt;*Alcohol Drinking&lt;/keyword&gt;&lt;keyword&gt;Feasibility Studies&lt;/keyword&gt;&lt;keyword&gt;Female&lt;/keyword&gt;&lt;keyword&gt;Humans&lt;/keyword&gt;&lt;keyword&gt;Male&lt;/keyword&gt;&lt;keyword&gt;Research Design&lt;/keyword&gt;&lt;keyword&gt;Sensitivity and Specificity&lt;/keyword&gt;&lt;keyword&gt;*Smoking&lt;/keyword&gt;&lt;keyword&gt;Substance Abuse Detection/*standards&lt;/keyword&gt;&lt;/keywords&gt;&lt;dates&gt;&lt;year&gt;2002&lt;/year&gt;&lt;pub-dates&gt;&lt;date&gt;Sep&lt;/date&gt;&lt;/pub-dates&gt;&lt;/dates&gt;&lt;isbn&gt;0965-2140 (Print)&amp;#xD;0965-2140 (Linking)&lt;/isbn&gt;&lt;accession-num&gt;12199834&lt;/accession-num&gt;&lt;urls&gt;&lt;related-urls&gt;&lt;url&gt;https://www.ncbi.nlm.nih.gov/pubmed/12199834&lt;/url&gt;&lt;/related-urls&gt;&lt;/urls&gt;&lt;/record&gt;&lt;/Cite&gt;&lt;/EndNote&gt;</w:instrText>
      </w:r>
      <w:r w:rsidR="008B65B2" w:rsidRPr="00892D68">
        <w:rPr>
          <w:bCs/>
          <w:lang w:val="en-GB"/>
        </w:rPr>
        <w:fldChar w:fldCharType="separate"/>
      </w:r>
      <w:r w:rsidR="001F2388" w:rsidRPr="00892D68">
        <w:rPr>
          <w:bCs/>
          <w:noProof/>
          <w:lang w:val="en-GB"/>
        </w:rPr>
        <w:t>[1]</w:t>
      </w:r>
      <w:r w:rsidR="008B65B2" w:rsidRPr="00892D68">
        <w:rPr>
          <w:bCs/>
          <w:lang w:val="en-GB"/>
        </w:rPr>
        <w:fldChar w:fldCharType="end"/>
      </w:r>
      <w:r w:rsidR="00A41551" w:rsidRPr="00A41551">
        <w:rPr>
          <w:bCs/>
          <w:lang w:val="en-GB"/>
        </w:rPr>
        <w:t xml:space="preserve"> is validated in several developing countries and </w:t>
      </w:r>
      <w:r w:rsidRPr="00892D68">
        <w:rPr>
          <w:bCs/>
          <w:lang w:val="en-GB"/>
        </w:rPr>
        <w:t>is</w:t>
      </w:r>
      <w:r w:rsidR="00A41551" w:rsidRPr="00A41551">
        <w:rPr>
          <w:bCs/>
          <w:lang w:val="en-GB"/>
        </w:rPr>
        <w:t xml:space="preserve"> administered to assess the extent of problematic alcohol and drug use. A substance-use involvement score </w:t>
      </w:r>
      <w:r w:rsidRPr="00892D68">
        <w:rPr>
          <w:bCs/>
          <w:lang w:val="en-GB"/>
        </w:rPr>
        <w:t>is</w:t>
      </w:r>
      <w:r w:rsidR="00A41551" w:rsidRPr="00A41551">
        <w:rPr>
          <w:bCs/>
          <w:lang w:val="en-GB"/>
        </w:rPr>
        <w:t xml:space="preserve"> calculated for each substance used in the preceding 3 months. In the case of multiple substances, only the highest score will be included in the total score. Urine sample testing for illicit substances will be used to validate these self-report measures. </w:t>
      </w:r>
    </w:p>
    <w:p w:rsidR="00A41551" w:rsidRPr="00892D68" w:rsidRDefault="00A41551" w:rsidP="00A41551">
      <w:pPr>
        <w:ind w:left="720"/>
        <w:rPr>
          <w:bCs/>
          <w:lang w:val="en-GB"/>
        </w:rPr>
      </w:pPr>
    </w:p>
    <w:p w:rsidR="00A41551" w:rsidRPr="00A41551" w:rsidRDefault="008B65B2" w:rsidP="00A41551">
      <w:pPr>
        <w:numPr>
          <w:ilvl w:val="0"/>
          <w:numId w:val="2"/>
        </w:numPr>
        <w:rPr>
          <w:bCs/>
          <w:lang w:val="en-GB"/>
        </w:rPr>
      </w:pPr>
      <w:r w:rsidRPr="00892D68">
        <w:rPr>
          <w:bCs/>
          <w:lang w:val="en-GB"/>
        </w:rPr>
        <w:t xml:space="preserve">The </w:t>
      </w:r>
      <w:r w:rsidR="00A41551" w:rsidRPr="00A41551">
        <w:rPr>
          <w:b/>
          <w:bCs/>
          <w:lang w:val="en-GB"/>
        </w:rPr>
        <w:t>Fagerström Test for Nicotine Dependence</w:t>
      </w:r>
      <w:r w:rsidR="00A41551" w:rsidRPr="00A41551">
        <w:rPr>
          <w:bCs/>
          <w:lang w:val="en-GB"/>
        </w:rPr>
        <w:t xml:space="preserve"> </w:t>
      </w:r>
      <w:r w:rsidR="00684E00" w:rsidRPr="00892D68">
        <w:rPr>
          <w:bCs/>
          <w:lang w:val="en-GB"/>
        </w:rPr>
        <w:fldChar w:fldCharType="begin"/>
      </w:r>
      <w:r w:rsidR="00684E00" w:rsidRPr="00892D68">
        <w:rPr>
          <w:bCs/>
          <w:lang w:val="en-GB"/>
        </w:rPr>
        <w:instrText xml:space="preserve"> ADDIN EN.CITE &lt;EndNote&gt;&lt;Cite&gt;&lt;Author&gt;Fagerstrom&lt;/Author&gt;&lt;Year&gt;1989&lt;/Year&gt;&lt;RecNum&gt;2393&lt;/RecNum&gt;&lt;DisplayText&gt;[2]&lt;/DisplayText&gt;&lt;record&gt;&lt;rec-number&gt;2393&lt;/rec-number&gt;&lt;foreign-keys&gt;&lt;key app="EN" db-id="tep92zxp5dz2snesx0oxd5adpdwr5rxd59xz" timestamp="1557043225"&gt;2393&lt;/key&gt;&lt;/foreign-keys&gt;&lt;ref-type name="Journal Article"&gt;17&lt;/ref-type&gt;&lt;contributors&gt;&lt;authors&gt;&lt;author&gt;Fagerstrom, K. O.&lt;/author&gt;&lt;author&gt;Schneider, N. G.&lt;/author&gt;&lt;/authors&gt;&lt;/contributors&gt;&lt;auth-address&gt;Pharmacia Leo Therapeutics, Helsingborg, Sweden.&lt;/auth-address&gt;&lt;titles&gt;&lt;title&gt;Measuring nicotine dependence: a review of the Fagerstrom Tolerance Questionnaire&lt;/title&gt;&lt;secondary-title&gt;J Behav Med&lt;/secondary-title&gt;&lt;/titles&gt;&lt;periodical&gt;&lt;full-title&gt;J Behav Med&lt;/full-title&gt;&lt;/periodical&gt;&lt;pages&gt;159-82&lt;/pages&gt;&lt;volume&gt;12&lt;/volume&gt;&lt;number&gt;2&lt;/number&gt;&lt;edition&gt;1989/04/01&lt;/edition&gt;&lt;keywords&gt;&lt;keyword&gt;Drug Tolerance&lt;/keyword&gt;&lt;keyword&gt;Humans&lt;/keyword&gt;&lt;keyword&gt;Nicotine/*adverse effects&lt;/keyword&gt;&lt;keyword&gt;*Psychological Tests&lt;/keyword&gt;&lt;keyword&gt;Smoking/*psychology&lt;/keyword&gt;&lt;keyword&gt;Substance Withdrawal Syndrome/*psychology&lt;/keyword&gt;&lt;/keywords&gt;&lt;dates&gt;&lt;year&gt;1989&lt;/year&gt;&lt;pub-dates&gt;&lt;date&gt;Apr&lt;/date&gt;&lt;/pub-dates&gt;&lt;/dates&gt;&lt;isbn&gt;0160-7715 (Print)&amp;#xD;0160-7715 (Linking)&lt;/isbn&gt;&lt;accession-num&gt;2668531&lt;/accession-num&gt;&lt;urls&gt;&lt;related-urls&gt;&lt;url&gt;https://www.ncbi.nlm.nih.gov/pubmed/2668531&lt;/url&gt;&lt;/related-urls&gt;&lt;/urls&gt;&lt;/record&gt;&lt;/Cite&gt;&lt;/EndNote&gt;</w:instrText>
      </w:r>
      <w:r w:rsidR="00684E00" w:rsidRPr="00892D68">
        <w:rPr>
          <w:bCs/>
          <w:lang w:val="en-GB"/>
        </w:rPr>
        <w:fldChar w:fldCharType="separate"/>
      </w:r>
      <w:r w:rsidR="00684E00" w:rsidRPr="00892D68">
        <w:rPr>
          <w:bCs/>
          <w:noProof/>
          <w:lang w:val="en-GB"/>
        </w:rPr>
        <w:t>[2]</w:t>
      </w:r>
      <w:r w:rsidR="00684E00" w:rsidRPr="00892D68">
        <w:rPr>
          <w:bCs/>
          <w:lang w:val="en-GB"/>
        </w:rPr>
        <w:fldChar w:fldCharType="end"/>
      </w:r>
      <w:r w:rsidR="00684E00" w:rsidRPr="00892D68">
        <w:rPr>
          <w:bCs/>
          <w:lang w:val="en-GB"/>
        </w:rPr>
        <w:t xml:space="preserve"> </w:t>
      </w:r>
      <w:r w:rsidR="00A41551" w:rsidRPr="00A41551">
        <w:rPr>
          <w:bCs/>
          <w:lang w:val="en-GB"/>
        </w:rPr>
        <w:t>is a standard instrument for assessing the intensity of physical addiction to nicotine by evaluating the quantity of cigarette consumption, the compulsion to use, and grade of dependency. The total score obtained categorizes patients into low, low-moderate, moderate and high nicotine dependence groups.</w:t>
      </w:r>
    </w:p>
    <w:p w:rsidR="00A41551" w:rsidRPr="00A41551" w:rsidRDefault="00A41551" w:rsidP="00A41551">
      <w:pPr>
        <w:rPr>
          <w:bCs/>
          <w:lang w:val="en-GB"/>
        </w:rPr>
      </w:pPr>
    </w:p>
    <w:p w:rsidR="00A41551" w:rsidRDefault="00EB3570" w:rsidP="00A41551">
      <w:pPr>
        <w:numPr>
          <w:ilvl w:val="0"/>
          <w:numId w:val="2"/>
        </w:numPr>
        <w:rPr>
          <w:bCs/>
          <w:lang w:val="en-GB"/>
        </w:rPr>
      </w:pPr>
      <w:r w:rsidRPr="00892D68">
        <w:rPr>
          <w:bCs/>
          <w:lang w:val="en-GB"/>
        </w:rPr>
        <w:t>The</w:t>
      </w:r>
      <w:r w:rsidRPr="00892D68">
        <w:rPr>
          <w:b/>
          <w:bCs/>
          <w:lang w:val="en-GB"/>
        </w:rPr>
        <w:t xml:space="preserve"> Centre for Epidemiological Studies Depression Scale (</w:t>
      </w:r>
      <w:r w:rsidR="00A41551" w:rsidRPr="00A41551">
        <w:rPr>
          <w:b/>
          <w:bCs/>
          <w:lang w:val="en-GB"/>
        </w:rPr>
        <w:t>CES-D</w:t>
      </w:r>
      <w:r w:rsidRPr="00892D68">
        <w:rPr>
          <w:b/>
          <w:bCs/>
          <w:lang w:val="en-GB"/>
        </w:rPr>
        <w:t xml:space="preserve">) </w:t>
      </w:r>
      <w:r w:rsidRPr="00892D68">
        <w:rPr>
          <w:bCs/>
          <w:lang w:val="en-GB"/>
        </w:rPr>
        <w:fldChar w:fldCharType="begin"/>
      </w:r>
      <w:r w:rsidRPr="00892D68">
        <w:rPr>
          <w:bCs/>
          <w:lang w:val="en-GB"/>
        </w:rPr>
        <w:instrText xml:space="preserve"> ADDIN EN.CITE &lt;EndNote&gt;&lt;Cite&gt;&lt;Author&gt;Radloff&lt;/Author&gt;&lt;Year&gt;1977&lt;/Year&gt;&lt;RecNum&gt;2394&lt;/RecNum&gt;&lt;DisplayText&gt;[3]&lt;/DisplayText&gt;&lt;record&gt;&lt;rec-number&gt;2394&lt;/rec-number&gt;&lt;foreign-keys&gt;&lt;key app="EN" db-id="tep92zxp5dz2snesx0oxd5adpdwr5rxd59xz" timestamp="1557043400"&gt;2394&lt;/key&gt;&lt;/foreign-keys&gt;&lt;ref-type name="Journal Article"&gt;17&lt;/ref-type&gt;&lt;contributors&gt;&lt;authors&gt;&lt;author&gt;Radloff, Lenore Sawyer&lt;/author&gt;&lt;/authors&gt;&lt;/contributors&gt;&lt;titles&gt;&lt;title&gt;The CES-D Scale: A Self-Report Depression Scale for Research in the General Population&lt;/title&gt;&lt;secondary-title&gt;Applied Psychological Measurement&lt;/secondary-title&gt;&lt;/titles&gt;&lt;periodical&gt;&lt;full-title&gt;Applied Psychological Measurement&lt;/full-title&gt;&lt;/periodical&gt;&lt;pages&gt;385-401&lt;/pages&gt;&lt;volume&gt;1&lt;/volume&gt;&lt;number&gt;3&lt;/number&gt;&lt;dates&gt;&lt;year&gt;1977&lt;/year&gt;&lt;pub-dates&gt;&lt;date&gt;1977/06/01&lt;/date&gt;&lt;/pub-dates&gt;&lt;/dates&gt;&lt;publisher&gt;SAGE Publications Inc&lt;/publisher&gt;&lt;isbn&gt;0146-6216&lt;/isbn&gt;&lt;urls&gt;&lt;related-urls&gt;&lt;url&gt;https://doi.org/10.1177/014662167700100306&lt;/url&gt;&lt;/related-urls&gt;&lt;/urls&gt;&lt;electronic-resource-num&gt;10.1177/014662167700100306&lt;/electronic-resource-num&gt;&lt;access-date&gt;2019/05/05&lt;/access-date&gt;&lt;/record&gt;&lt;/Cite&gt;&lt;/EndNote&gt;</w:instrText>
      </w:r>
      <w:r w:rsidRPr="00892D68">
        <w:rPr>
          <w:bCs/>
          <w:lang w:val="en-GB"/>
        </w:rPr>
        <w:fldChar w:fldCharType="separate"/>
      </w:r>
      <w:r w:rsidRPr="00892D68">
        <w:rPr>
          <w:bCs/>
          <w:noProof/>
          <w:lang w:val="en-GB"/>
        </w:rPr>
        <w:t>[3]</w:t>
      </w:r>
      <w:r w:rsidRPr="00892D68">
        <w:rPr>
          <w:bCs/>
          <w:lang w:val="en-GB"/>
        </w:rPr>
        <w:fldChar w:fldCharType="end"/>
      </w:r>
      <w:r w:rsidR="00A41551" w:rsidRPr="00A41551">
        <w:rPr>
          <w:bCs/>
          <w:lang w:val="en-GB"/>
        </w:rPr>
        <w:t xml:space="preserve"> is designed to measure common symptoms of depression in the general population and consists of 20 self-rated items. Each item is rated on a four-point Likert scale, ranging from 0 (indicating no symptom presence) to 3 (indicating the presence of symptoms most of the time). Composite scale scores range from 0 to 60, with a score of 16 or higher signifying clinically meaningful depression</w:t>
      </w:r>
      <w:r w:rsidR="00892D68" w:rsidRPr="00892D68">
        <w:rPr>
          <w:bCs/>
          <w:lang w:val="en-GB"/>
        </w:rPr>
        <w:t xml:space="preserve">. </w:t>
      </w:r>
    </w:p>
    <w:p w:rsidR="00B92BFA" w:rsidRDefault="00B92BFA" w:rsidP="00B92BFA">
      <w:pPr>
        <w:ind w:left="720"/>
        <w:rPr>
          <w:bCs/>
          <w:lang w:val="en-GB"/>
        </w:rPr>
      </w:pPr>
    </w:p>
    <w:p w:rsidR="00B92BFA" w:rsidRPr="00B92BFA" w:rsidRDefault="00B92BFA" w:rsidP="00B92BFA">
      <w:pPr>
        <w:numPr>
          <w:ilvl w:val="0"/>
          <w:numId w:val="2"/>
        </w:numPr>
        <w:rPr>
          <w:bCs/>
        </w:rPr>
      </w:pPr>
      <w:r w:rsidRPr="00B92BFA">
        <w:rPr>
          <w:bCs/>
        </w:rPr>
        <w:t>The</w:t>
      </w:r>
      <w:r>
        <w:rPr>
          <w:b/>
          <w:bCs/>
        </w:rPr>
        <w:t xml:space="preserve"> </w:t>
      </w:r>
      <w:r w:rsidRPr="00B92BFA">
        <w:rPr>
          <w:b/>
          <w:bCs/>
        </w:rPr>
        <w:t>Morisky</w:t>
      </w:r>
      <w:bookmarkStart w:id="0" w:name="_GoBack"/>
      <w:bookmarkEnd w:id="0"/>
      <w:r w:rsidRPr="00B92BFA">
        <w:rPr>
          <w:b/>
          <w:bCs/>
        </w:rPr>
        <w:t xml:space="preserve"> Medication Adherence Scale (MMAS-8)</w:t>
      </w:r>
      <w:r w:rsidR="00682637">
        <w:rPr>
          <w:b/>
          <w:bCs/>
        </w:rPr>
        <w:t xml:space="preserve"> </w:t>
      </w:r>
      <w:r w:rsidR="00682637" w:rsidRPr="00795715">
        <w:rPr>
          <w:bCs/>
        </w:rPr>
        <w:fldChar w:fldCharType="begin"/>
      </w:r>
      <w:r w:rsidR="00795715" w:rsidRPr="00795715">
        <w:rPr>
          <w:bCs/>
        </w:rPr>
        <w:instrText xml:space="preserve"> ADDIN EN.CITE &lt;EndNote&gt;&lt;Cite&gt;&lt;Author&gt;Morisky&lt;/Author&gt;&lt;Year&gt;2008&lt;/Year&gt;&lt;RecNum&gt;2405&lt;/RecNum&gt;&lt;DisplayText&gt;[4]&lt;/DisplayText&gt;&lt;record&gt;&lt;rec-number&gt;2405&lt;/rec-number&gt;&lt;foreign-keys&gt;&lt;key app="EN" db-id="tep92zxp5dz2snesx0oxd5adpdwr5rxd59xz" timestamp="1557063499"&gt;2405&lt;/key&gt;&lt;/foreign-keys&gt;&lt;ref-type name="Journal Article"&gt;17&lt;/ref-type&gt;&lt;contributors&gt;&lt;authors&gt;&lt;author&gt;Morisky, D. E.&lt;/author&gt;&lt;author&gt;Ang, A.&lt;/author&gt;&lt;author&gt;Krousel-Wood, M.&lt;/author&gt;&lt;author&gt;Ward, H. J.&lt;/author&gt;&lt;/authors&gt;&lt;/contributors&gt;&lt;auth-address&gt;Department of Community Health Sciences, UCLA School of Public Health, Los Angeles, CA 90095-1772, USA. dmorisky@ucla.edu&lt;/auth-address&gt;&lt;titles&gt;&lt;title&gt;Predictive validity of a medication adherence measure in an outpatient setting&lt;/title&gt;&lt;secondary-title&gt;J Clin Hypertens (Greenwich)&lt;/secondary-title&gt;&lt;/titles&gt;&lt;periodical&gt;&lt;full-title&gt;J Clin Hypertens (Greenwich)&lt;/full-title&gt;&lt;/periodical&gt;&lt;pages&gt;348-54&lt;/pages&gt;&lt;volume&gt;10&lt;/volume&gt;&lt;number&gt;5&lt;/number&gt;&lt;edition&gt;2008/05/06&lt;/edition&gt;&lt;keywords&gt;&lt;keyword&gt;Adolescent&lt;/keyword&gt;&lt;keyword&gt;Adult&lt;/keyword&gt;&lt;keyword&gt;Ambulatory Care/*methods&lt;/keyword&gt;&lt;keyword&gt;Antihypertensive Agents/*therapeutic use&lt;/keyword&gt;&lt;keyword&gt;Female&lt;/keyword&gt;&lt;keyword&gt;Follow-Up Studies&lt;/keyword&gt;&lt;keyword&gt;Humans&lt;/keyword&gt;&lt;keyword&gt;Hypertension/*drug therapy&lt;/keyword&gt;&lt;keyword&gt;Male&lt;/keyword&gt;&lt;keyword&gt;Middle Aged&lt;/keyword&gt;&lt;keyword&gt;*Patient Compliance&lt;/keyword&gt;&lt;keyword&gt;Patient Education as Topic&lt;/keyword&gt;&lt;keyword&gt;Physician-Patient Relations&lt;/keyword&gt;&lt;keyword&gt;Psychometrics&lt;/keyword&gt;&lt;keyword&gt;Surveys and Questionnaires&lt;/keyword&gt;&lt;keyword&gt;Treatment Outcome&lt;/keyword&gt;&lt;/keywords&gt;&lt;dates&gt;&lt;year&gt;2008&lt;/year&gt;&lt;pub-dates&gt;&lt;date&gt;May&lt;/date&gt;&lt;/pub-dates&gt;&lt;/dates&gt;&lt;isbn&gt;1524-6175 (Print)&amp;#xD;1524-6175 (Linking)&lt;/isbn&gt;&lt;accession-num&gt;18453793&lt;/accession-num&gt;&lt;urls&gt;&lt;related-urls&gt;&lt;url&gt;https://www.ncbi.nlm.nih.gov/pubmed/18453793&lt;/url&gt;&lt;/related-urls&gt;&lt;/urls&gt;&lt;custom2&gt;PMC2562622&lt;/custom2&gt;&lt;/record&gt;&lt;/Cite&gt;&lt;/EndNote&gt;</w:instrText>
      </w:r>
      <w:r w:rsidR="00682637" w:rsidRPr="00795715">
        <w:rPr>
          <w:bCs/>
        </w:rPr>
        <w:fldChar w:fldCharType="separate"/>
      </w:r>
      <w:r w:rsidR="00795715" w:rsidRPr="00795715">
        <w:rPr>
          <w:bCs/>
          <w:noProof/>
        </w:rPr>
        <w:t>[4]</w:t>
      </w:r>
      <w:r w:rsidR="00682637" w:rsidRPr="00795715">
        <w:rPr>
          <w:bCs/>
        </w:rPr>
        <w:fldChar w:fldCharType="end"/>
      </w:r>
      <w:r w:rsidRPr="00B92BFA">
        <w:rPr>
          <w:bCs/>
        </w:rPr>
        <w:t xml:space="preserve"> is a good screening and monitoring tool for high-risk non-adherent patients</w:t>
      </w:r>
      <w:r>
        <w:rPr>
          <w:bCs/>
        </w:rPr>
        <w:t xml:space="preserve"> </w:t>
      </w:r>
      <w:r w:rsidRPr="00B92BFA">
        <w:rPr>
          <w:bCs/>
        </w:rPr>
        <w:t xml:space="preserve">used to assess adherence of </w:t>
      </w:r>
      <w:r>
        <w:rPr>
          <w:bCs/>
        </w:rPr>
        <w:t>the participants</w:t>
      </w:r>
      <w:r w:rsidRPr="00B92BFA">
        <w:rPr>
          <w:bCs/>
        </w:rPr>
        <w:t xml:space="preserve"> to their MDR-TB medication. Scores on the MMAS-8 range from 0 to 8, with scores of 3 or more reflecting low adherence to medication.</w:t>
      </w:r>
    </w:p>
    <w:p w:rsidR="00A41551" w:rsidRPr="00A41551" w:rsidRDefault="00A41551" w:rsidP="00A41551">
      <w:pPr>
        <w:rPr>
          <w:bCs/>
          <w:lang w:val="en-GB"/>
        </w:rPr>
      </w:pPr>
    </w:p>
    <w:p w:rsidR="00A41551" w:rsidRPr="00A41551" w:rsidRDefault="00892D68" w:rsidP="00A41551">
      <w:pPr>
        <w:numPr>
          <w:ilvl w:val="0"/>
          <w:numId w:val="2"/>
        </w:numPr>
        <w:rPr>
          <w:bCs/>
          <w:lang w:val="en-GB"/>
        </w:rPr>
      </w:pPr>
      <w:r w:rsidRPr="00892D68">
        <w:rPr>
          <w:bCs/>
          <w:lang w:val="en-GB"/>
        </w:rPr>
        <w:t>The</w:t>
      </w:r>
      <w:r w:rsidRPr="00892D68">
        <w:rPr>
          <w:b/>
          <w:bCs/>
          <w:lang w:val="en-GB"/>
        </w:rPr>
        <w:t xml:space="preserve"> </w:t>
      </w:r>
      <w:r w:rsidR="00A41551" w:rsidRPr="00A41551">
        <w:rPr>
          <w:b/>
          <w:bCs/>
          <w:lang w:val="en-GB"/>
        </w:rPr>
        <w:t>EQ-5D 3L</w:t>
      </w:r>
      <w:r w:rsidR="00A41551" w:rsidRPr="00A41551">
        <w:rPr>
          <w:bCs/>
          <w:lang w:val="en-GB"/>
        </w:rPr>
        <w:t xml:space="preserve"> </w:t>
      </w:r>
      <w:r w:rsidRPr="00892D68">
        <w:rPr>
          <w:bCs/>
          <w:lang w:val="en-GB"/>
        </w:rPr>
        <w:fldChar w:fldCharType="begin"/>
      </w:r>
      <w:r w:rsidR="00795715">
        <w:rPr>
          <w:bCs/>
          <w:lang w:val="en-GB"/>
        </w:rPr>
        <w:instrText xml:space="preserve"> ADDIN EN.CITE &lt;EndNote&gt;&lt;Cite&gt;&lt;Author&gt;Rabin&lt;/Author&gt;&lt;Year&gt;2001&lt;/Year&gt;&lt;RecNum&gt;2395&lt;/RecNum&gt;&lt;DisplayText&gt;[5]&lt;/DisplayText&gt;&lt;record&gt;&lt;rec-number&gt;2395&lt;/rec-number&gt;&lt;foreign-keys&gt;&lt;key app="EN" db-id="tep92zxp5dz2snesx0oxd5adpdwr5rxd59xz" timestamp="1557043617"&gt;2395&lt;/key&gt;&lt;/foreign-keys&gt;&lt;ref-type name="Journal Article"&gt;17&lt;/ref-type&gt;&lt;contributors&gt;&lt;authors&gt;&lt;author&gt;Rabin, Rosalind&lt;/author&gt;&lt;author&gt;Charro, Frank de&lt;/author&gt;&lt;/authors&gt;&lt;/contributors&gt;&lt;titles&gt;&lt;title&gt;EQ-SD: a measure of health status from the EuroQol Group&lt;/title&gt;&lt;secondary-title&gt;Annals of Medicine&lt;/secondary-title&gt;&lt;/titles&gt;&lt;periodical&gt;&lt;full-title&gt;Annals of Medicine&lt;/full-title&gt;&lt;/periodical&gt;&lt;pages&gt;337-343&lt;/pages&gt;&lt;volume&gt;33&lt;/volume&gt;&lt;number&gt;5&lt;/number&gt;&lt;dates&gt;&lt;year&gt;2001&lt;/year&gt;&lt;pub-dates&gt;&lt;date&gt;2001/01/01&lt;/date&gt;&lt;/pub-dates&gt;&lt;/dates&gt;&lt;publisher&gt;Taylor &amp;amp; Francis&lt;/publisher&gt;&lt;isbn&gt;0785-3890&lt;/isbn&gt;&lt;urls&gt;&lt;related-urls&gt;&lt;url&gt;https://doi.org/10.3109/07853890109002087&lt;/url&gt;&lt;/related-urls&gt;&lt;/urls&gt;&lt;electronic-resource-num&gt;10.3109/07853890109002087&lt;/electronic-resource-num&gt;&lt;/record&gt;&lt;/Cite&gt;&lt;/EndNote&gt;</w:instrText>
      </w:r>
      <w:r w:rsidRPr="00892D68">
        <w:rPr>
          <w:bCs/>
          <w:lang w:val="en-GB"/>
        </w:rPr>
        <w:fldChar w:fldCharType="separate"/>
      </w:r>
      <w:r w:rsidR="00795715">
        <w:rPr>
          <w:bCs/>
          <w:noProof/>
          <w:lang w:val="en-GB"/>
        </w:rPr>
        <w:t>[5]</w:t>
      </w:r>
      <w:r w:rsidRPr="00892D68">
        <w:rPr>
          <w:bCs/>
          <w:lang w:val="en-GB"/>
        </w:rPr>
        <w:fldChar w:fldCharType="end"/>
      </w:r>
      <w:r w:rsidRPr="00892D68">
        <w:rPr>
          <w:bCs/>
          <w:lang w:val="en-GB"/>
        </w:rPr>
        <w:t xml:space="preserve"> </w:t>
      </w:r>
      <w:r w:rsidR="00A41551" w:rsidRPr="00A41551">
        <w:rPr>
          <w:bCs/>
          <w:lang w:val="en-GB"/>
        </w:rPr>
        <w:t>is a standardized instrument combining both descriptive and visual components as a measure of health outcome. The descriptive component looks at  5 dimensions: mobility, self-care, usual activities, pain/discomfort and anxiety/depression with each dimension having  3 levels: no problems, some problems, extreme problems. The visual component records the respondent’s self-rated health on a visual analogue scale with endpoints labelled ‘the best health you can imagine’ and ‘the worst health you can imagine’. The selected digits for 5 dimensions are combined in a 5-digit number describing the respondent’s health state.</w:t>
      </w:r>
    </w:p>
    <w:p w:rsidR="00A41551" w:rsidRPr="00A41551" w:rsidRDefault="00A41551" w:rsidP="00A41551">
      <w:pPr>
        <w:rPr>
          <w:bCs/>
          <w:lang w:val="en-GB"/>
        </w:rPr>
      </w:pPr>
    </w:p>
    <w:p w:rsidR="00A41551" w:rsidRPr="00A41551" w:rsidRDefault="00A41551" w:rsidP="00A41551">
      <w:pPr>
        <w:numPr>
          <w:ilvl w:val="0"/>
          <w:numId w:val="2"/>
        </w:numPr>
        <w:rPr>
          <w:bCs/>
          <w:lang w:val="en-GB"/>
        </w:rPr>
      </w:pPr>
      <w:r w:rsidRPr="00A41551">
        <w:rPr>
          <w:b/>
          <w:bCs/>
          <w:lang w:val="en-GB"/>
        </w:rPr>
        <w:t xml:space="preserve">Sheehan </w:t>
      </w:r>
      <w:r w:rsidR="00C95EBB">
        <w:rPr>
          <w:b/>
          <w:bCs/>
          <w:lang w:val="en-GB"/>
        </w:rPr>
        <w:t>D</w:t>
      </w:r>
      <w:r w:rsidRPr="00A41551">
        <w:rPr>
          <w:b/>
          <w:bCs/>
          <w:lang w:val="en-GB"/>
        </w:rPr>
        <w:t xml:space="preserve">isability </w:t>
      </w:r>
      <w:r w:rsidR="00C95EBB">
        <w:rPr>
          <w:b/>
          <w:bCs/>
          <w:lang w:val="en-GB"/>
        </w:rPr>
        <w:t>S</w:t>
      </w:r>
      <w:r w:rsidRPr="00A41551">
        <w:rPr>
          <w:b/>
          <w:bCs/>
          <w:lang w:val="en-GB"/>
        </w:rPr>
        <w:t xml:space="preserve">cale </w:t>
      </w:r>
      <w:r w:rsidRPr="00892D68">
        <w:rPr>
          <w:b/>
          <w:bCs/>
          <w:lang w:val="en-GB"/>
        </w:rPr>
        <w:t>(SDS</w:t>
      </w:r>
      <w:r w:rsidRPr="00892D68">
        <w:rPr>
          <w:bCs/>
          <w:lang w:val="en-GB"/>
        </w:rPr>
        <w:t>)</w:t>
      </w:r>
      <w:r w:rsidR="00684E00" w:rsidRPr="00892D68">
        <w:rPr>
          <w:bCs/>
          <w:lang w:val="en-GB"/>
        </w:rPr>
        <w:t xml:space="preserve"> </w:t>
      </w:r>
      <w:r w:rsidR="00684E00" w:rsidRPr="00892D68">
        <w:rPr>
          <w:bCs/>
          <w:lang w:val="en-GB"/>
        </w:rPr>
        <w:fldChar w:fldCharType="begin"/>
      </w:r>
      <w:r w:rsidR="00795715">
        <w:rPr>
          <w:bCs/>
          <w:lang w:val="en-GB"/>
        </w:rPr>
        <w:instrText xml:space="preserve"> ADDIN EN.CITE &lt;EndNote&gt;&lt;Cite&gt;&lt;Author&gt;Sheehan&lt;/Author&gt;&lt;Year&gt;1996&lt;/Year&gt;&lt;RecNum&gt;2392&lt;/RecNum&gt;&lt;DisplayText&gt;[6]&lt;/DisplayText&gt;&lt;record&gt;&lt;rec-number&gt;2392&lt;/rec-number&gt;&lt;foreign-keys&gt;&lt;key app="EN" db-id="tep92zxp5dz2snesx0oxd5adpdwr5rxd59xz" timestamp="1557043037"&gt;2392&lt;/key&gt;&lt;/foreign-keys&gt;&lt;ref-type name="Journal Article"&gt;17&lt;/ref-type&gt;&lt;contributors&gt;&lt;authors&gt;&lt;author&gt;Sheehan, D. V.&lt;/author&gt;&lt;author&gt;Harnett-Sheehan, K.&lt;/author&gt;&lt;author&gt;Raj, B. A.&lt;/author&gt;&lt;/authors&gt;&lt;/contributors&gt;&lt;auth-address&gt;University of South Florida, Institute for Research in Psychiatry, Tampa 33613, USA.&lt;/auth-address&gt;&lt;titles&gt;&lt;title&gt;The measurement of disability&lt;/title&gt;&lt;secondary-title&gt;International clinical psychopharmacology&lt;/secondary-title&gt;&lt;alt-title&gt;Int Clin Psychopharmacol&lt;/alt-title&gt;&lt;/titles&gt;&lt;periodical&gt;&lt;full-title&gt;International clinical psychopharmacology&lt;/full-title&gt;&lt;abbr-1&gt;Int Clin Psychopharmacol&lt;/abbr-1&gt;&lt;/periodical&gt;&lt;alt-periodical&gt;&lt;full-title&gt;International clinical psychopharmacology&lt;/full-title&gt;&lt;abbr-1&gt;Int Clin Psychopharmacol&lt;/abbr-1&gt;&lt;/alt-periodical&gt;&lt;pages&gt;89-95&lt;/pages&gt;&lt;volume&gt;11 Suppl 3&lt;/volume&gt;&lt;keywords&gt;&lt;keyword&gt;Disability Evaluation&lt;/keyword&gt;&lt;/keywords&gt;&lt;dates&gt;&lt;year&gt;1996&lt;/year&gt;&lt;pub-dates&gt;&lt;date&gt;1996/06//&lt;/date&gt;&lt;/pub-dates&gt;&lt;/dates&gt;&lt;isbn&gt;0268-1315&lt;/isbn&gt;&lt;accession-num&gt;8923116&lt;/accession-num&gt;&lt;urls&gt;&lt;related-urls&gt;&lt;url&gt;http://europepmc.org/abstract/MED/8923116&lt;/url&gt;&lt;/related-urls&gt;&lt;/urls&gt;&lt;remote-database-name&gt;PubMed&lt;/remote-database-name&gt;&lt;language&gt;eng&lt;/language&gt;&lt;/record&gt;&lt;/Cite&gt;&lt;/EndNote&gt;</w:instrText>
      </w:r>
      <w:r w:rsidR="00684E00" w:rsidRPr="00892D68">
        <w:rPr>
          <w:bCs/>
          <w:lang w:val="en-GB"/>
        </w:rPr>
        <w:fldChar w:fldCharType="separate"/>
      </w:r>
      <w:r w:rsidR="00795715">
        <w:rPr>
          <w:bCs/>
          <w:noProof/>
          <w:lang w:val="en-GB"/>
        </w:rPr>
        <w:t>[6]</w:t>
      </w:r>
      <w:r w:rsidR="00684E00" w:rsidRPr="00892D68">
        <w:rPr>
          <w:bCs/>
          <w:lang w:val="en-GB"/>
        </w:rPr>
        <w:fldChar w:fldCharType="end"/>
      </w:r>
      <w:r w:rsidRPr="00892D68">
        <w:rPr>
          <w:bCs/>
          <w:lang w:val="en-GB"/>
        </w:rPr>
        <w:t xml:space="preserve"> </w:t>
      </w:r>
      <w:r w:rsidRPr="00A41551">
        <w:rPr>
          <w:bCs/>
          <w:lang w:val="en-GB"/>
        </w:rPr>
        <w:t>assesses functional impairment in three inter-related domains: work, social and family life by using a 10-point visual analogue scale.</w:t>
      </w:r>
    </w:p>
    <w:p w:rsidR="00A41551" w:rsidRPr="00A41551" w:rsidRDefault="00A41551" w:rsidP="00A41551">
      <w:pPr>
        <w:rPr>
          <w:bCs/>
          <w:lang w:val="en-GB"/>
        </w:rPr>
      </w:pPr>
    </w:p>
    <w:p w:rsidR="00A41551" w:rsidRPr="00A41551" w:rsidRDefault="00A41551" w:rsidP="00A41551">
      <w:pPr>
        <w:numPr>
          <w:ilvl w:val="0"/>
          <w:numId w:val="2"/>
        </w:numPr>
        <w:rPr>
          <w:bCs/>
          <w:lang w:val="en-GB"/>
        </w:rPr>
      </w:pPr>
      <w:r w:rsidRPr="00892D68">
        <w:rPr>
          <w:b/>
          <w:bCs/>
          <w:lang w:val="en-GB"/>
        </w:rPr>
        <w:lastRenderedPageBreak/>
        <w:t>Self-</w:t>
      </w:r>
      <w:r w:rsidR="00C95EBB">
        <w:rPr>
          <w:b/>
          <w:bCs/>
          <w:lang w:val="en-GB"/>
        </w:rPr>
        <w:t>R</w:t>
      </w:r>
      <w:r w:rsidRPr="00892D68">
        <w:rPr>
          <w:b/>
          <w:bCs/>
          <w:lang w:val="en-GB"/>
        </w:rPr>
        <w:t>eporting</w:t>
      </w:r>
      <w:r w:rsidRPr="00A41551">
        <w:rPr>
          <w:b/>
          <w:bCs/>
          <w:lang w:val="en-GB"/>
        </w:rPr>
        <w:t xml:space="preserve"> </w:t>
      </w:r>
      <w:r w:rsidR="00C95EBB">
        <w:rPr>
          <w:b/>
          <w:bCs/>
          <w:lang w:val="en-GB"/>
        </w:rPr>
        <w:t>Q</w:t>
      </w:r>
      <w:r w:rsidRPr="00A41551">
        <w:rPr>
          <w:b/>
          <w:bCs/>
          <w:lang w:val="en-GB"/>
        </w:rPr>
        <w:t>uestionnaire 20 (SRQ20)</w:t>
      </w:r>
      <w:r w:rsidR="00684E00" w:rsidRPr="00892D68">
        <w:rPr>
          <w:b/>
          <w:bCs/>
          <w:lang w:val="en-GB"/>
        </w:rPr>
        <w:t xml:space="preserve"> </w:t>
      </w:r>
      <w:r w:rsidR="00B9575E" w:rsidRPr="00892D68">
        <w:rPr>
          <w:bCs/>
          <w:lang w:val="en-GB"/>
        </w:rPr>
        <w:fldChar w:fldCharType="begin"/>
      </w:r>
      <w:r w:rsidR="00795715">
        <w:rPr>
          <w:bCs/>
          <w:lang w:val="en-GB"/>
        </w:rPr>
        <w:instrText xml:space="preserve"> ADDIN EN.CITE &lt;EndNote&gt;&lt;Cite&gt;&lt;Author&gt;Beusenberg&lt;/Author&gt;&lt;Year&gt;1994&lt;/Year&gt;&lt;RecNum&gt;2391&lt;/RecNum&gt;&lt;DisplayText&gt;[7]&lt;/DisplayText&gt;&lt;record&gt;&lt;rec-number&gt;2391&lt;/rec-number&gt;&lt;foreign-keys&gt;&lt;key app="EN" db-id="tep92zxp5dz2snesx0oxd5adpdwr5rxd59xz" timestamp="1557042320"&gt;2391&lt;/key&gt;&lt;/foreign-keys&gt;&lt;ref-type name="Electronic Article"&gt;43&lt;/ref-type&gt;&lt;contributors&gt;&lt;authors&gt;&lt;author&gt;Beusenberg, M.&lt;/author&gt;&lt;author&gt;Orley, J.&lt;/author&gt;&lt;/authors&gt;&lt;/contributors&gt;&lt;titles&gt;&lt;title&gt;A User&amp;apos;s guide to the self reporting questionnaire (‎SRQ).&lt;/title&gt;&lt;secondary-title&gt;World Health Organisation.&lt;/secondary-title&gt;&lt;/titles&gt;&lt;periodical&gt;&lt;full-title&gt;World Health Organisation.&lt;/full-title&gt;&lt;/periodical&gt;&lt;dates&gt;&lt;year&gt;1994&lt;/year&gt;&lt;pub-dates&gt;&lt;date&gt;5th May 2019&lt;/date&gt;&lt;/pub-dates&gt;&lt;/dates&gt;&lt;urls&gt;&lt;related-urls&gt;&lt;url&gt;https://apps.who.int/iris/handle/10665/61113&lt;/url&gt;&lt;/related-urls&gt;&lt;/urls&gt;&lt;custom7&gt;WHO/MNH/PSF/94.8. &lt;/custom7&gt;&lt;/record&gt;&lt;/Cite&gt;&lt;/EndNote&gt;</w:instrText>
      </w:r>
      <w:r w:rsidR="00B9575E" w:rsidRPr="00892D68">
        <w:rPr>
          <w:bCs/>
          <w:lang w:val="en-GB"/>
        </w:rPr>
        <w:fldChar w:fldCharType="separate"/>
      </w:r>
      <w:r w:rsidR="00795715">
        <w:rPr>
          <w:bCs/>
          <w:noProof/>
          <w:lang w:val="en-GB"/>
        </w:rPr>
        <w:t>[7]</w:t>
      </w:r>
      <w:r w:rsidR="00B9575E" w:rsidRPr="00892D68">
        <w:rPr>
          <w:bCs/>
          <w:lang w:val="en-GB"/>
        </w:rPr>
        <w:fldChar w:fldCharType="end"/>
      </w:r>
      <w:r w:rsidRPr="00A41551">
        <w:rPr>
          <w:bCs/>
          <w:lang w:val="en-GB"/>
        </w:rPr>
        <w:t xml:space="preserve"> is a</w:t>
      </w:r>
      <w:r w:rsidR="00B9575E" w:rsidRPr="00892D68">
        <w:rPr>
          <w:bCs/>
          <w:lang w:val="en-GB"/>
        </w:rPr>
        <w:t xml:space="preserve"> World Health Organisation</w:t>
      </w:r>
      <w:r w:rsidRPr="00A41551">
        <w:rPr>
          <w:bCs/>
          <w:lang w:val="en-GB"/>
        </w:rPr>
        <w:t xml:space="preserve"> screening test for anxiety and depression disorders. It is comprised of 20 questions. </w:t>
      </w:r>
    </w:p>
    <w:p w:rsidR="00A41551" w:rsidRPr="00A41551" w:rsidRDefault="00A41551" w:rsidP="00A41551">
      <w:pPr>
        <w:rPr>
          <w:bCs/>
          <w:lang w:val="en-GB"/>
        </w:rPr>
      </w:pPr>
    </w:p>
    <w:p w:rsidR="00A41551" w:rsidRPr="00892D68" w:rsidRDefault="00A41551" w:rsidP="00A41551">
      <w:pPr>
        <w:numPr>
          <w:ilvl w:val="0"/>
          <w:numId w:val="2"/>
        </w:numPr>
        <w:rPr>
          <w:bCs/>
          <w:lang w:val="en-GB"/>
        </w:rPr>
      </w:pPr>
      <w:r w:rsidRPr="00892D68">
        <w:rPr>
          <w:b/>
          <w:bCs/>
          <w:lang w:val="en-GB"/>
        </w:rPr>
        <w:t>Stages of Change Readiness and Treatment Eagerness Scale (SOCRATES</w:t>
      </w:r>
      <w:r w:rsidRPr="00892D68">
        <w:rPr>
          <w:bCs/>
          <w:lang w:val="en-GB"/>
        </w:rPr>
        <w:t>)</w:t>
      </w:r>
      <w:r w:rsidR="00684E00" w:rsidRPr="00892D68">
        <w:rPr>
          <w:bCs/>
          <w:lang w:val="en-GB"/>
        </w:rPr>
        <w:t xml:space="preserve"> </w:t>
      </w:r>
      <w:r w:rsidR="008B65B2" w:rsidRPr="00892D68">
        <w:rPr>
          <w:bCs/>
          <w:lang w:val="en-GB"/>
        </w:rPr>
        <w:fldChar w:fldCharType="begin"/>
      </w:r>
      <w:r w:rsidR="00795715">
        <w:rPr>
          <w:bCs/>
          <w:lang w:val="en-GB"/>
        </w:rPr>
        <w:instrText xml:space="preserve"> ADDIN EN.CITE &lt;EndNote&gt;&lt;Cite&gt;&lt;Author&gt;Miller&lt;/Author&gt;&lt;Year&gt;1996&lt;/Year&gt;&lt;RecNum&gt;2389&lt;/RecNum&gt;&lt;DisplayText&gt;[8]&lt;/DisplayText&gt;&lt;record&gt;&lt;rec-number&gt;2389&lt;/rec-number&gt;&lt;foreign-keys&gt;&lt;key app="EN" db-id="tep92zxp5dz2snesx0oxd5adpdwr5rxd59xz" timestamp="1557041324"&gt;2389&lt;/key&gt;&lt;/foreign-keys&gt;&lt;ref-type name="Journal Article"&gt;17&lt;/ref-type&gt;&lt;contributors&gt;&lt;authors&gt;&lt;author&gt;Miller, William R.&lt;/author&gt;&lt;author&gt;Tonigan, J. Scott&lt;/author&gt;&lt;/authors&gt;&lt;/contributors&gt;&lt;titles&gt;&lt;title&gt;Assessing drinkers&amp;apos; motivation for change: The Stages of Change Readiness and Treatment Eagerness Scale (SOCRATES)&lt;/title&gt;&lt;secondary-title&gt;Psychology of Addictive Behaviors&lt;/secondary-title&gt;&lt;/titles&gt;&lt;periodical&gt;&lt;full-title&gt;Psychology of Addictive Behaviors&lt;/full-title&gt;&lt;/periodical&gt;&lt;pages&gt;81-89&lt;/pages&gt;&lt;volume&gt;10&lt;/volume&gt;&lt;number&gt;2&lt;/number&gt;&lt;keywords&gt;&lt;keyword&gt;*Alcohol Abuse&lt;/keyword&gt;&lt;keyword&gt;*Motivation&lt;/keyword&gt;&lt;keyword&gt;*Rating Scales&lt;/keyword&gt;&lt;keyword&gt;*Test Reliability&lt;/keyword&gt;&lt;keyword&gt;*Alcohol Treatment&lt;/keyword&gt;&lt;keyword&gt;Client Attitudes&lt;/keyword&gt;&lt;keyword&gt;Factor Structure&lt;/keyword&gt;&lt;keyword&gt;Readiness to Change&lt;/keyword&gt;&lt;keyword&gt;Stages of Change&lt;/keyword&gt;&lt;keyword&gt;Test Forms&lt;/keyword&gt;&lt;/keywords&gt;&lt;dates&gt;&lt;year&gt;1996&lt;/year&gt;&lt;/dates&gt;&lt;pub-location&gt;US&lt;/pub-location&gt;&lt;publisher&gt;Educational Publishing Foundation&lt;/publisher&gt;&lt;isbn&gt;1939-1501(Electronic),0893-164X(Print)&lt;/isbn&gt;&lt;urls&gt;&lt;/urls&gt;&lt;electronic-resource-num&gt;10.1037/0893-164X.10.2.81&lt;/electronic-resource-num&gt;&lt;/record&gt;&lt;/Cite&gt;&lt;/EndNote&gt;</w:instrText>
      </w:r>
      <w:r w:rsidR="008B65B2" w:rsidRPr="00892D68">
        <w:rPr>
          <w:bCs/>
          <w:lang w:val="en-GB"/>
        </w:rPr>
        <w:fldChar w:fldCharType="separate"/>
      </w:r>
      <w:r w:rsidR="00795715">
        <w:rPr>
          <w:bCs/>
          <w:noProof/>
          <w:lang w:val="en-GB"/>
        </w:rPr>
        <w:t>[8]</w:t>
      </w:r>
      <w:r w:rsidR="008B65B2" w:rsidRPr="00892D68">
        <w:rPr>
          <w:bCs/>
          <w:lang w:val="en-GB"/>
        </w:rPr>
        <w:fldChar w:fldCharType="end"/>
      </w:r>
      <w:r w:rsidRPr="00A41551">
        <w:rPr>
          <w:bCs/>
          <w:lang w:val="en-GB"/>
        </w:rPr>
        <w:t xml:space="preserve"> is an experimental instrument designed to assess readiness for change. We have combined “substance use” in this questionnaire to include both alcohol and illicit substance use. Each item is rated on a five-point scale ranging from strongly disagree to strongly agree. The instrument yields three factorially-derived scale scores: recognition, ambivalence and taking steps and will be used to assess their motivation to change their </w:t>
      </w:r>
      <w:proofErr w:type="spellStart"/>
      <w:r w:rsidRPr="00A41551">
        <w:rPr>
          <w:bCs/>
          <w:lang w:val="en-GB"/>
        </w:rPr>
        <w:t>behavior</w:t>
      </w:r>
      <w:proofErr w:type="spellEnd"/>
      <w:r w:rsidRPr="00A41551">
        <w:rPr>
          <w:bCs/>
          <w:lang w:val="en-GB"/>
        </w:rPr>
        <w:t xml:space="preserve">. </w:t>
      </w:r>
    </w:p>
    <w:p w:rsidR="00A41551" w:rsidRPr="00892D68" w:rsidRDefault="00A41551" w:rsidP="00A41551">
      <w:pPr>
        <w:pStyle w:val="ListParagraph"/>
        <w:rPr>
          <w:bCs/>
          <w:lang w:val="en-GB"/>
        </w:rPr>
      </w:pPr>
    </w:p>
    <w:p w:rsidR="00A41551" w:rsidRPr="00A41551" w:rsidRDefault="00A41551" w:rsidP="00A41551">
      <w:pPr>
        <w:numPr>
          <w:ilvl w:val="0"/>
          <w:numId w:val="2"/>
        </w:numPr>
        <w:rPr>
          <w:bCs/>
          <w:lang w:val="en-GB"/>
        </w:rPr>
      </w:pPr>
      <w:r w:rsidRPr="00A41551">
        <w:rPr>
          <w:b/>
          <w:bCs/>
          <w:lang w:val="en-GB"/>
        </w:rPr>
        <w:t>Multid</w:t>
      </w:r>
      <w:r w:rsidRPr="00892D68">
        <w:rPr>
          <w:b/>
          <w:bCs/>
          <w:lang w:val="en-GB"/>
        </w:rPr>
        <w:t>i</w:t>
      </w:r>
      <w:r w:rsidRPr="00A41551">
        <w:rPr>
          <w:b/>
          <w:bCs/>
          <w:lang w:val="en-GB"/>
        </w:rPr>
        <w:t>m</w:t>
      </w:r>
      <w:r w:rsidRPr="00892D68">
        <w:rPr>
          <w:b/>
          <w:bCs/>
          <w:lang w:val="en-GB"/>
        </w:rPr>
        <w:t>en</w:t>
      </w:r>
      <w:r w:rsidRPr="00A41551">
        <w:rPr>
          <w:b/>
          <w:bCs/>
          <w:lang w:val="en-GB"/>
        </w:rPr>
        <w:t>sional Scale of Perceived Social Support (MSPSS)</w:t>
      </w:r>
      <w:r w:rsidR="00684E00" w:rsidRPr="00892D68">
        <w:rPr>
          <w:b/>
          <w:bCs/>
          <w:lang w:val="en-GB"/>
        </w:rPr>
        <w:t xml:space="preserve"> </w:t>
      </w:r>
      <w:r w:rsidR="00B9575E" w:rsidRPr="00892D68">
        <w:rPr>
          <w:bCs/>
          <w:lang w:val="en-GB"/>
        </w:rPr>
        <w:fldChar w:fldCharType="begin"/>
      </w:r>
      <w:r w:rsidR="00795715">
        <w:rPr>
          <w:bCs/>
          <w:lang w:val="en-GB"/>
        </w:rPr>
        <w:instrText xml:space="preserve"> ADDIN EN.CITE &lt;EndNote&gt;&lt;Cite&gt;&lt;Author&gt;Zimet&lt;/Author&gt;&lt;Year&gt;1988&lt;/Year&gt;&lt;RecNum&gt;2390&lt;/RecNum&gt;&lt;DisplayText&gt;[9]&lt;/DisplayText&gt;&lt;record&gt;&lt;rec-number&gt;2390&lt;/rec-number&gt;&lt;foreign-keys&gt;&lt;key app="EN" db-id="tep92zxp5dz2snesx0oxd5adpdwr5rxd59xz" timestamp="1557041543"&gt;2390&lt;/key&gt;&lt;/foreign-keys&gt;&lt;ref-type name="Journal Article"&gt;17&lt;/ref-type&gt;&lt;contributors&gt;&lt;authors&gt;&lt;author&gt;Zimet, Gregory D.&lt;/author&gt;&lt;author&gt;Dahlem, Nancy W.&lt;/author&gt;&lt;author&gt;Zimet, Sara G.&lt;/author&gt;&lt;author&gt;Farley, Gordon K.&lt;/author&gt;&lt;/authors&gt;&lt;/contributors&gt;&lt;titles&gt;&lt;title&gt;The Multidimensional Scale of Perceived Social Support&lt;/title&gt;&lt;secondary-title&gt;Journal of Personality Assessment&lt;/secondary-title&gt;&lt;/titles&gt;&lt;periodical&gt;&lt;full-title&gt;Journal of Personality Assessment&lt;/full-title&gt;&lt;/periodical&gt;&lt;pages&gt;30-41&lt;/pages&gt;&lt;volume&gt;52&lt;/volume&gt;&lt;number&gt;1&lt;/number&gt;&lt;dates&gt;&lt;year&gt;1988&lt;/year&gt;&lt;pub-dates&gt;&lt;date&gt;1988/03/01&lt;/date&gt;&lt;/pub-dates&gt;&lt;/dates&gt;&lt;publisher&gt;Routledge&lt;/publisher&gt;&lt;isbn&gt;0022-3891&lt;/isbn&gt;&lt;urls&gt;&lt;related-urls&gt;&lt;url&gt;https://doi.org/10.1207/s15327752jpa5201_2&lt;/url&gt;&lt;/related-urls&gt;&lt;/urls&gt;&lt;electronic-resource-num&gt;10.1207/s15327752jpa5201_2&lt;/electronic-resource-num&gt;&lt;/record&gt;&lt;/Cite&gt;&lt;/EndNote&gt;</w:instrText>
      </w:r>
      <w:r w:rsidR="00B9575E" w:rsidRPr="00892D68">
        <w:rPr>
          <w:bCs/>
          <w:lang w:val="en-GB"/>
        </w:rPr>
        <w:fldChar w:fldCharType="separate"/>
      </w:r>
      <w:r w:rsidR="00795715">
        <w:rPr>
          <w:bCs/>
          <w:noProof/>
          <w:lang w:val="en-GB"/>
        </w:rPr>
        <w:t>[9]</w:t>
      </w:r>
      <w:r w:rsidR="00B9575E" w:rsidRPr="00892D68">
        <w:rPr>
          <w:bCs/>
          <w:lang w:val="en-GB"/>
        </w:rPr>
        <w:fldChar w:fldCharType="end"/>
      </w:r>
      <w:r w:rsidRPr="00A41551">
        <w:rPr>
          <w:bCs/>
          <w:lang w:val="en-GB"/>
        </w:rPr>
        <w:t xml:space="preserve"> is a brief </w:t>
      </w:r>
      <w:r w:rsidRPr="00892D68">
        <w:rPr>
          <w:bCs/>
          <w:lang w:val="en-GB"/>
        </w:rPr>
        <w:t>self-report</w:t>
      </w:r>
      <w:r w:rsidRPr="00A41551">
        <w:rPr>
          <w:bCs/>
          <w:lang w:val="en-GB"/>
        </w:rPr>
        <w:t xml:space="preserve"> questionnaire with 12 items that subjectively measure perceived social support using three subscales</w:t>
      </w:r>
      <w:r w:rsidRPr="00892D68">
        <w:rPr>
          <w:bCs/>
          <w:lang w:val="en-GB"/>
        </w:rPr>
        <w:t>,</w:t>
      </w:r>
      <w:r w:rsidRPr="00A41551">
        <w:rPr>
          <w:bCs/>
          <w:lang w:val="en-GB"/>
        </w:rPr>
        <w:t xml:space="preserve"> namely: family, friends and significant others each rated on scale ranging from “very strongly </w:t>
      </w:r>
      <w:r w:rsidRPr="00892D68">
        <w:rPr>
          <w:bCs/>
          <w:lang w:val="en-GB"/>
        </w:rPr>
        <w:t>disagree</w:t>
      </w:r>
      <w:r w:rsidRPr="00A41551">
        <w:rPr>
          <w:bCs/>
          <w:lang w:val="en-GB"/>
        </w:rPr>
        <w:t xml:space="preserve">” to “very strongly agree.” Each item is scored between 1-7. The composite score obtained categorizes patients into low, moderate and high acuity of perceived social support. </w:t>
      </w:r>
    </w:p>
    <w:p w:rsidR="00241C2D" w:rsidRPr="00892D68" w:rsidRDefault="00241C2D" w:rsidP="00CF0422">
      <w:pPr>
        <w:rPr>
          <w:rStyle w:val="Strong"/>
          <w:rFonts w:eastAsiaTheme="majorEastAsia" w:cstheme="majorBidi"/>
          <w:b w:val="0"/>
          <w:lang w:val="en-GB"/>
        </w:rPr>
      </w:pPr>
      <w:r w:rsidRPr="00892D68">
        <w:rPr>
          <w:rStyle w:val="Strong"/>
          <w:b w:val="0"/>
          <w:lang w:val="en-GB"/>
        </w:rPr>
        <w:br w:type="page"/>
      </w:r>
    </w:p>
    <w:p w:rsidR="008B65B2" w:rsidRPr="00892D68" w:rsidRDefault="008B65B2" w:rsidP="00332EE6">
      <w:pPr>
        <w:rPr>
          <w:lang w:val="en-GB"/>
        </w:rPr>
      </w:pPr>
    </w:p>
    <w:p w:rsidR="008B65B2" w:rsidRPr="00892D68" w:rsidRDefault="008B65B2" w:rsidP="00332EE6">
      <w:pPr>
        <w:rPr>
          <w:lang w:val="en-GB"/>
        </w:rPr>
      </w:pPr>
    </w:p>
    <w:p w:rsidR="00795715" w:rsidRPr="00795715" w:rsidRDefault="008B65B2" w:rsidP="00795715">
      <w:pPr>
        <w:pStyle w:val="EndNoteBibliographyTitle"/>
        <w:rPr>
          <w:b/>
          <w:noProof/>
        </w:rPr>
      </w:pPr>
      <w:r w:rsidRPr="00892D68">
        <w:rPr>
          <w:lang w:val="en-GB"/>
        </w:rPr>
        <w:fldChar w:fldCharType="begin"/>
      </w:r>
      <w:r w:rsidRPr="00892D68">
        <w:rPr>
          <w:lang w:val="en-GB"/>
        </w:rPr>
        <w:instrText xml:space="preserve"> ADDIN EN.REFLIST </w:instrText>
      </w:r>
      <w:r w:rsidRPr="00892D68">
        <w:rPr>
          <w:lang w:val="en-GB"/>
        </w:rPr>
        <w:fldChar w:fldCharType="separate"/>
      </w:r>
      <w:r w:rsidR="00795715" w:rsidRPr="00795715">
        <w:rPr>
          <w:b/>
          <w:noProof/>
        </w:rPr>
        <w:t>References</w:t>
      </w:r>
    </w:p>
    <w:p w:rsidR="00795715" w:rsidRPr="00795715" w:rsidRDefault="00795715" w:rsidP="00795715">
      <w:pPr>
        <w:pStyle w:val="EndNoteBibliographyTitle"/>
        <w:rPr>
          <w:b/>
          <w:noProof/>
        </w:rPr>
      </w:pPr>
    </w:p>
    <w:p w:rsidR="00795715" w:rsidRPr="00795715" w:rsidRDefault="00795715" w:rsidP="00795715">
      <w:pPr>
        <w:pStyle w:val="EndNoteBibliography"/>
        <w:spacing w:after="360"/>
        <w:ind w:left="360" w:hanging="360"/>
        <w:rPr>
          <w:noProof/>
        </w:rPr>
      </w:pPr>
      <w:r w:rsidRPr="00795715">
        <w:rPr>
          <w:noProof/>
        </w:rPr>
        <w:t>1.</w:t>
      </w:r>
      <w:r w:rsidRPr="00795715">
        <w:rPr>
          <w:noProof/>
        </w:rPr>
        <w:tab/>
        <w:t xml:space="preserve">WHO Assist Working Group: </w:t>
      </w:r>
      <w:r w:rsidRPr="00795715">
        <w:rPr>
          <w:b/>
          <w:noProof/>
        </w:rPr>
        <w:t>The Alcohol, Smoking and Substance Involvement Screening Test (ASSIST): development, reliability and feasibility</w:t>
      </w:r>
      <w:r w:rsidRPr="00795715">
        <w:rPr>
          <w:noProof/>
        </w:rPr>
        <w:t xml:space="preserve">. </w:t>
      </w:r>
      <w:r w:rsidRPr="00795715">
        <w:rPr>
          <w:i/>
          <w:noProof/>
        </w:rPr>
        <w:t xml:space="preserve">Addiction </w:t>
      </w:r>
      <w:r w:rsidRPr="00795715">
        <w:rPr>
          <w:noProof/>
        </w:rPr>
        <w:t xml:space="preserve">2002, </w:t>
      </w:r>
      <w:r w:rsidRPr="00795715">
        <w:rPr>
          <w:b/>
          <w:noProof/>
        </w:rPr>
        <w:t>97</w:t>
      </w:r>
      <w:r w:rsidRPr="00795715">
        <w:rPr>
          <w:noProof/>
        </w:rPr>
        <w:t>(9):1183-1194.</w:t>
      </w:r>
    </w:p>
    <w:p w:rsidR="00795715" w:rsidRPr="00795715" w:rsidRDefault="00795715" w:rsidP="00795715">
      <w:pPr>
        <w:pStyle w:val="EndNoteBibliography"/>
        <w:spacing w:after="360"/>
        <w:ind w:left="360" w:hanging="360"/>
        <w:rPr>
          <w:noProof/>
        </w:rPr>
      </w:pPr>
      <w:r w:rsidRPr="00795715">
        <w:rPr>
          <w:noProof/>
        </w:rPr>
        <w:t>2.</w:t>
      </w:r>
      <w:r w:rsidRPr="00795715">
        <w:rPr>
          <w:noProof/>
        </w:rPr>
        <w:tab/>
        <w:t xml:space="preserve">Fagerstrom KO, Schneider NG: </w:t>
      </w:r>
      <w:r w:rsidRPr="00795715">
        <w:rPr>
          <w:b/>
          <w:noProof/>
        </w:rPr>
        <w:t>Measuring nicotine dependence: a review of the Fagerstrom Tolerance Questionnaire</w:t>
      </w:r>
      <w:r w:rsidRPr="00795715">
        <w:rPr>
          <w:noProof/>
        </w:rPr>
        <w:t xml:space="preserve">. </w:t>
      </w:r>
      <w:r w:rsidRPr="00795715">
        <w:rPr>
          <w:i/>
          <w:noProof/>
        </w:rPr>
        <w:t xml:space="preserve">J Behav Med </w:t>
      </w:r>
      <w:r w:rsidRPr="00795715">
        <w:rPr>
          <w:noProof/>
        </w:rPr>
        <w:t xml:space="preserve">1989, </w:t>
      </w:r>
      <w:r w:rsidRPr="00795715">
        <w:rPr>
          <w:b/>
          <w:noProof/>
        </w:rPr>
        <w:t>12</w:t>
      </w:r>
      <w:r w:rsidRPr="00795715">
        <w:rPr>
          <w:noProof/>
        </w:rPr>
        <w:t>(2):159-182.</w:t>
      </w:r>
    </w:p>
    <w:p w:rsidR="00795715" w:rsidRPr="00795715" w:rsidRDefault="00795715" w:rsidP="00795715">
      <w:pPr>
        <w:pStyle w:val="EndNoteBibliography"/>
        <w:spacing w:after="360"/>
        <w:ind w:left="360" w:hanging="360"/>
        <w:rPr>
          <w:noProof/>
        </w:rPr>
      </w:pPr>
      <w:r w:rsidRPr="00795715">
        <w:rPr>
          <w:noProof/>
        </w:rPr>
        <w:t>3.</w:t>
      </w:r>
      <w:r w:rsidRPr="00795715">
        <w:rPr>
          <w:noProof/>
        </w:rPr>
        <w:tab/>
        <w:t xml:space="preserve">Radloff LS: </w:t>
      </w:r>
      <w:r w:rsidRPr="00795715">
        <w:rPr>
          <w:b/>
          <w:noProof/>
        </w:rPr>
        <w:t>The CES-D Scale: A Self-Report Depression Scale for Research in the General Population</w:t>
      </w:r>
      <w:r w:rsidRPr="00795715">
        <w:rPr>
          <w:noProof/>
        </w:rPr>
        <w:t xml:space="preserve">. </w:t>
      </w:r>
      <w:r w:rsidRPr="00795715">
        <w:rPr>
          <w:i/>
          <w:noProof/>
        </w:rPr>
        <w:t xml:space="preserve">Applied Psychological Measurement </w:t>
      </w:r>
      <w:r w:rsidRPr="00795715">
        <w:rPr>
          <w:noProof/>
        </w:rPr>
        <w:t xml:space="preserve">1977, </w:t>
      </w:r>
      <w:r w:rsidRPr="00795715">
        <w:rPr>
          <w:b/>
          <w:noProof/>
        </w:rPr>
        <w:t>1</w:t>
      </w:r>
      <w:r w:rsidRPr="00795715">
        <w:rPr>
          <w:noProof/>
        </w:rPr>
        <w:t>(3):385-401.</w:t>
      </w:r>
    </w:p>
    <w:p w:rsidR="00795715" w:rsidRPr="00795715" w:rsidRDefault="00795715" w:rsidP="00795715">
      <w:pPr>
        <w:pStyle w:val="EndNoteBibliography"/>
        <w:spacing w:after="360"/>
        <w:ind w:left="360" w:hanging="360"/>
        <w:rPr>
          <w:noProof/>
        </w:rPr>
      </w:pPr>
      <w:r w:rsidRPr="00795715">
        <w:rPr>
          <w:noProof/>
        </w:rPr>
        <w:t>4.</w:t>
      </w:r>
      <w:r w:rsidRPr="00795715">
        <w:rPr>
          <w:noProof/>
        </w:rPr>
        <w:tab/>
        <w:t xml:space="preserve">Morisky DE, Ang A, Krousel-Wood M, Ward HJ: </w:t>
      </w:r>
      <w:r w:rsidRPr="00795715">
        <w:rPr>
          <w:b/>
          <w:noProof/>
        </w:rPr>
        <w:t>Predictive validity of a medication adherence measure in an outpatient setting</w:t>
      </w:r>
      <w:r w:rsidRPr="00795715">
        <w:rPr>
          <w:noProof/>
        </w:rPr>
        <w:t xml:space="preserve">. </w:t>
      </w:r>
      <w:r w:rsidRPr="00795715">
        <w:rPr>
          <w:i/>
          <w:noProof/>
        </w:rPr>
        <w:t xml:space="preserve">J Clin Hypertens (Greenwich) </w:t>
      </w:r>
      <w:r w:rsidRPr="00795715">
        <w:rPr>
          <w:noProof/>
        </w:rPr>
        <w:t xml:space="preserve">2008, </w:t>
      </w:r>
      <w:r w:rsidRPr="00795715">
        <w:rPr>
          <w:b/>
          <w:noProof/>
        </w:rPr>
        <w:t>10</w:t>
      </w:r>
      <w:r w:rsidRPr="00795715">
        <w:rPr>
          <w:noProof/>
        </w:rPr>
        <w:t>(5):348-354.</w:t>
      </w:r>
    </w:p>
    <w:p w:rsidR="00795715" w:rsidRPr="00795715" w:rsidRDefault="00795715" w:rsidP="00795715">
      <w:pPr>
        <w:pStyle w:val="EndNoteBibliography"/>
        <w:spacing w:after="360"/>
        <w:ind w:left="360" w:hanging="360"/>
        <w:rPr>
          <w:noProof/>
        </w:rPr>
      </w:pPr>
      <w:r w:rsidRPr="00795715">
        <w:rPr>
          <w:noProof/>
        </w:rPr>
        <w:t>5.</w:t>
      </w:r>
      <w:r w:rsidRPr="00795715">
        <w:rPr>
          <w:noProof/>
        </w:rPr>
        <w:tab/>
        <w:t xml:space="preserve">Rabin R, Charro Fd: </w:t>
      </w:r>
      <w:r w:rsidRPr="00795715">
        <w:rPr>
          <w:b/>
          <w:noProof/>
        </w:rPr>
        <w:t>EQ-SD: a measure of health status from the EuroQol Group</w:t>
      </w:r>
      <w:r w:rsidRPr="00795715">
        <w:rPr>
          <w:noProof/>
        </w:rPr>
        <w:t xml:space="preserve">. </w:t>
      </w:r>
      <w:r w:rsidRPr="00795715">
        <w:rPr>
          <w:i/>
          <w:noProof/>
        </w:rPr>
        <w:t xml:space="preserve">Annals of Medicine </w:t>
      </w:r>
      <w:r w:rsidRPr="00795715">
        <w:rPr>
          <w:noProof/>
        </w:rPr>
        <w:t xml:space="preserve">2001, </w:t>
      </w:r>
      <w:r w:rsidRPr="00795715">
        <w:rPr>
          <w:b/>
          <w:noProof/>
        </w:rPr>
        <w:t>33</w:t>
      </w:r>
      <w:r w:rsidRPr="00795715">
        <w:rPr>
          <w:noProof/>
        </w:rPr>
        <w:t>(5):337-343.</w:t>
      </w:r>
    </w:p>
    <w:p w:rsidR="00795715" w:rsidRPr="00795715" w:rsidRDefault="00795715" w:rsidP="00795715">
      <w:pPr>
        <w:pStyle w:val="EndNoteBibliography"/>
        <w:spacing w:after="360"/>
        <w:ind w:left="360" w:hanging="360"/>
        <w:rPr>
          <w:noProof/>
        </w:rPr>
      </w:pPr>
      <w:r w:rsidRPr="00795715">
        <w:rPr>
          <w:noProof/>
        </w:rPr>
        <w:t>6.</w:t>
      </w:r>
      <w:r w:rsidRPr="00795715">
        <w:rPr>
          <w:noProof/>
        </w:rPr>
        <w:tab/>
        <w:t xml:space="preserve">Sheehan DV, Harnett-Sheehan K, Raj BA: </w:t>
      </w:r>
      <w:r w:rsidRPr="00795715">
        <w:rPr>
          <w:b/>
          <w:noProof/>
        </w:rPr>
        <w:t>The measurement of disability</w:t>
      </w:r>
      <w:r w:rsidRPr="00795715">
        <w:rPr>
          <w:noProof/>
        </w:rPr>
        <w:t xml:space="preserve">. </w:t>
      </w:r>
      <w:r w:rsidRPr="00795715">
        <w:rPr>
          <w:i/>
          <w:noProof/>
        </w:rPr>
        <w:t xml:space="preserve">Int Clin Psychopharmacol </w:t>
      </w:r>
      <w:r w:rsidRPr="00795715">
        <w:rPr>
          <w:noProof/>
        </w:rPr>
        <w:t xml:space="preserve">1996, </w:t>
      </w:r>
      <w:r w:rsidRPr="00795715">
        <w:rPr>
          <w:b/>
          <w:noProof/>
        </w:rPr>
        <w:t>11 Suppl 3</w:t>
      </w:r>
      <w:r w:rsidRPr="00795715">
        <w:rPr>
          <w:noProof/>
        </w:rPr>
        <w:t>:89-95.</w:t>
      </w:r>
    </w:p>
    <w:p w:rsidR="00795715" w:rsidRPr="00795715" w:rsidRDefault="00795715" w:rsidP="00795715">
      <w:pPr>
        <w:pStyle w:val="EndNoteBibliography"/>
        <w:spacing w:after="360"/>
        <w:ind w:left="360" w:hanging="360"/>
        <w:rPr>
          <w:noProof/>
        </w:rPr>
      </w:pPr>
      <w:r w:rsidRPr="00795715">
        <w:rPr>
          <w:noProof/>
        </w:rPr>
        <w:t>7.</w:t>
      </w:r>
      <w:r w:rsidRPr="00795715">
        <w:rPr>
          <w:noProof/>
        </w:rPr>
        <w:tab/>
        <w:t xml:space="preserve">Beusenberg M, Orley J: </w:t>
      </w:r>
      <w:r w:rsidRPr="00795715">
        <w:rPr>
          <w:b/>
          <w:noProof/>
        </w:rPr>
        <w:t>A User's guide to the self reporting questionnaire (‎SRQ).</w:t>
      </w:r>
      <w:r w:rsidRPr="00795715">
        <w:rPr>
          <w:noProof/>
        </w:rPr>
        <w:t xml:space="preserve"> In: </w:t>
      </w:r>
      <w:r w:rsidRPr="00795715">
        <w:rPr>
          <w:i/>
          <w:noProof/>
        </w:rPr>
        <w:t>World Health Organisation.</w:t>
      </w:r>
      <w:r w:rsidRPr="00795715">
        <w:rPr>
          <w:noProof/>
        </w:rPr>
        <w:t xml:space="preserve"> 1994.</w:t>
      </w:r>
    </w:p>
    <w:p w:rsidR="00795715" w:rsidRPr="00795715" w:rsidRDefault="00795715" w:rsidP="00795715">
      <w:pPr>
        <w:pStyle w:val="EndNoteBibliography"/>
        <w:spacing w:after="360"/>
        <w:ind w:left="360" w:hanging="360"/>
        <w:rPr>
          <w:noProof/>
        </w:rPr>
      </w:pPr>
      <w:r w:rsidRPr="00795715">
        <w:rPr>
          <w:noProof/>
        </w:rPr>
        <w:t>8.</w:t>
      </w:r>
      <w:r w:rsidRPr="00795715">
        <w:rPr>
          <w:noProof/>
        </w:rPr>
        <w:tab/>
        <w:t xml:space="preserve">Miller WR, Tonigan JS: </w:t>
      </w:r>
      <w:r w:rsidRPr="00795715">
        <w:rPr>
          <w:b/>
          <w:noProof/>
        </w:rPr>
        <w:t>Assessing drinkers' motivation for change: The Stages of Change Readiness and Treatment Eagerness Scale (SOCRATES)</w:t>
      </w:r>
      <w:r w:rsidRPr="00795715">
        <w:rPr>
          <w:noProof/>
        </w:rPr>
        <w:t xml:space="preserve">. </w:t>
      </w:r>
      <w:r w:rsidRPr="00795715">
        <w:rPr>
          <w:i/>
          <w:noProof/>
        </w:rPr>
        <w:t xml:space="preserve">Psychology of Addictive Behaviors </w:t>
      </w:r>
      <w:r w:rsidRPr="00795715">
        <w:rPr>
          <w:noProof/>
        </w:rPr>
        <w:t xml:space="preserve">1996, </w:t>
      </w:r>
      <w:r w:rsidRPr="00795715">
        <w:rPr>
          <w:b/>
          <w:noProof/>
        </w:rPr>
        <w:t>10</w:t>
      </w:r>
      <w:r w:rsidRPr="00795715">
        <w:rPr>
          <w:noProof/>
        </w:rPr>
        <w:t>(2):81-89.</w:t>
      </w:r>
    </w:p>
    <w:p w:rsidR="00795715" w:rsidRPr="00795715" w:rsidRDefault="00795715" w:rsidP="00795715">
      <w:pPr>
        <w:pStyle w:val="EndNoteBibliography"/>
        <w:ind w:left="360" w:hanging="360"/>
        <w:rPr>
          <w:noProof/>
        </w:rPr>
      </w:pPr>
      <w:r w:rsidRPr="00795715">
        <w:rPr>
          <w:noProof/>
        </w:rPr>
        <w:t>9.</w:t>
      </w:r>
      <w:r w:rsidRPr="00795715">
        <w:rPr>
          <w:noProof/>
        </w:rPr>
        <w:tab/>
        <w:t xml:space="preserve">Zimet GD, Dahlem NW, Zimet SG, Farley GK: </w:t>
      </w:r>
      <w:r w:rsidRPr="00795715">
        <w:rPr>
          <w:b/>
          <w:noProof/>
        </w:rPr>
        <w:t>The Multidimensional Scale of Perceived Social Support</w:t>
      </w:r>
      <w:r w:rsidRPr="00795715">
        <w:rPr>
          <w:noProof/>
        </w:rPr>
        <w:t xml:space="preserve">. </w:t>
      </w:r>
      <w:r w:rsidRPr="00795715">
        <w:rPr>
          <w:i/>
          <w:noProof/>
        </w:rPr>
        <w:t xml:space="preserve">Journal of Personality Assessment </w:t>
      </w:r>
      <w:r w:rsidRPr="00795715">
        <w:rPr>
          <w:noProof/>
        </w:rPr>
        <w:t xml:space="preserve">1988, </w:t>
      </w:r>
      <w:r w:rsidRPr="00795715">
        <w:rPr>
          <w:b/>
          <w:noProof/>
        </w:rPr>
        <w:t>52</w:t>
      </w:r>
      <w:r w:rsidRPr="00795715">
        <w:rPr>
          <w:noProof/>
        </w:rPr>
        <w:t>(1):30-41.</w:t>
      </w:r>
    </w:p>
    <w:p w:rsidR="00C401BB" w:rsidRPr="00892D68" w:rsidRDefault="008B65B2" w:rsidP="00332EE6">
      <w:pPr>
        <w:rPr>
          <w:lang w:val="en-GB"/>
        </w:rPr>
      </w:pPr>
      <w:r w:rsidRPr="00892D68">
        <w:rPr>
          <w:lang w:val="en-GB"/>
        </w:rPr>
        <w:fldChar w:fldCharType="end"/>
      </w:r>
    </w:p>
    <w:sectPr w:rsidR="00C401BB" w:rsidRPr="00892D68" w:rsidSect="00230239">
      <w:footerReference w:type="even" r:id="rId9"/>
      <w:footerReference w:type="default" r:id="rId10"/>
      <w:pgSz w:w="11900" w:h="16840"/>
      <w:pgMar w:top="1440" w:right="1800" w:bottom="1440" w:left="180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73B06" w:rsidRDefault="00973B06" w:rsidP="0059141A">
      <w:r>
        <w:separator/>
      </w:r>
    </w:p>
  </w:endnote>
  <w:endnote w:type="continuationSeparator" w:id="0">
    <w:p w:rsidR="00973B06" w:rsidRDefault="00973B06" w:rsidP="005914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9141A" w:rsidRDefault="0059141A" w:rsidP="0059141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59141A" w:rsidRDefault="0059141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9141A" w:rsidRDefault="0059141A" w:rsidP="0059141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E853C0">
      <w:rPr>
        <w:rStyle w:val="PageNumber"/>
        <w:noProof/>
      </w:rPr>
      <w:t>1</w:t>
    </w:r>
    <w:r>
      <w:rPr>
        <w:rStyle w:val="PageNumber"/>
      </w:rPr>
      <w:fldChar w:fldCharType="end"/>
    </w:r>
  </w:p>
  <w:p w:rsidR="0059141A" w:rsidRDefault="0059141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73B06" w:rsidRDefault="00973B06" w:rsidP="0059141A">
      <w:r>
        <w:separator/>
      </w:r>
    </w:p>
  </w:footnote>
  <w:footnote w:type="continuationSeparator" w:id="0">
    <w:p w:rsidR="00973B06" w:rsidRDefault="00973B06" w:rsidP="0059141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362975"/>
    <w:multiLevelType w:val="hybridMultilevel"/>
    <w:tmpl w:val="75A49C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39F6A5E"/>
    <w:multiLevelType w:val="hybridMultilevel"/>
    <w:tmpl w:val="AD0EA6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1"/>
  <w:embedSystemFonts/>
  <w:proofState w:spelling="clean"/>
  <w:defaultTabStop w:val="720"/>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BMC Psychiatry&lt;/Style&gt;&lt;LeftDelim&gt;{&lt;/LeftDelim&gt;&lt;RightDelim&gt;}&lt;/RightDelim&gt;&lt;FontName&gt;Arial&lt;/FontName&gt;&lt;FontSize&gt;11&lt;/FontSize&gt;&lt;ReflistTitle&gt;&lt;style face=&quot;bold&quot;&gt;References&lt;/style&gt;&lt;/ReflistTitle&gt;&lt;StartingRefnum&gt;1&lt;/StartingRefnum&gt;&lt;FirstLineIndent&gt;0&lt;/FirstLineIndent&gt;&lt;HangingIndent&gt;367&lt;/HangingIndent&gt;&lt;LineSpacing&gt;0&lt;/LineSpacing&gt;&lt;SpaceAfter&gt;2&lt;/SpaceAfter&gt;&lt;HyperlinksEnabled&gt;0&lt;/HyperlinksEnabled&gt;&lt;HyperlinksVisible&gt;0&lt;/HyperlinksVisible&gt;&lt;EnableBibliographyCategories&gt;0&lt;/EnableBibliographyCategories&gt;&lt;/ENLayout&gt;"/>
    <w:docVar w:name="EN.Libraries" w:val="&lt;Libraries&gt;&lt;item db-id=&quot;tep92zxp5dz2snesx0oxd5adpdwr5rxd59xz&quot;&gt;My EndNote Library&lt;record-ids&gt;&lt;item&gt;2321&lt;/item&gt;&lt;item&gt;2389&lt;/item&gt;&lt;item&gt;2390&lt;/item&gt;&lt;item&gt;2391&lt;/item&gt;&lt;item&gt;2392&lt;/item&gt;&lt;item&gt;2393&lt;/item&gt;&lt;item&gt;2394&lt;/item&gt;&lt;item&gt;2395&lt;/item&gt;&lt;item&gt;2405&lt;/item&gt;&lt;/record-ids&gt;&lt;/item&gt;&lt;/Libraries&gt;"/>
  </w:docVars>
  <w:rsids>
    <w:rsidRoot w:val="00C401BB"/>
    <w:rsid w:val="000531A5"/>
    <w:rsid w:val="00073A44"/>
    <w:rsid w:val="00082C08"/>
    <w:rsid w:val="000D091F"/>
    <w:rsid w:val="000D4579"/>
    <w:rsid w:val="0011178D"/>
    <w:rsid w:val="001308B2"/>
    <w:rsid w:val="00153373"/>
    <w:rsid w:val="00161E22"/>
    <w:rsid w:val="001B5195"/>
    <w:rsid w:val="001B5D25"/>
    <w:rsid w:val="001B694C"/>
    <w:rsid w:val="001B734F"/>
    <w:rsid w:val="001E02F9"/>
    <w:rsid w:val="001F2388"/>
    <w:rsid w:val="00205E16"/>
    <w:rsid w:val="00230239"/>
    <w:rsid w:val="00231DDC"/>
    <w:rsid w:val="00241C2D"/>
    <w:rsid w:val="0026612E"/>
    <w:rsid w:val="002A66B8"/>
    <w:rsid w:val="002B0372"/>
    <w:rsid w:val="002C5AA8"/>
    <w:rsid w:val="002D43B1"/>
    <w:rsid w:val="002D579F"/>
    <w:rsid w:val="002F59F7"/>
    <w:rsid w:val="002F5BC2"/>
    <w:rsid w:val="002F7357"/>
    <w:rsid w:val="00332EE6"/>
    <w:rsid w:val="00340F6C"/>
    <w:rsid w:val="0034269C"/>
    <w:rsid w:val="0035616F"/>
    <w:rsid w:val="003C1C26"/>
    <w:rsid w:val="003D151E"/>
    <w:rsid w:val="004279F0"/>
    <w:rsid w:val="00431379"/>
    <w:rsid w:val="00435F3A"/>
    <w:rsid w:val="00445DEF"/>
    <w:rsid w:val="00451059"/>
    <w:rsid w:val="0049047C"/>
    <w:rsid w:val="0049435E"/>
    <w:rsid w:val="00496532"/>
    <w:rsid w:val="004A493A"/>
    <w:rsid w:val="004B6261"/>
    <w:rsid w:val="005056F4"/>
    <w:rsid w:val="00512A8E"/>
    <w:rsid w:val="00525514"/>
    <w:rsid w:val="00553DAF"/>
    <w:rsid w:val="00555A52"/>
    <w:rsid w:val="00572C7B"/>
    <w:rsid w:val="00576CCD"/>
    <w:rsid w:val="0059141A"/>
    <w:rsid w:val="005928FB"/>
    <w:rsid w:val="005A54A1"/>
    <w:rsid w:val="00603A78"/>
    <w:rsid w:val="00607BB9"/>
    <w:rsid w:val="00621E94"/>
    <w:rsid w:val="0066696C"/>
    <w:rsid w:val="00681C25"/>
    <w:rsid w:val="00682637"/>
    <w:rsid w:val="00684E00"/>
    <w:rsid w:val="006A74BA"/>
    <w:rsid w:val="006C4AD0"/>
    <w:rsid w:val="006E21A1"/>
    <w:rsid w:val="00711404"/>
    <w:rsid w:val="00723682"/>
    <w:rsid w:val="0074539E"/>
    <w:rsid w:val="00760B25"/>
    <w:rsid w:val="0078597D"/>
    <w:rsid w:val="00795715"/>
    <w:rsid w:val="007C3392"/>
    <w:rsid w:val="007C766E"/>
    <w:rsid w:val="007F200D"/>
    <w:rsid w:val="0081017D"/>
    <w:rsid w:val="00857EAD"/>
    <w:rsid w:val="008834D1"/>
    <w:rsid w:val="00892D68"/>
    <w:rsid w:val="008A222A"/>
    <w:rsid w:val="008B65B2"/>
    <w:rsid w:val="008D49C6"/>
    <w:rsid w:val="008D7D4E"/>
    <w:rsid w:val="00906355"/>
    <w:rsid w:val="009140B9"/>
    <w:rsid w:val="00922115"/>
    <w:rsid w:val="00924D8C"/>
    <w:rsid w:val="009736EC"/>
    <w:rsid w:val="00973B06"/>
    <w:rsid w:val="009B1BB6"/>
    <w:rsid w:val="009D29D5"/>
    <w:rsid w:val="009E6CBC"/>
    <w:rsid w:val="009E7411"/>
    <w:rsid w:val="00A26274"/>
    <w:rsid w:val="00A30DFC"/>
    <w:rsid w:val="00A41551"/>
    <w:rsid w:val="00A438FA"/>
    <w:rsid w:val="00A852D3"/>
    <w:rsid w:val="00A8658E"/>
    <w:rsid w:val="00A9381F"/>
    <w:rsid w:val="00AA1F64"/>
    <w:rsid w:val="00B05E1E"/>
    <w:rsid w:val="00B24956"/>
    <w:rsid w:val="00B369A2"/>
    <w:rsid w:val="00B5317E"/>
    <w:rsid w:val="00B63A22"/>
    <w:rsid w:val="00B84F66"/>
    <w:rsid w:val="00B91EAA"/>
    <w:rsid w:val="00B92BFA"/>
    <w:rsid w:val="00B9575E"/>
    <w:rsid w:val="00BA2211"/>
    <w:rsid w:val="00BA684E"/>
    <w:rsid w:val="00BB1D45"/>
    <w:rsid w:val="00BE23BE"/>
    <w:rsid w:val="00C17748"/>
    <w:rsid w:val="00C25794"/>
    <w:rsid w:val="00C401BB"/>
    <w:rsid w:val="00C40E01"/>
    <w:rsid w:val="00C946F7"/>
    <w:rsid w:val="00C95EBB"/>
    <w:rsid w:val="00CE59B5"/>
    <w:rsid w:val="00CF0422"/>
    <w:rsid w:val="00D171FE"/>
    <w:rsid w:val="00D479BF"/>
    <w:rsid w:val="00D54909"/>
    <w:rsid w:val="00D95B9F"/>
    <w:rsid w:val="00DA7F30"/>
    <w:rsid w:val="00DE23F4"/>
    <w:rsid w:val="00E021A5"/>
    <w:rsid w:val="00E5619C"/>
    <w:rsid w:val="00E66007"/>
    <w:rsid w:val="00E81F10"/>
    <w:rsid w:val="00E853C0"/>
    <w:rsid w:val="00E85FA7"/>
    <w:rsid w:val="00EB2BAB"/>
    <w:rsid w:val="00EB3570"/>
    <w:rsid w:val="00ED7736"/>
    <w:rsid w:val="00F02050"/>
    <w:rsid w:val="00F15664"/>
    <w:rsid w:val="00F35651"/>
    <w:rsid w:val="00F43BF8"/>
    <w:rsid w:val="00FB2135"/>
    <w:rsid w:val="00FB3489"/>
    <w:rsid w:val="00FB4F6C"/>
    <w:rsid w:val="00FC1402"/>
    <w:rsid w:val="00FE740E"/>
    <w:rsid w:val="00FF581A"/>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D1DED39"/>
  <w15:docId w15:val="{71C8B39B-5557-D84A-B79D-6D99FD77CD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F0422"/>
    <w:rPr>
      <w:rFonts w:ascii="Arial" w:hAnsi="Arial"/>
    </w:rPr>
  </w:style>
  <w:style w:type="paragraph" w:styleId="Heading1">
    <w:name w:val="heading 1"/>
    <w:basedOn w:val="Normal"/>
    <w:next w:val="Normal"/>
    <w:link w:val="Heading1Char"/>
    <w:uiPriority w:val="9"/>
    <w:qFormat/>
    <w:rsid w:val="001E02F9"/>
    <w:pPr>
      <w:keepNext/>
      <w:keepLines/>
      <w:spacing w:before="480"/>
      <w:outlineLvl w:val="0"/>
    </w:pPr>
    <w:rPr>
      <w:rFonts w:eastAsiaTheme="majorEastAsia" w:cstheme="majorBidi"/>
      <w:b/>
      <w:bCs/>
    </w:rPr>
  </w:style>
  <w:style w:type="paragraph" w:styleId="Heading2">
    <w:name w:val="heading 2"/>
    <w:basedOn w:val="Heading3"/>
    <w:next w:val="Normal"/>
    <w:link w:val="Heading2Char"/>
    <w:uiPriority w:val="9"/>
    <w:unhideWhenUsed/>
    <w:qFormat/>
    <w:rsid w:val="00CF0422"/>
    <w:pPr>
      <w:outlineLvl w:val="1"/>
    </w:pPr>
    <w:rPr>
      <w:u w:val="single"/>
    </w:rPr>
  </w:style>
  <w:style w:type="paragraph" w:styleId="Heading3">
    <w:name w:val="heading 3"/>
    <w:basedOn w:val="Normal"/>
    <w:next w:val="Normal"/>
    <w:link w:val="Heading3Char"/>
    <w:uiPriority w:val="9"/>
    <w:unhideWhenUsed/>
    <w:qFormat/>
    <w:rsid w:val="00CF0422"/>
    <w:pPr>
      <w:outlineLvl w:val="2"/>
    </w:pPr>
    <w:rPr>
      <w: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401B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401BB"/>
    <w:rPr>
      <w:rFonts w:ascii="Lucida Grande" w:hAnsi="Lucida Grande" w:cs="Lucida Grande"/>
      <w:sz w:val="18"/>
      <w:szCs w:val="18"/>
    </w:rPr>
  </w:style>
  <w:style w:type="table" w:styleId="TableGrid">
    <w:name w:val="Table Grid"/>
    <w:basedOn w:val="TableNormal"/>
    <w:uiPriority w:val="39"/>
    <w:rsid w:val="003561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rsid w:val="00B63A22"/>
    <w:pPr>
      <w:jc w:val="center"/>
    </w:pPr>
    <w:rPr>
      <w:rFonts w:cs="Arial"/>
      <w:sz w:val="22"/>
    </w:rPr>
  </w:style>
  <w:style w:type="paragraph" w:customStyle="1" w:styleId="EndNoteBibliography">
    <w:name w:val="EndNote Bibliography"/>
    <w:basedOn w:val="Normal"/>
    <w:rsid w:val="00B63A22"/>
    <w:rPr>
      <w:rFonts w:cs="Arial"/>
      <w:sz w:val="22"/>
    </w:rPr>
  </w:style>
  <w:style w:type="character" w:customStyle="1" w:styleId="Heading1Char">
    <w:name w:val="Heading 1 Char"/>
    <w:basedOn w:val="DefaultParagraphFont"/>
    <w:link w:val="Heading1"/>
    <w:uiPriority w:val="9"/>
    <w:rsid w:val="001E02F9"/>
    <w:rPr>
      <w:rFonts w:ascii="Arial" w:eastAsiaTheme="majorEastAsia" w:hAnsi="Arial" w:cstheme="majorBidi"/>
      <w:b/>
      <w:bCs/>
    </w:rPr>
  </w:style>
  <w:style w:type="paragraph" w:styleId="TOCHeading">
    <w:name w:val="TOC Heading"/>
    <w:basedOn w:val="Heading1"/>
    <w:next w:val="Normal"/>
    <w:uiPriority w:val="39"/>
    <w:unhideWhenUsed/>
    <w:qFormat/>
    <w:rsid w:val="00241C2D"/>
    <w:pPr>
      <w:spacing w:line="276" w:lineRule="auto"/>
      <w:outlineLvl w:val="9"/>
    </w:pPr>
    <w:rPr>
      <w:color w:val="365F91" w:themeColor="accent1" w:themeShade="BF"/>
      <w:sz w:val="28"/>
      <w:szCs w:val="28"/>
    </w:rPr>
  </w:style>
  <w:style w:type="paragraph" w:styleId="TOC1">
    <w:name w:val="toc 1"/>
    <w:basedOn w:val="Normal"/>
    <w:next w:val="Normal"/>
    <w:autoRedefine/>
    <w:uiPriority w:val="39"/>
    <w:unhideWhenUsed/>
    <w:rsid w:val="00241C2D"/>
    <w:pPr>
      <w:spacing w:before="120"/>
    </w:pPr>
    <w:rPr>
      <w:rFonts w:asciiTheme="minorHAnsi" w:hAnsiTheme="minorHAnsi"/>
      <w:b/>
      <w:caps/>
      <w:sz w:val="22"/>
      <w:szCs w:val="22"/>
    </w:rPr>
  </w:style>
  <w:style w:type="paragraph" w:styleId="TOC2">
    <w:name w:val="toc 2"/>
    <w:basedOn w:val="Normal"/>
    <w:next w:val="Normal"/>
    <w:autoRedefine/>
    <w:uiPriority w:val="39"/>
    <w:unhideWhenUsed/>
    <w:rsid w:val="00241C2D"/>
    <w:pPr>
      <w:ind w:left="240"/>
    </w:pPr>
    <w:rPr>
      <w:rFonts w:asciiTheme="minorHAnsi" w:hAnsiTheme="minorHAnsi"/>
      <w:smallCaps/>
      <w:sz w:val="22"/>
      <w:szCs w:val="22"/>
    </w:rPr>
  </w:style>
  <w:style w:type="paragraph" w:styleId="TOC3">
    <w:name w:val="toc 3"/>
    <w:basedOn w:val="Normal"/>
    <w:next w:val="Normal"/>
    <w:autoRedefine/>
    <w:uiPriority w:val="39"/>
    <w:unhideWhenUsed/>
    <w:rsid w:val="005A54A1"/>
    <w:pPr>
      <w:ind w:left="480"/>
    </w:pPr>
    <w:rPr>
      <w:rFonts w:asciiTheme="minorHAnsi" w:hAnsiTheme="minorHAnsi"/>
      <w:i/>
      <w:sz w:val="22"/>
      <w:szCs w:val="22"/>
    </w:rPr>
  </w:style>
  <w:style w:type="paragraph" w:styleId="TOC4">
    <w:name w:val="toc 4"/>
    <w:basedOn w:val="Normal"/>
    <w:next w:val="Normal"/>
    <w:autoRedefine/>
    <w:uiPriority w:val="39"/>
    <w:semiHidden/>
    <w:unhideWhenUsed/>
    <w:rsid w:val="00241C2D"/>
    <w:pPr>
      <w:ind w:left="720"/>
    </w:pPr>
    <w:rPr>
      <w:rFonts w:asciiTheme="minorHAnsi" w:hAnsiTheme="minorHAnsi"/>
      <w:sz w:val="18"/>
      <w:szCs w:val="18"/>
    </w:rPr>
  </w:style>
  <w:style w:type="paragraph" w:styleId="TOC5">
    <w:name w:val="toc 5"/>
    <w:basedOn w:val="Normal"/>
    <w:next w:val="Normal"/>
    <w:autoRedefine/>
    <w:uiPriority w:val="39"/>
    <w:semiHidden/>
    <w:unhideWhenUsed/>
    <w:rsid w:val="00241C2D"/>
    <w:pPr>
      <w:ind w:left="960"/>
    </w:pPr>
    <w:rPr>
      <w:rFonts w:asciiTheme="minorHAnsi" w:hAnsiTheme="minorHAnsi"/>
      <w:sz w:val="18"/>
      <w:szCs w:val="18"/>
    </w:rPr>
  </w:style>
  <w:style w:type="paragraph" w:styleId="TOC6">
    <w:name w:val="toc 6"/>
    <w:basedOn w:val="Normal"/>
    <w:next w:val="Normal"/>
    <w:autoRedefine/>
    <w:uiPriority w:val="39"/>
    <w:semiHidden/>
    <w:unhideWhenUsed/>
    <w:rsid w:val="00241C2D"/>
    <w:pPr>
      <w:ind w:left="1200"/>
    </w:pPr>
    <w:rPr>
      <w:rFonts w:asciiTheme="minorHAnsi" w:hAnsiTheme="minorHAnsi"/>
      <w:sz w:val="18"/>
      <w:szCs w:val="18"/>
    </w:rPr>
  </w:style>
  <w:style w:type="paragraph" w:styleId="TOC7">
    <w:name w:val="toc 7"/>
    <w:basedOn w:val="Normal"/>
    <w:next w:val="Normal"/>
    <w:autoRedefine/>
    <w:uiPriority w:val="39"/>
    <w:semiHidden/>
    <w:unhideWhenUsed/>
    <w:rsid w:val="00241C2D"/>
    <w:pPr>
      <w:ind w:left="1440"/>
    </w:pPr>
    <w:rPr>
      <w:rFonts w:asciiTheme="minorHAnsi" w:hAnsiTheme="minorHAnsi"/>
      <w:sz w:val="18"/>
      <w:szCs w:val="18"/>
    </w:rPr>
  </w:style>
  <w:style w:type="paragraph" w:styleId="TOC8">
    <w:name w:val="toc 8"/>
    <w:basedOn w:val="Normal"/>
    <w:next w:val="Normal"/>
    <w:autoRedefine/>
    <w:uiPriority w:val="39"/>
    <w:semiHidden/>
    <w:unhideWhenUsed/>
    <w:rsid w:val="00241C2D"/>
    <w:pPr>
      <w:ind w:left="1680"/>
    </w:pPr>
    <w:rPr>
      <w:rFonts w:asciiTheme="minorHAnsi" w:hAnsiTheme="minorHAnsi"/>
      <w:sz w:val="18"/>
      <w:szCs w:val="18"/>
    </w:rPr>
  </w:style>
  <w:style w:type="paragraph" w:styleId="TOC9">
    <w:name w:val="toc 9"/>
    <w:basedOn w:val="Normal"/>
    <w:next w:val="Normal"/>
    <w:autoRedefine/>
    <w:uiPriority w:val="39"/>
    <w:semiHidden/>
    <w:unhideWhenUsed/>
    <w:rsid w:val="00241C2D"/>
    <w:pPr>
      <w:ind w:left="1920"/>
    </w:pPr>
    <w:rPr>
      <w:rFonts w:asciiTheme="minorHAnsi" w:hAnsiTheme="minorHAnsi"/>
      <w:sz w:val="18"/>
      <w:szCs w:val="18"/>
    </w:rPr>
  </w:style>
  <w:style w:type="character" w:styleId="Strong">
    <w:name w:val="Strong"/>
    <w:basedOn w:val="DefaultParagraphFont"/>
    <w:uiPriority w:val="22"/>
    <w:qFormat/>
    <w:rsid w:val="00241C2D"/>
    <w:rPr>
      <w:b/>
      <w:bCs/>
    </w:rPr>
  </w:style>
  <w:style w:type="paragraph" w:styleId="Title">
    <w:name w:val="Title"/>
    <w:basedOn w:val="Normal"/>
    <w:next w:val="Normal"/>
    <w:link w:val="TitleChar"/>
    <w:uiPriority w:val="10"/>
    <w:qFormat/>
    <w:rsid w:val="00241C2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241C2D"/>
    <w:rPr>
      <w:rFonts w:asciiTheme="majorHAnsi" w:eastAsiaTheme="majorEastAsia" w:hAnsiTheme="majorHAnsi" w:cstheme="majorBidi"/>
      <w:color w:val="17365D" w:themeColor="text2" w:themeShade="BF"/>
      <w:spacing w:val="5"/>
      <w:kern w:val="28"/>
      <w:sz w:val="52"/>
      <w:szCs w:val="52"/>
    </w:rPr>
  </w:style>
  <w:style w:type="character" w:styleId="CommentReference">
    <w:name w:val="annotation reference"/>
    <w:basedOn w:val="DefaultParagraphFont"/>
    <w:uiPriority w:val="99"/>
    <w:semiHidden/>
    <w:unhideWhenUsed/>
    <w:rsid w:val="00906355"/>
    <w:rPr>
      <w:sz w:val="18"/>
      <w:szCs w:val="18"/>
    </w:rPr>
  </w:style>
  <w:style w:type="paragraph" w:styleId="CommentText">
    <w:name w:val="annotation text"/>
    <w:basedOn w:val="Normal"/>
    <w:link w:val="CommentTextChar"/>
    <w:uiPriority w:val="99"/>
    <w:unhideWhenUsed/>
    <w:rsid w:val="00906355"/>
    <w:pPr>
      <w:spacing w:after="200"/>
    </w:pPr>
    <w:rPr>
      <w:rFonts w:eastAsia="Calibri" w:cs="Times New Roman"/>
    </w:rPr>
  </w:style>
  <w:style w:type="character" w:customStyle="1" w:styleId="CommentTextChar">
    <w:name w:val="Comment Text Char"/>
    <w:basedOn w:val="DefaultParagraphFont"/>
    <w:link w:val="CommentText"/>
    <w:uiPriority w:val="99"/>
    <w:rsid w:val="00906355"/>
    <w:rPr>
      <w:rFonts w:ascii="Arial" w:eastAsia="Calibri" w:hAnsi="Arial" w:cs="Times New Roman"/>
    </w:rPr>
  </w:style>
  <w:style w:type="character" w:customStyle="1" w:styleId="Heading2Char">
    <w:name w:val="Heading 2 Char"/>
    <w:basedOn w:val="DefaultParagraphFont"/>
    <w:link w:val="Heading2"/>
    <w:uiPriority w:val="9"/>
    <w:rsid w:val="00CF0422"/>
    <w:rPr>
      <w:rFonts w:ascii="Arial" w:eastAsiaTheme="majorEastAsia" w:hAnsi="Arial" w:cstheme="majorBidi"/>
      <w:b/>
      <w:bCs/>
      <w:u w:val="single"/>
    </w:rPr>
  </w:style>
  <w:style w:type="character" w:styleId="Hyperlink">
    <w:name w:val="Hyperlink"/>
    <w:basedOn w:val="DefaultParagraphFont"/>
    <w:unhideWhenUsed/>
    <w:rsid w:val="0034269C"/>
    <w:rPr>
      <w:color w:val="0000FF" w:themeColor="hyperlink"/>
      <w:u w:val="single"/>
    </w:rPr>
  </w:style>
  <w:style w:type="character" w:customStyle="1" w:styleId="Heading3Char">
    <w:name w:val="Heading 3 Char"/>
    <w:basedOn w:val="DefaultParagraphFont"/>
    <w:link w:val="Heading3"/>
    <w:uiPriority w:val="9"/>
    <w:rsid w:val="00CF0422"/>
    <w:rPr>
      <w:rFonts w:ascii="Arial" w:hAnsi="Arial"/>
      <w:b/>
    </w:rPr>
  </w:style>
  <w:style w:type="paragraph" w:customStyle="1" w:styleId="TableNote">
    <w:name w:val="TableNote"/>
    <w:basedOn w:val="Normal"/>
    <w:rsid w:val="005A54A1"/>
    <w:pPr>
      <w:spacing w:line="300" w:lineRule="exact"/>
    </w:pPr>
    <w:rPr>
      <w:rFonts w:ascii="Times New Roman" w:eastAsia="Times New Roman" w:hAnsi="Times New Roman" w:cs="Times New Roman"/>
      <w:szCs w:val="20"/>
      <w:lang w:val="en-GB"/>
    </w:rPr>
  </w:style>
  <w:style w:type="paragraph" w:customStyle="1" w:styleId="TableHeader">
    <w:name w:val="TableHeader"/>
    <w:basedOn w:val="Normal"/>
    <w:rsid w:val="005A54A1"/>
    <w:pPr>
      <w:spacing w:before="120"/>
    </w:pPr>
    <w:rPr>
      <w:rFonts w:ascii="Times New Roman" w:eastAsia="Times New Roman" w:hAnsi="Times New Roman" w:cs="Times New Roman"/>
      <w:b/>
      <w:szCs w:val="20"/>
      <w:lang w:val="en-GB"/>
    </w:rPr>
  </w:style>
  <w:style w:type="paragraph" w:customStyle="1" w:styleId="TableSubHead">
    <w:name w:val="TableSubHead"/>
    <w:basedOn w:val="TableHeader"/>
    <w:rsid w:val="005A54A1"/>
  </w:style>
  <w:style w:type="paragraph" w:styleId="ListParagraph">
    <w:name w:val="List Paragraph"/>
    <w:basedOn w:val="Normal"/>
    <w:uiPriority w:val="34"/>
    <w:qFormat/>
    <w:rsid w:val="006E21A1"/>
    <w:pPr>
      <w:ind w:left="720"/>
      <w:contextualSpacing/>
    </w:pPr>
  </w:style>
  <w:style w:type="paragraph" w:styleId="Footer">
    <w:name w:val="footer"/>
    <w:basedOn w:val="Normal"/>
    <w:link w:val="FooterChar"/>
    <w:uiPriority w:val="99"/>
    <w:unhideWhenUsed/>
    <w:rsid w:val="0059141A"/>
    <w:pPr>
      <w:tabs>
        <w:tab w:val="center" w:pos="4320"/>
        <w:tab w:val="right" w:pos="8640"/>
      </w:tabs>
    </w:pPr>
  </w:style>
  <w:style w:type="character" w:customStyle="1" w:styleId="FooterChar">
    <w:name w:val="Footer Char"/>
    <w:basedOn w:val="DefaultParagraphFont"/>
    <w:link w:val="Footer"/>
    <w:uiPriority w:val="99"/>
    <w:rsid w:val="0059141A"/>
    <w:rPr>
      <w:rFonts w:ascii="Arial" w:hAnsi="Arial"/>
    </w:rPr>
  </w:style>
  <w:style w:type="character" w:styleId="PageNumber">
    <w:name w:val="page number"/>
    <w:basedOn w:val="DefaultParagraphFont"/>
    <w:uiPriority w:val="99"/>
    <w:semiHidden/>
    <w:unhideWhenUsed/>
    <w:rsid w:val="0059141A"/>
  </w:style>
  <w:style w:type="character" w:styleId="UnresolvedMention">
    <w:name w:val="Unresolved Mention"/>
    <w:basedOn w:val="DefaultParagraphFont"/>
    <w:uiPriority w:val="99"/>
    <w:semiHidden/>
    <w:unhideWhenUsed/>
    <w:rsid w:val="00F0205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9735">
      <w:bodyDiv w:val="1"/>
      <w:marLeft w:val="0"/>
      <w:marRight w:val="0"/>
      <w:marTop w:val="0"/>
      <w:marBottom w:val="0"/>
      <w:divBdr>
        <w:top w:val="none" w:sz="0" w:space="0" w:color="auto"/>
        <w:left w:val="none" w:sz="0" w:space="0" w:color="auto"/>
        <w:bottom w:val="none" w:sz="0" w:space="0" w:color="auto"/>
        <w:right w:val="none" w:sz="0" w:space="0" w:color="auto"/>
      </w:divBdr>
      <w:divsChild>
        <w:div w:id="1224755382">
          <w:marLeft w:val="0"/>
          <w:marRight w:val="0"/>
          <w:marTop w:val="0"/>
          <w:marBottom w:val="0"/>
          <w:divBdr>
            <w:top w:val="none" w:sz="0" w:space="0" w:color="auto"/>
            <w:left w:val="none" w:sz="0" w:space="0" w:color="auto"/>
            <w:bottom w:val="none" w:sz="0" w:space="0" w:color="auto"/>
            <w:right w:val="none" w:sz="0" w:space="0" w:color="auto"/>
          </w:divBdr>
          <w:divsChild>
            <w:div w:id="26108033">
              <w:marLeft w:val="0"/>
              <w:marRight w:val="0"/>
              <w:marTop w:val="0"/>
              <w:marBottom w:val="0"/>
              <w:divBdr>
                <w:top w:val="none" w:sz="0" w:space="0" w:color="auto"/>
                <w:left w:val="none" w:sz="0" w:space="0" w:color="auto"/>
                <w:bottom w:val="none" w:sz="0" w:space="0" w:color="auto"/>
                <w:right w:val="none" w:sz="0" w:space="0" w:color="auto"/>
              </w:divBdr>
            </w:div>
            <w:div w:id="52822306">
              <w:marLeft w:val="0"/>
              <w:marRight w:val="0"/>
              <w:marTop w:val="0"/>
              <w:marBottom w:val="0"/>
              <w:divBdr>
                <w:top w:val="none" w:sz="0" w:space="0" w:color="auto"/>
                <w:left w:val="none" w:sz="0" w:space="0" w:color="auto"/>
                <w:bottom w:val="none" w:sz="0" w:space="0" w:color="auto"/>
                <w:right w:val="none" w:sz="0" w:space="0" w:color="auto"/>
              </w:divBdr>
            </w:div>
            <w:div w:id="76102109">
              <w:marLeft w:val="0"/>
              <w:marRight w:val="0"/>
              <w:marTop w:val="0"/>
              <w:marBottom w:val="0"/>
              <w:divBdr>
                <w:top w:val="none" w:sz="0" w:space="0" w:color="auto"/>
                <w:left w:val="none" w:sz="0" w:space="0" w:color="auto"/>
                <w:bottom w:val="none" w:sz="0" w:space="0" w:color="auto"/>
                <w:right w:val="none" w:sz="0" w:space="0" w:color="auto"/>
              </w:divBdr>
            </w:div>
            <w:div w:id="101997804">
              <w:marLeft w:val="0"/>
              <w:marRight w:val="0"/>
              <w:marTop w:val="0"/>
              <w:marBottom w:val="0"/>
              <w:divBdr>
                <w:top w:val="none" w:sz="0" w:space="0" w:color="auto"/>
                <w:left w:val="none" w:sz="0" w:space="0" w:color="auto"/>
                <w:bottom w:val="none" w:sz="0" w:space="0" w:color="auto"/>
                <w:right w:val="none" w:sz="0" w:space="0" w:color="auto"/>
              </w:divBdr>
            </w:div>
            <w:div w:id="112135558">
              <w:marLeft w:val="0"/>
              <w:marRight w:val="0"/>
              <w:marTop w:val="0"/>
              <w:marBottom w:val="0"/>
              <w:divBdr>
                <w:top w:val="none" w:sz="0" w:space="0" w:color="auto"/>
                <w:left w:val="none" w:sz="0" w:space="0" w:color="auto"/>
                <w:bottom w:val="none" w:sz="0" w:space="0" w:color="auto"/>
                <w:right w:val="none" w:sz="0" w:space="0" w:color="auto"/>
              </w:divBdr>
            </w:div>
            <w:div w:id="116681115">
              <w:marLeft w:val="0"/>
              <w:marRight w:val="0"/>
              <w:marTop w:val="0"/>
              <w:marBottom w:val="0"/>
              <w:divBdr>
                <w:top w:val="none" w:sz="0" w:space="0" w:color="auto"/>
                <w:left w:val="none" w:sz="0" w:space="0" w:color="auto"/>
                <w:bottom w:val="none" w:sz="0" w:space="0" w:color="auto"/>
                <w:right w:val="none" w:sz="0" w:space="0" w:color="auto"/>
              </w:divBdr>
            </w:div>
            <w:div w:id="143476684">
              <w:marLeft w:val="0"/>
              <w:marRight w:val="0"/>
              <w:marTop w:val="0"/>
              <w:marBottom w:val="0"/>
              <w:divBdr>
                <w:top w:val="none" w:sz="0" w:space="0" w:color="auto"/>
                <w:left w:val="none" w:sz="0" w:space="0" w:color="auto"/>
                <w:bottom w:val="none" w:sz="0" w:space="0" w:color="auto"/>
                <w:right w:val="none" w:sz="0" w:space="0" w:color="auto"/>
              </w:divBdr>
            </w:div>
            <w:div w:id="186793425">
              <w:marLeft w:val="0"/>
              <w:marRight w:val="0"/>
              <w:marTop w:val="0"/>
              <w:marBottom w:val="0"/>
              <w:divBdr>
                <w:top w:val="none" w:sz="0" w:space="0" w:color="auto"/>
                <w:left w:val="none" w:sz="0" w:space="0" w:color="auto"/>
                <w:bottom w:val="none" w:sz="0" w:space="0" w:color="auto"/>
                <w:right w:val="none" w:sz="0" w:space="0" w:color="auto"/>
              </w:divBdr>
            </w:div>
            <w:div w:id="283582844">
              <w:marLeft w:val="0"/>
              <w:marRight w:val="0"/>
              <w:marTop w:val="0"/>
              <w:marBottom w:val="0"/>
              <w:divBdr>
                <w:top w:val="none" w:sz="0" w:space="0" w:color="auto"/>
                <w:left w:val="none" w:sz="0" w:space="0" w:color="auto"/>
                <w:bottom w:val="none" w:sz="0" w:space="0" w:color="auto"/>
                <w:right w:val="none" w:sz="0" w:space="0" w:color="auto"/>
              </w:divBdr>
            </w:div>
            <w:div w:id="297954194">
              <w:marLeft w:val="0"/>
              <w:marRight w:val="0"/>
              <w:marTop w:val="0"/>
              <w:marBottom w:val="0"/>
              <w:divBdr>
                <w:top w:val="none" w:sz="0" w:space="0" w:color="auto"/>
                <w:left w:val="none" w:sz="0" w:space="0" w:color="auto"/>
                <w:bottom w:val="none" w:sz="0" w:space="0" w:color="auto"/>
                <w:right w:val="none" w:sz="0" w:space="0" w:color="auto"/>
              </w:divBdr>
            </w:div>
            <w:div w:id="326834824">
              <w:marLeft w:val="0"/>
              <w:marRight w:val="0"/>
              <w:marTop w:val="0"/>
              <w:marBottom w:val="0"/>
              <w:divBdr>
                <w:top w:val="none" w:sz="0" w:space="0" w:color="auto"/>
                <w:left w:val="none" w:sz="0" w:space="0" w:color="auto"/>
                <w:bottom w:val="none" w:sz="0" w:space="0" w:color="auto"/>
                <w:right w:val="none" w:sz="0" w:space="0" w:color="auto"/>
              </w:divBdr>
            </w:div>
            <w:div w:id="366298214">
              <w:marLeft w:val="0"/>
              <w:marRight w:val="0"/>
              <w:marTop w:val="0"/>
              <w:marBottom w:val="0"/>
              <w:divBdr>
                <w:top w:val="none" w:sz="0" w:space="0" w:color="auto"/>
                <w:left w:val="none" w:sz="0" w:space="0" w:color="auto"/>
                <w:bottom w:val="none" w:sz="0" w:space="0" w:color="auto"/>
                <w:right w:val="none" w:sz="0" w:space="0" w:color="auto"/>
              </w:divBdr>
            </w:div>
            <w:div w:id="385645003">
              <w:marLeft w:val="0"/>
              <w:marRight w:val="0"/>
              <w:marTop w:val="0"/>
              <w:marBottom w:val="0"/>
              <w:divBdr>
                <w:top w:val="none" w:sz="0" w:space="0" w:color="auto"/>
                <w:left w:val="none" w:sz="0" w:space="0" w:color="auto"/>
                <w:bottom w:val="none" w:sz="0" w:space="0" w:color="auto"/>
                <w:right w:val="none" w:sz="0" w:space="0" w:color="auto"/>
              </w:divBdr>
            </w:div>
            <w:div w:id="413164188">
              <w:marLeft w:val="0"/>
              <w:marRight w:val="0"/>
              <w:marTop w:val="0"/>
              <w:marBottom w:val="0"/>
              <w:divBdr>
                <w:top w:val="none" w:sz="0" w:space="0" w:color="auto"/>
                <w:left w:val="none" w:sz="0" w:space="0" w:color="auto"/>
                <w:bottom w:val="none" w:sz="0" w:space="0" w:color="auto"/>
                <w:right w:val="none" w:sz="0" w:space="0" w:color="auto"/>
              </w:divBdr>
            </w:div>
            <w:div w:id="486440077">
              <w:marLeft w:val="0"/>
              <w:marRight w:val="0"/>
              <w:marTop w:val="0"/>
              <w:marBottom w:val="0"/>
              <w:divBdr>
                <w:top w:val="none" w:sz="0" w:space="0" w:color="auto"/>
                <w:left w:val="none" w:sz="0" w:space="0" w:color="auto"/>
                <w:bottom w:val="none" w:sz="0" w:space="0" w:color="auto"/>
                <w:right w:val="none" w:sz="0" w:space="0" w:color="auto"/>
              </w:divBdr>
            </w:div>
            <w:div w:id="533542904">
              <w:marLeft w:val="0"/>
              <w:marRight w:val="0"/>
              <w:marTop w:val="0"/>
              <w:marBottom w:val="0"/>
              <w:divBdr>
                <w:top w:val="none" w:sz="0" w:space="0" w:color="auto"/>
                <w:left w:val="none" w:sz="0" w:space="0" w:color="auto"/>
                <w:bottom w:val="none" w:sz="0" w:space="0" w:color="auto"/>
                <w:right w:val="none" w:sz="0" w:space="0" w:color="auto"/>
              </w:divBdr>
            </w:div>
            <w:div w:id="563681058">
              <w:marLeft w:val="0"/>
              <w:marRight w:val="0"/>
              <w:marTop w:val="0"/>
              <w:marBottom w:val="0"/>
              <w:divBdr>
                <w:top w:val="none" w:sz="0" w:space="0" w:color="auto"/>
                <w:left w:val="none" w:sz="0" w:space="0" w:color="auto"/>
                <w:bottom w:val="none" w:sz="0" w:space="0" w:color="auto"/>
                <w:right w:val="none" w:sz="0" w:space="0" w:color="auto"/>
              </w:divBdr>
            </w:div>
            <w:div w:id="573440251">
              <w:marLeft w:val="0"/>
              <w:marRight w:val="0"/>
              <w:marTop w:val="0"/>
              <w:marBottom w:val="0"/>
              <w:divBdr>
                <w:top w:val="none" w:sz="0" w:space="0" w:color="auto"/>
                <w:left w:val="none" w:sz="0" w:space="0" w:color="auto"/>
                <w:bottom w:val="none" w:sz="0" w:space="0" w:color="auto"/>
                <w:right w:val="none" w:sz="0" w:space="0" w:color="auto"/>
              </w:divBdr>
            </w:div>
            <w:div w:id="603419853">
              <w:marLeft w:val="0"/>
              <w:marRight w:val="0"/>
              <w:marTop w:val="0"/>
              <w:marBottom w:val="0"/>
              <w:divBdr>
                <w:top w:val="none" w:sz="0" w:space="0" w:color="auto"/>
                <w:left w:val="none" w:sz="0" w:space="0" w:color="auto"/>
                <w:bottom w:val="none" w:sz="0" w:space="0" w:color="auto"/>
                <w:right w:val="none" w:sz="0" w:space="0" w:color="auto"/>
              </w:divBdr>
            </w:div>
            <w:div w:id="733744244">
              <w:marLeft w:val="0"/>
              <w:marRight w:val="0"/>
              <w:marTop w:val="0"/>
              <w:marBottom w:val="0"/>
              <w:divBdr>
                <w:top w:val="none" w:sz="0" w:space="0" w:color="auto"/>
                <w:left w:val="none" w:sz="0" w:space="0" w:color="auto"/>
                <w:bottom w:val="none" w:sz="0" w:space="0" w:color="auto"/>
                <w:right w:val="none" w:sz="0" w:space="0" w:color="auto"/>
              </w:divBdr>
            </w:div>
            <w:div w:id="828442119">
              <w:marLeft w:val="0"/>
              <w:marRight w:val="0"/>
              <w:marTop w:val="0"/>
              <w:marBottom w:val="0"/>
              <w:divBdr>
                <w:top w:val="none" w:sz="0" w:space="0" w:color="auto"/>
                <w:left w:val="none" w:sz="0" w:space="0" w:color="auto"/>
                <w:bottom w:val="none" w:sz="0" w:space="0" w:color="auto"/>
                <w:right w:val="none" w:sz="0" w:space="0" w:color="auto"/>
              </w:divBdr>
            </w:div>
            <w:div w:id="850530143">
              <w:marLeft w:val="0"/>
              <w:marRight w:val="0"/>
              <w:marTop w:val="0"/>
              <w:marBottom w:val="0"/>
              <w:divBdr>
                <w:top w:val="none" w:sz="0" w:space="0" w:color="auto"/>
                <w:left w:val="none" w:sz="0" w:space="0" w:color="auto"/>
                <w:bottom w:val="none" w:sz="0" w:space="0" w:color="auto"/>
                <w:right w:val="none" w:sz="0" w:space="0" w:color="auto"/>
              </w:divBdr>
            </w:div>
            <w:div w:id="861356120">
              <w:marLeft w:val="0"/>
              <w:marRight w:val="0"/>
              <w:marTop w:val="0"/>
              <w:marBottom w:val="0"/>
              <w:divBdr>
                <w:top w:val="none" w:sz="0" w:space="0" w:color="auto"/>
                <w:left w:val="none" w:sz="0" w:space="0" w:color="auto"/>
                <w:bottom w:val="none" w:sz="0" w:space="0" w:color="auto"/>
                <w:right w:val="none" w:sz="0" w:space="0" w:color="auto"/>
              </w:divBdr>
            </w:div>
            <w:div w:id="918758839">
              <w:marLeft w:val="0"/>
              <w:marRight w:val="0"/>
              <w:marTop w:val="0"/>
              <w:marBottom w:val="0"/>
              <w:divBdr>
                <w:top w:val="none" w:sz="0" w:space="0" w:color="auto"/>
                <w:left w:val="none" w:sz="0" w:space="0" w:color="auto"/>
                <w:bottom w:val="none" w:sz="0" w:space="0" w:color="auto"/>
                <w:right w:val="none" w:sz="0" w:space="0" w:color="auto"/>
              </w:divBdr>
            </w:div>
            <w:div w:id="976253715">
              <w:marLeft w:val="0"/>
              <w:marRight w:val="0"/>
              <w:marTop w:val="0"/>
              <w:marBottom w:val="0"/>
              <w:divBdr>
                <w:top w:val="none" w:sz="0" w:space="0" w:color="auto"/>
                <w:left w:val="none" w:sz="0" w:space="0" w:color="auto"/>
                <w:bottom w:val="none" w:sz="0" w:space="0" w:color="auto"/>
                <w:right w:val="none" w:sz="0" w:space="0" w:color="auto"/>
              </w:divBdr>
            </w:div>
            <w:div w:id="1246912779">
              <w:marLeft w:val="0"/>
              <w:marRight w:val="0"/>
              <w:marTop w:val="0"/>
              <w:marBottom w:val="0"/>
              <w:divBdr>
                <w:top w:val="none" w:sz="0" w:space="0" w:color="auto"/>
                <w:left w:val="none" w:sz="0" w:space="0" w:color="auto"/>
                <w:bottom w:val="none" w:sz="0" w:space="0" w:color="auto"/>
                <w:right w:val="none" w:sz="0" w:space="0" w:color="auto"/>
              </w:divBdr>
            </w:div>
            <w:div w:id="1367296456">
              <w:marLeft w:val="0"/>
              <w:marRight w:val="0"/>
              <w:marTop w:val="0"/>
              <w:marBottom w:val="0"/>
              <w:divBdr>
                <w:top w:val="none" w:sz="0" w:space="0" w:color="auto"/>
                <w:left w:val="none" w:sz="0" w:space="0" w:color="auto"/>
                <w:bottom w:val="none" w:sz="0" w:space="0" w:color="auto"/>
                <w:right w:val="none" w:sz="0" w:space="0" w:color="auto"/>
              </w:divBdr>
            </w:div>
            <w:div w:id="1385986184">
              <w:marLeft w:val="0"/>
              <w:marRight w:val="0"/>
              <w:marTop w:val="0"/>
              <w:marBottom w:val="0"/>
              <w:divBdr>
                <w:top w:val="none" w:sz="0" w:space="0" w:color="auto"/>
                <w:left w:val="none" w:sz="0" w:space="0" w:color="auto"/>
                <w:bottom w:val="none" w:sz="0" w:space="0" w:color="auto"/>
                <w:right w:val="none" w:sz="0" w:space="0" w:color="auto"/>
              </w:divBdr>
            </w:div>
            <w:div w:id="1392270095">
              <w:marLeft w:val="0"/>
              <w:marRight w:val="0"/>
              <w:marTop w:val="0"/>
              <w:marBottom w:val="0"/>
              <w:divBdr>
                <w:top w:val="none" w:sz="0" w:space="0" w:color="auto"/>
                <w:left w:val="none" w:sz="0" w:space="0" w:color="auto"/>
                <w:bottom w:val="none" w:sz="0" w:space="0" w:color="auto"/>
                <w:right w:val="none" w:sz="0" w:space="0" w:color="auto"/>
              </w:divBdr>
            </w:div>
            <w:div w:id="1438909826">
              <w:marLeft w:val="0"/>
              <w:marRight w:val="0"/>
              <w:marTop w:val="0"/>
              <w:marBottom w:val="0"/>
              <w:divBdr>
                <w:top w:val="none" w:sz="0" w:space="0" w:color="auto"/>
                <w:left w:val="none" w:sz="0" w:space="0" w:color="auto"/>
                <w:bottom w:val="none" w:sz="0" w:space="0" w:color="auto"/>
                <w:right w:val="none" w:sz="0" w:space="0" w:color="auto"/>
              </w:divBdr>
            </w:div>
            <w:div w:id="1458261924">
              <w:marLeft w:val="0"/>
              <w:marRight w:val="0"/>
              <w:marTop w:val="0"/>
              <w:marBottom w:val="0"/>
              <w:divBdr>
                <w:top w:val="none" w:sz="0" w:space="0" w:color="auto"/>
                <w:left w:val="none" w:sz="0" w:space="0" w:color="auto"/>
                <w:bottom w:val="none" w:sz="0" w:space="0" w:color="auto"/>
                <w:right w:val="none" w:sz="0" w:space="0" w:color="auto"/>
              </w:divBdr>
            </w:div>
            <w:div w:id="1462530048">
              <w:marLeft w:val="0"/>
              <w:marRight w:val="0"/>
              <w:marTop w:val="0"/>
              <w:marBottom w:val="0"/>
              <w:divBdr>
                <w:top w:val="none" w:sz="0" w:space="0" w:color="auto"/>
                <w:left w:val="none" w:sz="0" w:space="0" w:color="auto"/>
                <w:bottom w:val="none" w:sz="0" w:space="0" w:color="auto"/>
                <w:right w:val="none" w:sz="0" w:space="0" w:color="auto"/>
              </w:divBdr>
            </w:div>
            <w:div w:id="1530878940">
              <w:marLeft w:val="0"/>
              <w:marRight w:val="0"/>
              <w:marTop w:val="0"/>
              <w:marBottom w:val="0"/>
              <w:divBdr>
                <w:top w:val="none" w:sz="0" w:space="0" w:color="auto"/>
                <w:left w:val="none" w:sz="0" w:space="0" w:color="auto"/>
                <w:bottom w:val="none" w:sz="0" w:space="0" w:color="auto"/>
                <w:right w:val="none" w:sz="0" w:space="0" w:color="auto"/>
              </w:divBdr>
            </w:div>
            <w:div w:id="1564868881">
              <w:marLeft w:val="0"/>
              <w:marRight w:val="0"/>
              <w:marTop w:val="0"/>
              <w:marBottom w:val="0"/>
              <w:divBdr>
                <w:top w:val="none" w:sz="0" w:space="0" w:color="auto"/>
                <w:left w:val="none" w:sz="0" w:space="0" w:color="auto"/>
                <w:bottom w:val="none" w:sz="0" w:space="0" w:color="auto"/>
                <w:right w:val="none" w:sz="0" w:space="0" w:color="auto"/>
              </w:divBdr>
            </w:div>
            <w:div w:id="1607812511">
              <w:marLeft w:val="0"/>
              <w:marRight w:val="0"/>
              <w:marTop w:val="0"/>
              <w:marBottom w:val="0"/>
              <w:divBdr>
                <w:top w:val="none" w:sz="0" w:space="0" w:color="auto"/>
                <w:left w:val="none" w:sz="0" w:space="0" w:color="auto"/>
                <w:bottom w:val="none" w:sz="0" w:space="0" w:color="auto"/>
                <w:right w:val="none" w:sz="0" w:space="0" w:color="auto"/>
              </w:divBdr>
            </w:div>
            <w:div w:id="1704672524">
              <w:marLeft w:val="0"/>
              <w:marRight w:val="0"/>
              <w:marTop w:val="0"/>
              <w:marBottom w:val="0"/>
              <w:divBdr>
                <w:top w:val="none" w:sz="0" w:space="0" w:color="auto"/>
                <w:left w:val="none" w:sz="0" w:space="0" w:color="auto"/>
                <w:bottom w:val="none" w:sz="0" w:space="0" w:color="auto"/>
                <w:right w:val="none" w:sz="0" w:space="0" w:color="auto"/>
              </w:divBdr>
            </w:div>
            <w:div w:id="1727486333">
              <w:marLeft w:val="0"/>
              <w:marRight w:val="0"/>
              <w:marTop w:val="0"/>
              <w:marBottom w:val="0"/>
              <w:divBdr>
                <w:top w:val="none" w:sz="0" w:space="0" w:color="auto"/>
                <w:left w:val="none" w:sz="0" w:space="0" w:color="auto"/>
                <w:bottom w:val="none" w:sz="0" w:space="0" w:color="auto"/>
                <w:right w:val="none" w:sz="0" w:space="0" w:color="auto"/>
              </w:divBdr>
            </w:div>
            <w:div w:id="1754739638">
              <w:marLeft w:val="0"/>
              <w:marRight w:val="0"/>
              <w:marTop w:val="0"/>
              <w:marBottom w:val="0"/>
              <w:divBdr>
                <w:top w:val="none" w:sz="0" w:space="0" w:color="auto"/>
                <w:left w:val="none" w:sz="0" w:space="0" w:color="auto"/>
                <w:bottom w:val="none" w:sz="0" w:space="0" w:color="auto"/>
                <w:right w:val="none" w:sz="0" w:space="0" w:color="auto"/>
              </w:divBdr>
            </w:div>
            <w:div w:id="1760102631">
              <w:marLeft w:val="0"/>
              <w:marRight w:val="0"/>
              <w:marTop w:val="0"/>
              <w:marBottom w:val="0"/>
              <w:divBdr>
                <w:top w:val="none" w:sz="0" w:space="0" w:color="auto"/>
                <w:left w:val="none" w:sz="0" w:space="0" w:color="auto"/>
                <w:bottom w:val="none" w:sz="0" w:space="0" w:color="auto"/>
                <w:right w:val="none" w:sz="0" w:space="0" w:color="auto"/>
              </w:divBdr>
            </w:div>
            <w:div w:id="1879580826">
              <w:marLeft w:val="0"/>
              <w:marRight w:val="0"/>
              <w:marTop w:val="0"/>
              <w:marBottom w:val="0"/>
              <w:divBdr>
                <w:top w:val="none" w:sz="0" w:space="0" w:color="auto"/>
                <w:left w:val="none" w:sz="0" w:space="0" w:color="auto"/>
                <w:bottom w:val="none" w:sz="0" w:space="0" w:color="auto"/>
                <w:right w:val="none" w:sz="0" w:space="0" w:color="auto"/>
              </w:divBdr>
            </w:div>
            <w:div w:id="1904634673">
              <w:marLeft w:val="0"/>
              <w:marRight w:val="0"/>
              <w:marTop w:val="0"/>
              <w:marBottom w:val="0"/>
              <w:divBdr>
                <w:top w:val="none" w:sz="0" w:space="0" w:color="auto"/>
                <w:left w:val="none" w:sz="0" w:space="0" w:color="auto"/>
                <w:bottom w:val="none" w:sz="0" w:space="0" w:color="auto"/>
                <w:right w:val="none" w:sz="0" w:space="0" w:color="auto"/>
              </w:divBdr>
            </w:div>
            <w:div w:id="1939412349">
              <w:marLeft w:val="0"/>
              <w:marRight w:val="0"/>
              <w:marTop w:val="0"/>
              <w:marBottom w:val="0"/>
              <w:divBdr>
                <w:top w:val="none" w:sz="0" w:space="0" w:color="auto"/>
                <w:left w:val="none" w:sz="0" w:space="0" w:color="auto"/>
                <w:bottom w:val="none" w:sz="0" w:space="0" w:color="auto"/>
                <w:right w:val="none" w:sz="0" w:space="0" w:color="auto"/>
              </w:divBdr>
            </w:div>
            <w:div w:id="1972706304">
              <w:marLeft w:val="0"/>
              <w:marRight w:val="0"/>
              <w:marTop w:val="0"/>
              <w:marBottom w:val="0"/>
              <w:divBdr>
                <w:top w:val="none" w:sz="0" w:space="0" w:color="auto"/>
                <w:left w:val="none" w:sz="0" w:space="0" w:color="auto"/>
                <w:bottom w:val="none" w:sz="0" w:space="0" w:color="auto"/>
                <w:right w:val="none" w:sz="0" w:space="0" w:color="auto"/>
              </w:divBdr>
            </w:div>
            <w:div w:id="2030714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21325">
      <w:bodyDiv w:val="1"/>
      <w:marLeft w:val="0"/>
      <w:marRight w:val="0"/>
      <w:marTop w:val="0"/>
      <w:marBottom w:val="0"/>
      <w:divBdr>
        <w:top w:val="none" w:sz="0" w:space="0" w:color="auto"/>
        <w:left w:val="none" w:sz="0" w:space="0" w:color="auto"/>
        <w:bottom w:val="none" w:sz="0" w:space="0" w:color="auto"/>
        <w:right w:val="none" w:sz="0" w:space="0" w:color="auto"/>
      </w:divBdr>
      <w:divsChild>
        <w:div w:id="1802767073">
          <w:marLeft w:val="0"/>
          <w:marRight w:val="0"/>
          <w:marTop w:val="0"/>
          <w:marBottom w:val="0"/>
          <w:divBdr>
            <w:top w:val="none" w:sz="0" w:space="0" w:color="auto"/>
            <w:left w:val="none" w:sz="0" w:space="0" w:color="auto"/>
            <w:bottom w:val="none" w:sz="0" w:space="0" w:color="auto"/>
            <w:right w:val="none" w:sz="0" w:space="0" w:color="auto"/>
          </w:divBdr>
        </w:div>
        <w:div w:id="1929263778">
          <w:marLeft w:val="0"/>
          <w:marRight w:val="0"/>
          <w:marTop w:val="0"/>
          <w:marBottom w:val="0"/>
          <w:divBdr>
            <w:top w:val="none" w:sz="0" w:space="0" w:color="auto"/>
            <w:left w:val="none" w:sz="0" w:space="0" w:color="auto"/>
            <w:bottom w:val="none" w:sz="0" w:space="0" w:color="auto"/>
            <w:right w:val="none" w:sz="0" w:space="0" w:color="auto"/>
          </w:divBdr>
        </w:div>
      </w:divsChild>
    </w:div>
    <w:div w:id="755590259">
      <w:bodyDiv w:val="1"/>
      <w:marLeft w:val="0"/>
      <w:marRight w:val="0"/>
      <w:marTop w:val="0"/>
      <w:marBottom w:val="0"/>
      <w:divBdr>
        <w:top w:val="none" w:sz="0" w:space="0" w:color="auto"/>
        <w:left w:val="none" w:sz="0" w:space="0" w:color="auto"/>
        <w:bottom w:val="none" w:sz="0" w:space="0" w:color="auto"/>
        <w:right w:val="none" w:sz="0" w:space="0" w:color="auto"/>
      </w:divBdr>
      <w:divsChild>
        <w:div w:id="967006816">
          <w:marLeft w:val="0"/>
          <w:marRight w:val="0"/>
          <w:marTop w:val="0"/>
          <w:marBottom w:val="0"/>
          <w:divBdr>
            <w:top w:val="none" w:sz="0" w:space="0" w:color="auto"/>
            <w:left w:val="none" w:sz="0" w:space="0" w:color="auto"/>
            <w:bottom w:val="none" w:sz="0" w:space="0" w:color="auto"/>
            <w:right w:val="none" w:sz="0" w:space="0" w:color="auto"/>
          </w:divBdr>
        </w:div>
        <w:div w:id="1046293402">
          <w:marLeft w:val="0"/>
          <w:marRight w:val="0"/>
          <w:marTop w:val="0"/>
          <w:marBottom w:val="0"/>
          <w:divBdr>
            <w:top w:val="none" w:sz="0" w:space="0" w:color="auto"/>
            <w:left w:val="none" w:sz="0" w:space="0" w:color="auto"/>
            <w:bottom w:val="none" w:sz="0" w:space="0" w:color="auto"/>
            <w:right w:val="none" w:sz="0" w:space="0" w:color="auto"/>
          </w:divBdr>
        </w:div>
        <w:div w:id="1168133448">
          <w:marLeft w:val="0"/>
          <w:marRight w:val="0"/>
          <w:marTop w:val="0"/>
          <w:marBottom w:val="0"/>
          <w:divBdr>
            <w:top w:val="none" w:sz="0" w:space="0" w:color="auto"/>
            <w:left w:val="none" w:sz="0" w:space="0" w:color="auto"/>
            <w:bottom w:val="none" w:sz="0" w:space="0" w:color="auto"/>
            <w:right w:val="none" w:sz="0" w:space="0" w:color="auto"/>
          </w:divBdr>
        </w:div>
        <w:div w:id="1628462174">
          <w:marLeft w:val="0"/>
          <w:marRight w:val="0"/>
          <w:marTop w:val="0"/>
          <w:marBottom w:val="0"/>
          <w:divBdr>
            <w:top w:val="none" w:sz="0" w:space="0" w:color="auto"/>
            <w:left w:val="none" w:sz="0" w:space="0" w:color="auto"/>
            <w:bottom w:val="none" w:sz="0" w:space="0" w:color="auto"/>
            <w:right w:val="none" w:sz="0" w:space="0" w:color="auto"/>
          </w:divBdr>
        </w:div>
      </w:divsChild>
    </w:div>
    <w:div w:id="1522209535">
      <w:bodyDiv w:val="1"/>
      <w:marLeft w:val="0"/>
      <w:marRight w:val="0"/>
      <w:marTop w:val="0"/>
      <w:marBottom w:val="0"/>
      <w:divBdr>
        <w:top w:val="none" w:sz="0" w:space="0" w:color="auto"/>
        <w:left w:val="none" w:sz="0" w:space="0" w:color="auto"/>
        <w:bottom w:val="none" w:sz="0" w:space="0" w:color="auto"/>
        <w:right w:val="none" w:sz="0" w:space="0" w:color="auto"/>
      </w:divBdr>
      <w:divsChild>
        <w:div w:id="309749940">
          <w:marLeft w:val="0"/>
          <w:marRight w:val="0"/>
          <w:marTop w:val="0"/>
          <w:marBottom w:val="0"/>
          <w:divBdr>
            <w:top w:val="none" w:sz="0" w:space="0" w:color="auto"/>
            <w:left w:val="none" w:sz="0" w:space="0" w:color="auto"/>
            <w:bottom w:val="none" w:sz="0" w:space="0" w:color="auto"/>
            <w:right w:val="none" w:sz="0" w:space="0" w:color="auto"/>
          </w:divBdr>
          <w:divsChild>
            <w:div w:id="207569852">
              <w:marLeft w:val="0"/>
              <w:marRight w:val="0"/>
              <w:marTop w:val="0"/>
              <w:marBottom w:val="0"/>
              <w:divBdr>
                <w:top w:val="none" w:sz="0" w:space="0" w:color="auto"/>
                <w:left w:val="none" w:sz="0" w:space="0" w:color="auto"/>
                <w:bottom w:val="none" w:sz="0" w:space="0" w:color="auto"/>
                <w:right w:val="none" w:sz="0" w:space="0" w:color="auto"/>
              </w:divBdr>
            </w:div>
            <w:div w:id="227615327">
              <w:marLeft w:val="0"/>
              <w:marRight w:val="0"/>
              <w:marTop w:val="0"/>
              <w:marBottom w:val="0"/>
              <w:divBdr>
                <w:top w:val="none" w:sz="0" w:space="0" w:color="auto"/>
                <w:left w:val="none" w:sz="0" w:space="0" w:color="auto"/>
                <w:bottom w:val="none" w:sz="0" w:space="0" w:color="auto"/>
                <w:right w:val="none" w:sz="0" w:space="0" w:color="auto"/>
              </w:divBdr>
            </w:div>
            <w:div w:id="242186579">
              <w:marLeft w:val="0"/>
              <w:marRight w:val="0"/>
              <w:marTop w:val="0"/>
              <w:marBottom w:val="0"/>
              <w:divBdr>
                <w:top w:val="none" w:sz="0" w:space="0" w:color="auto"/>
                <w:left w:val="none" w:sz="0" w:space="0" w:color="auto"/>
                <w:bottom w:val="none" w:sz="0" w:space="0" w:color="auto"/>
                <w:right w:val="none" w:sz="0" w:space="0" w:color="auto"/>
              </w:divBdr>
            </w:div>
            <w:div w:id="300575354">
              <w:marLeft w:val="0"/>
              <w:marRight w:val="0"/>
              <w:marTop w:val="0"/>
              <w:marBottom w:val="0"/>
              <w:divBdr>
                <w:top w:val="none" w:sz="0" w:space="0" w:color="auto"/>
                <w:left w:val="none" w:sz="0" w:space="0" w:color="auto"/>
                <w:bottom w:val="none" w:sz="0" w:space="0" w:color="auto"/>
                <w:right w:val="none" w:sz="0" w:space="0" w:color="auto"/>
              </w:divBdr>
            </w:div>
            <w:div w:id="343898663">
              <w:marLeft w:val="0"/>
              <w:marRight w:val="0"/>
              <w:marTop w:val="0"/>
              <w:marBottom w:val="0"/>
              <w:divBdr>
                <w:top w:val="none" w:sz="0" w:space="0" w:color="auto"/>
                <w:left w:val="none" w:sz="0" w:space="0" w:color="auto"/>
                <w:bottom w:val="none" w:sz="0" w:space="0" w:color="auto"/>
                <w:right w:val="none" w:sz="0" w:space="0" w:color="auto"/>
              </w:divBdr>
            </w:div>
            <w:div w:id="420882831">
              <w:marLeft w:val="0"/>
              <w:marRight w:val="0"/>
              <w:marTop w:val="0"/>
              <w:marBottom w:val="0"/>
              <w:divBdr>
                <w:top w:val="none" w:sz="0" w:space="0" w:color="auto"/>
                <w:left w:val="none" w:sz="0" w:space="0" w:color="auto"/>
                <w:bottom w:val="none" w:sz="0" w:space="0" w:color="auto"/>
                <w:right w:val="none" w:sz="0" w:space="0" w:color="auto"/>
              </w:divBdr>
            </w:div>
            <w:div w:id="446240311">
              <w:marLeft w:val="0"/>
              <w:marRight w:val="0"/>
              <w:marTop w:val="0"/>
              <w:marBottom w:val="0"/>
              <w:divBdr>
                <w:top w:val="none" w:sz="0" w:space="0" w:color="auto"/>
                <w:left w:val="none" w:sz="0" w:space="0" w:color="auto"/>
                <w:bottom w:val="none" w:sz="0" w:space="0" w:color="auto"/>
                <w:right w:val="none" w:sz="0" w:space="0" w:color="auto"/>
              </w:divBdr>
            </w:div>
            <w:div w:id="451746892">
              <w:marLeft w:val="0"/>
              <w:marRight w:val="0"/>
              <w:marTop w:val="0"/>
              <w:marBottom w:val="0"/>
              <w:divBdr>
                <w:top w:val="none" w:sz="0" w:space="0" w:color="auto"/>
                <w:left w:val="none" w:sz="0" w:space="0" w:color="auto"/>
                <w:bottom w:val="none" w:sz="0" w:space="0" w:color="auto"/>
                <w:right w:val="none" w:sz="0" w:space="0" w:color="auto"/>
              </w:divBdr>
            </w:div>
            <w:div w:id="487602342">
              <w:marLeft w:val="0"/>
              <w:marRight w:val="0"/>
              <w:marTop w:val="0"/>
              <w:marBottom w:val="0"/>
              <w:divBdr>
                <w:top w:val="none" w:sz="0" w:space="0" w:color="auto"/>
                <w:left w:val="none" w:sz="0" w:space="0" w:color="auto"/>
                <w:bottom w:val="none" w:sz="0" w:space="0" w:color="auto"/>
                <w:right w:val="none" w:sz="0" w:space="0" w:color="auto"/>
              </w:divBdr>
            </w:div>
            <w:div w:id="533352155">
              <w:marLeft w:val="0"/>
              <w:marRight w:val="0"/>
              <w:marTop w:val="0"/>
              <w:marBottom w:val="0"/>
              <w:divBdr>
                <w:top w:val="none" w:sz="0" w:space="0" w:color="auto"/>
                <w:left w:val="none" w:sz="0" w:space="0" w:color="auto"/>
                <w:bottom w:val="none" w:sz="0" w:space="0" w:color="auto"/>
                <w:right w:val="none" w:sz="0" w:space="0" w:color="auto"/>
              </w:divBdr>
            </w:div>
            <w:div w:id="604195922">
              <w:marLeft w:val="0"/>
              <w:marRight w:val="0"/>
              <w:marTop w:val="0"/>
              <w:marBottom w:val="0"/>
              <w:divBdr>
                <w:top w:val="none" w:sz="0" w:space="0" w:color="auto"/>
                <w:left w:val="none" w:sz="0" w:space="0" w:color="auto"/>
                <w:bottom w:val="none" w:sz="0" w:space="0" w:color="auto"/>
                <w:right w:val="none" w:sz="0" w:space="0" w:color="auto"/>
              </w:divBdr>
            </w:div>
            <w:div w:id="698513665">
              <w:marLeft w:val="0"/>
              <w:marRight w:val="0"/>
              <w:marTop w:val="0"/>
              <w:marBottom w:val="0"/>
              <w:divBdr>
                <w:top w:val="none" w:sz="0" w:space="0" w:color="auto"/>
                <w:left w:val="none" w:sz="0" w:space="0" w:color="auto"/>
                <w:bottom w:val="none" w:sz="0" w:space="0" w:color="auto"/>
                <w:right w:val="none" w:sz="0" w:space="0" w:color="auto"/>
              </w:divBdr>
            </w:div>
            <w:div w:id="762805385">
              <w:marLeft w:val="0"/>
              <w:marRight w:val="0"/>
              <w:marTop w:val="0"/>
              <w:marBottom w:val="0"/>
              <w:divBdr>
                <w:top w:val="none" w:sz="0" w:space="0" w:color="auto"/>
                <w:left w:val="none" w:sz="0" w:space="0" w:color="auto"/>
                <w:bottom w:val="none" w:sz="0" w:space="0" w:color="auto"/>
                <w:right w:val="none" w:sz="0" w:space="0" w:color="auto"/>
              </w:divBdr>
            </w:div>
            <w:div w:id="763037071">
              <w:marLeft w:val="0"/>
              <w:marRight w:val="0"/>
              <w:marTop w:val="0"/>
              <w:marBottom w:val="0"/>
              <w:divBdr>
                <w:top w:val="none" w:sz="0" w:space="0" w:color="auto"/>
                <w:left w:val="none" w:sz="0" w:space="0" w:color="auto"/>
                <w:bottom w:val="none" w:sz="0" w:space="0" w:color="auto"/>
                <w:right w:val="none" w:sz="0" w:space="0" w:color="auto"/>
              </w:divBdr>
            </w:div>
            <w:div w:id="786235813">
              <w:marLeft w:val="0"/>
              <w:marRight w:val="0"/>
              <w:marTop w:val="0"/>
              <w:marBottom w:val="0"/>
              <w:divBdr>
                <w:top w:val="none" w:sz="0" w:space="0" w:color="auto"/>
                <w:left w:val="none" w:sz="0" w:space="0" w:color="auto"/>
                <w:bottom w:val="none" w:sz="0" w:space="0" w:color="auto"/>
                <w:right w:val="none" w:sz="0" w:space="0" w:color="auto"/>
              </w:divBdr>
            </w:div>
            <w:div w:id="829054489">
              <w:marLeft w:val="0"/>
              <w:marRight w:val="0"/>
              <w:marTop w:val="0"/>
              <w:marBottom w:val="0"/>
              <w:divBdr>
                <w:top w:val="none" w:sz="0" w:space="0" w:color="auto"/>
                <w:left w:val="none" w:sz="0" w:space="0" w:color="auto"/>
                <w:bottom w:val="none" w:sz="0" w:space="0" w:color="auto"/>
                <w:right w:val="none" w:sz="0" w:space="0" w:color="auto"/>
              </w:divBdr>
            </w:div>
            <w:div w:id="829058313">
              <w:marLeft w:val="0"/>
              <w:marRight w:val="0"/>
              <w:marTop w:val="0"/>
              <w:marBottom w:val="0"/>
              <w:divBdr>
                <w:top w:val="none" w:sz="0" w:space="0" w:color="auto"/>
                <w:left w:val="none" w:sz="0" w:space="0" w:color="auto"/>
                <w:bottom w:val="none" w:sz="0" w:space="0" w:color="auto"/>
                <w:right w:val="none" w:sz="0" w:space="0" w:color="auto"/>
              </w:divBdr>
            </w:div>
            <w:div w:id="897472050">
              <w:marLeft w:val="0"/>
              <w:marRight w:val="0"/>
              <w:marTop w:val="0"/>
              <w:marBottom w:val="0"/>
              <w:divBdr>
                <w:top w:val="none" w:sz="0" w:space="0" w:color="auto"/>
                <w:left w:val="none" w:sz="0" w:space="0" w:color="auto"/>
                <w:bottom w:val="none" w:sz="0" w:space="0" w:color="auto"/>
                <w:right w:val="none" w:sz="0" w:space="0" w:color="auto"/>
              </w:divBdr>
            </w:div>
            <w:div w:id="913047712">
              <w:marLeft w:val="0"/>
              <w:marRight w:val="0"/>
              <w:marTop w:val="0"/>
              <w:marBottom w:val="0"/>
              <w:divBdr>
                <w:top w:val="none" w:sz="0" w:space="0" w:color="auto"/>
                <w:left w:val="none" w:sz="0" w:space="0" w:color="auto"/>
                <w:bottom w:val="none" w:sz="0" w:space="0" w:color="auto"/>
                <w:right w:val="none" w:sz="0" w:space="0" w:color="auto"/>
              </w:divBdr>
            </w:div>
            <w:div w:id="1090850965">
              <w:marLeft w:val="0"/>
              <w:marRight w:val="0"/>
              <w:marTop w:val="0"/>
              <w:marBottom w:val="0"/>
              <w:divBdr>
                <w:top w:val="none" w:sz="0" w:space="0" w:color="auto"/>
                <w:left w:val="none" w:sz="0" w:space="0" w:color="auto"/>
                <w:bottom w:val="none" w:sz="0" w:space="0" w:color="auto"/>
                <w:right w:val="none" w:sz="0" w:space="0" w:color="auto"/>
              </w:divBdr>
            </w:div>
            <w:div w:id="1108239936">
              <w:marLeft w:val="0"/>
              <w:marRight w:val="0"/>
              <w:marTop w:val="0"/>
              <w:marBottom w:val="0"/>
              <w:divBdr>
                <w:top w:val="none" w:sz="0" w:space="0" w:color="auto"/>
                <w:left w:val="none" w:sz="0" w:space="0" w:color="auto"/>
                <w:bottom w:val="none" w:sz="0" w:space="0" w:color="auto"/>
                <w:right w:val="none" w:sz="0" w:space="0" w:color="auto"/>
              </w:divBdr>
            </w:div>
            <w:div w:id="1123842390">
              <w:marLeft w:val="0"/>
              <w:marRight w:val="0"/>
              <w:marTop w:val="0"/>
              <w:marBottom w:val="0"/>
              <w:divBdr>
                <w:top w:val="none" w:sz="0" w:space="0" w:color="auto"/>
                <w:left w:val="none" w:sz="0" w:space="0" w:color="auto"/>
                <w:bottom w:val="none" w:sz="0" w:space="0" w:color="auto"/>
                <w:right w:val="none" w:sz="0" w:space="0" w:color="auto"/>
              </w:divBdr>
            </w:div>
            <w:div w:id="1155995325">
              <w:marLeft w:val="0"/>
              <w:marRight w:val="0"/>
              <w:marTop w:val="0"/>
              <w:marBottom w:val="0"/>
              <w:divBdr>
                <w:top w:val="none" w:sz="0" w:space="0" w:color="auto"/>
                <w:left w:val="none" w:sz="0" w:space="0" w:color="auto"/>
                <w:bottom w:val="none" w:sz="0" w:space="0" w:color="auto"/>
                <w:right w:val="none" w:sz="0" w:space="0" w:color="auto"/>
              </w:divBdr>
            </w:div>
            <w:div w:id="1197935721">
              <w:marLeft w:val="0"/>
              <w:marRight w:val="0"/>
              <w:marTop w:val="0"/>
              <w:marBottom w:val="0"/>
              <w:divBdr>
                <w:top w:val="none" w:sz="0" w:space="0" w:color="auto"/>
                <w:left w:val="none" w:sz="0" w:space="0" w:color="auto"/>
                <w:bottom w:val="none" w:sz="0" w:space="0" w:color="auto"/>
                <w:right w:val="none" w:sz="0" w:space="0" w:color="auto"/>
              </w:divBdr>
            </w:div>
            <w:div w:id="1231501468">
              <w:marLeft w:val="0"/>
              <w:marRight w:val="0"/>
              <w:marTop w:val="0"/>
              <w:marBottom w:val="0"/>
              <w:divBdr>
                <w:top w:val="none" w:sz="0" w:space="0" w:color="auto"/>
                <w:left w:val="none" w:sz="0" w:space="0" w:color="auto"/>
                <w:bottom w:val="none" w:sz="0" w:space="0" w:color="auto"/>
                <w:right w:val="none" w:sz="0" w:space="0" w:color="auto"/>
              </w:divBdr>
            </w:div>
            <w:div w:id="1237130751">
              <w:marLeft w:val="0"/>
              <w:marRight w:val="0"/>
              <w:marTop w:val="0"/>
              <w:marBottom w:val="0"/>
              <w:divBdr>
                <w:top w:val="none" w:sz="0" w:space="0" w:color="auto"/>
                <w:left w:val="none" w:sz="0" w:space="0" w:color="auto"/>
                <w:bottom w:val="none" w:sz="0" w:space="0" w:color="auto"/>
                <w:right w:val="none" w:sz="0" w:space="0" w:color="auto"/>
              </w:divBdr>
            </w:div>
            <w:div w:id="1266230033">
              <w:marLeft w:val="0"/>
              <w:marRight w:val="0"/>
              <w:marTop w:val="0"/>
              <w:marBottom w:val="0"/>
              <w:divBdr>
                <w:top w:val="none" w:sz="0" w:space="0" w:color="auto"/>
                <w:left w:val="none" w:sz="0" w:space="0" w:color="auto"/>
                <w:bottom w:val="none" w:sz="0" w:space="0" w:color="auto"/>
                <w:right w:val="none" w:sz="0" w:space="0" w:color="auto"/>
              </w:divBdr>
            </w:div>
            <w:div w:id="1288124029">
              <w:marLeft w:val="0"/>
              <w:marRight w:val="0"/>
              <w:marTop w:val="0"/>
              <w:marBottom w:val="0"/>
              <w:divBdr>
                <w:top w:val="none" w:sz="0" w:space="0" w:color="auto"/>
                <w:left w:val="none" w:sz="0" w:space="0" w:color="auto"/>
                <w:bottom w:val="none" w:sz="0" w:space="0" w:color="auto"/>
                <w:right w:val="none" w:sz="0" w:space="0" w:color="auto"/>
              </w:divBdr>
            </w:div>
            <w:div w:id="1305964627">
              <w:marLeft w:val="0"/>
              <w:marRight w:val="0"/>
              <w:marTop w:val="0"/>
              <w:marBottom w:val="0"/>
              <w:divBdr>
                <w:top w:val="none" w:sz="0" w:space="0" w:color="auto"/>
                <w:left w:val="none" w:sz="0" w:space="0" w:color="auto"/>
                <w:bottom w:val="none" w:sz="0" w:space="0" w:color="auto"/>
                <w:right w:val="none" w:sz="0" w:space="0" w:color="auto"/>
              </w:divBdr>
            </w:div>
            <w:div w:id="1318848453">
              <w:marLeft w:val="0"/>
              <w:marRight w:val="0"/>
              <w:marTop w:val="0"/>
              <w:marBottom w:val="0"/>
              <w:divBdr>
                <w:top w:val="none" w:sz="0" w:space="0" w:color="auto"/>
                <w:left w:val="none" w:sz="0" w:space="0" w:color="auto"/>
                <w:bottom w:val="none" w:sz="0" w:space="0" w:color="auto"/>
                <w:right w:val="none" w:sz="0" w:space="0" w:color="auto"/>
              </w:divBdr>
            </w:div>
            <w:div w:id="1344474949">
              <w:marLeft w:val="0"/>
              <w:marRight w:val="0"/>
              <w:marTop w:val="0"/>
              <w:marBottom w:val="0"/>
              <w:divBdr>
                <w:top w:val="none" w:sz="0" w:space="0" w:color="auto"/>
                <w:left w:val="none" w:sz="0" w:space="0" w:color="auto"/>
                <w:bottom w:val="none" w:sz="0" w:space="0" w:color="auto"/>
                <w:right w:val="none" w:sz="0" w:space="0" w:color="auto"/>
              </w:divBdr>
            </w:div>
            <w:div w:id="1455515296">
              <w:marLeft w:val="0"/>
              <w:marRight w:val="0"/>
              <w:marTop w:val="0"/>
              <w:marBottom w:val="0"/>
              <w:divBdr>
                <w:top w:val="none" w:sz="0" w:space="0" w:color="auto"/>
                <w:left w:val="none" w:sz="0" w:space="0" w:color="auto"/>
                <w:bottom w:val="none" w:sz="0" w:space="0" w:color="auto"/>
                <w:right w:val="none" w:sz="0" w:space="0" w:color="auto"/>
              </w:divBdr>
            </w:div>
            <w:div w:id="1475296744">
              <w:marLeft w:val="0"/>
              <w:marRight w:val="0"/>
              <w:marTop w:val="0"/>
              <w:marBottom w:val="0"/>
              <w:divBdr>
                <w:top w:val="none" w:sz="0" w:space="0" w:color="auto"/>
                <w:left w:val="none" w:sz="0" w:space="0" w:color="auto"/>
                <w:bottom w:val="none" w:sz="0" w:space="0" w:color="auto"/>
                <w:right w:val="none" w:sz="0" w:space="0" w:color="auto"/>
              </w:divBdr>
            </w:div>
            <w:div w:id="1519192469">
              <w:marLeft w:val="0"/>
              <w:marRight w:val="0"/>
              <w:marTop w:val="0"/>
              <w:marBottom w:val="0"/>
              <w:divBdr>
                <w:top w:val="none" w:sz="0" w:space="0" w:color="auto"/>
                <w:left w:val="none" w:sz="0" w:space="0" w:color="auto"/>
                <w:bottom w:val="none" w:sz="0" w:space="0" w:color="auto"/>
                <w:right w:val="none" w:sz="0" w:space="0" w:color="auto"/>
              </w:divBdr>
            </w:div>
            <w:div w:id="1559511216">
              <w:marLeft w:val="0"/>
              <w:marRight w:val="0"/>
              <w:marTop w:val="0"/>
              <w:marBottom w:val="0"/>
              <w:divBdr>
                <w:top w:val="none" w:sz="0" w:space="0" w:color="auto"/>
                <w:left w:val="none" w:sz="0" w:space="0" w:color="auto"/>
                <w:bottom w:val="none" w:sz="0" w:space="0" w:color="auto"/>
                <w:right w:val="none" w:sz="0" w:space="0" w:color="auto"/>
              </w:divBdr>
            </w:div>
            <w:div w:id="1673528878">
              <w:marLeft w:val="0"/>
              <w:marRight w:val="0"/>
              <w:marTop w:val="0"/>
              <w:marBottom w:val="0"/>
              <w:divBdr>
                <w:top w:val="none" w:sz="0" w:space="0" w:color="auto"/>
                <w:left w:val="none" w:sz="0" w:space="0" w:color="auto"/>
                <w:bottom w:val="none" w:sz="0" w:space="0" w:color="auto"/>
                <w:right w:val="none" w:sz="0" w:space="0" w:color="auto"/>
              </w:divBdr>
            </w:div>
            <w:div w:id="1683968884">
              <w:marLeft w:val="0"/>
              <w:marRight w:val="0"/>
              <w:marTop w:val="0"/>
              <w:marBottom w:val="0"/>
              <w:divBdr>
                <w:top w:val="none" w:sz="0" w:space="0" w:color="auto"/>
                <w:left w:val="none" w:sz="0" w:space="0" w:color="auto"/>
                <w:bottom w:val="none" w:sz="0" w:space="0" w:color="auto"/>
                <w:right w:val="none" w:sz="0" w:space="0" w:color="auto"/>
              </w:divBdr>
            </w:div>
            <w:div w:id="1700011296">
              <w:marLeft w:val="0"/>
              <w:marRight w:val="0"/>
              <w:marTop w:val="0"/>
              <w:marBottom w:val="0"/>
              <w:divBdr>
                <w:top w:val="none" w:sz="0" w:space="0" w:color="auto"/>
                <w:left w:val="none" w:sz="0" w:space="0" w:color="auto"/>
                <w:bottom w:val="none" w:sz="0" w:space="0" w:color="auto"/>
                <w:right w:val="none" w:sz="0" w:space="0" w:color="auto"/>
              </w:divBdr>
            </w:div>
            <w:div w:id="1718046423">
              <w:marLeft w:val="0"/>
              <w:marRight w:val="0"/>
              <w:marTop w:val="0"/>
              <w:marBottom w:val="0"/>
              <w:divBdr>
                <w:top w:val="none" w:sz="0" w:space="0" w:color="auto"/>
                <w:left w:val="none" w:sz="0" w:space="0" w:color="auto"/>
                <w:bottom w:val="none" w:sz="0" w:space="0" w:color="auto"/>
                <w:right w:val="none" w:sz="0" w:space="0" w:color="auto"/>
              </w:divBdr>
            </w:div>
            <w:div w:id="1788888911">
              <w:marLeft w:val="0"/>
              <w:marRight w:val="0"/>
              <w:marTop w:val="0"/>
              <w:marBottom w:val="0"/>
              <w:divBdr>
                <w:top w:val="none" w:sz="0" w:space="0" w:color="auto"/>
                <w:left w:val="none" w:sz="0" w:space="0" w:color="auto"/>
                <w:bottom w:val="none" w:sz="0" w:space="0" w:color="auto"/>
                <w:right w:val="none" w:sz="0" w:space="0" w:color="auto"/>
              </w:divBdr>
            </w:div>
            <w:div w:id="1946493477">
              <w:marLeft w:val="0"/>
              <w:marRight w:val="0"/>
              <w:marTop w:val="0"/>
              <w:marBottom w:val="0"/>
              <w:divBdr>
                <w:top w:val="none" w:sz="0" w:space="0" w:color="auto"/>
                <w:left w:val="none" w:sz="0" w:space="0" w:color="auto"/>
                <w:bottom w:val="none" w:sz="0" w:space="0" w:color="auto"/>
                <w:right w:val="none" w:sz="0" w:space="0" w:color="auto"/>
              </w:divBdr>
            </w:div>
            <w:div w:id="2011372696">
              <w:marLeft w:val="0"/>
              <w:marRight w:val="0"/>
              <w:marTop w:val="0"/>
              <w:marBottom w:val="0"/>
              <w:divBdr>
                <w:top w:val="none" w:sz="0" w:space="0" w:color="auto"/>
                <w:left w:val="none" w:sz="0" w:space="0" w:color="auto"/>
                <w:bottom w:val="none" w:sz="0" w:space="0" w:color="auto"/>
                <w:right w:val="none" w:sz="0" w:space="0" w:color="auto"/>
              </w:divBdr>
            </w:div>
            <w:div w:id="2038040834">
              <w:marLeft w:val="0"/>
              <w:marRight w:val="0"/>
              <w:marTop w:val="0"/>
              <w:marBottom w:val="0"/>
              <w:divBdr>
                <w:top w:val="none" w:sz="0" w:space="0" w:color="auto"/>
                <w:left w:val="none" w:sz="0" w:space="0" w:color="auto"/>
                <w:bottom w:val="none" w:sz="0" w:space="0" w:color="auto"/>
                <w:right w:val="none" w:sz="0" w:space="0" w:color="auto"/>
              </w:divBdr>
            </w:div>
            <w:div w:id="2128035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odney.dawson@uct.ac.za"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4C957B-1C46-BF49-BDA7-889085C202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Pages>
  <Words>2628</Words>
  <Characters>14983</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UCT Lung Institute</Company>
  <LinksUpToDate>false</LinksUpToDate>
  <CharactersWithSpaces>17576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Calligaro</dc:creator>
  <cp:keywords/>
  <dc:description/>
  <cp:lastModifiedBy>Greg Calligaro</cp:lastModifiedBy>
  <cp:revision>4</cp:revision>
  <cp:lastPrinted>2016-11-10T06:33:00Z</cp:lastPrinted>
  <dcterms:created xsi:type="dcterms:W3CDTF">2019-05-05T15:25:00Z</dcterms:created>
  <dcterms:modified xsi:type="dcterms:W3CDTF">2019-05-05T15:33:00Z</dcterms:modified>
</cp:coreProperties>
</file>