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724F5" w:rsidRDefault="007D61DD">
      <w:pPr>
        <w:pStyle w:val="Title"/>
        <w:spacing w:line="480" w:lineRule="auto"/>
        <w:rPr>
          <w:rFonts w:ascii="Times New Roman" w:eastAsia="Times New Roman" w:hAnsi="Times New Roman" w:cs="Times New Roman"/>
          <w:sz w:val="24"/>
          <w:szCs w:val="24"/>
        </w:rPr>
      </w:pPr>
      <w:bookmarkStart w:id="0" w:name="_kslvbd2ckxkl" w:colFirst="0" w:colLast="0"/>
      <w:bookmarkEnd w:id="0"/>
      <w:r>
        <w:rPr>
          <w:rFonts w:ascii="Times New Roman" w:eastAsia="Times New Roman" w:hAnsi="Times New Roman" w:cs="Times New Roman"/>
          <w:sz w:val="24"/>
          <w:szCs w:val="24"/>
        </w:rPr>
        <w:t xml:space="preserve">Supplementary Notes </w:t>
      </w:r>
    </w:p>
    <w:p w14:paraId="00000002" w14:textId="77777777" w:rsidR="007724F5" w:rsidRDefault="007D61D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Note 1. Identity check for the C3N-01200 tumor segments.</w:t>
      </w:r>
      <w:r>
        <w:rPr>
          <w:rFonts w:ascii="Times New Roman" w:eastAsia="Times New Roman" w:hAnsi="Times New Roman" w:cs="Times New Roman"/>
          <w:sz w:val="24"/>
          <w:szCs w:val="24"/>
        </w:rPr>
        <w:t xml:space="preserve"> We checked the overlap between the germline variants mapped by the snRNA data of C3N-01200 tumors (T1, T2, and T3) with the germline variants mapped by the bulk WES data of 24 patients in this cohort (using the T1 tumor). For C3N-01200-T2 and C3N-01200-T3</w:t>
      </w:r>
      <w:r>
        <w:rPr>
          <w:rFonts w:ascii="Times New Roman" w:eastAsia="Times New Roman" w:hAnsi="Times New Roman" w:cs="Times New Roman"/>
          <w:sz w:val="24"/>
          <w:szCs w:val="24"/>
        </w:rPr>
        <w:t>, their snRNA germline variants have the largest overlap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12,174 and 13,233 respectively) with the C3N-01200-T1 bulk-WES-derived germline variants compared to any other bulk samples. C3N-01200-T1 snRNA germline variants have 7,829 variants overlapping </w:t>
      </w:r>
      <w:r>
        <w:rPr>
          <w:rFonts w:ascii="Times New Roman" w:eastAsia="Times New Roman" w:hAnsi="Times New Roman" w:cs="Times New Roman"/>
          <w:sz w:val="24"/>
          <w:szCs w:val="24"/>
        </w:rPr>
        <w:t>with the C3N-01200-T1 bulk-WES germline variants, second to the 8,397 variants overlapping with C3L-00088-T1 bulk-WES germline variants. However, many somatic mutations exclusively detected in C3N-01200-T1 bulk WES data were mapped to the snRNA data of C3N</w:t>
      </w:r>
      <w:r>
        <w:rPr>
          <w:rFonts w:ascii="Times New Roman" w:eastAsia="Times New Roman" w:hAnsi="Times New Roman" w:cs="Times New Roman"/>
          <w:sz w:val="24"/>
          <w:szCs w:val="24"/>
        </w:rPr>
        <w:t xml:space="preserve">-01200-T1, C3N-01200-T2, and C3N-01200-T3, suggesting they were indeed from the patient C3N-01200 (Extended Data Fig. 4a-c). The snRNA data of C3N-01200-T1 was mapped with specific mutations in genes such as </w:t>
      </w:r>
      <w:r>
        <w:rPr>
          <w:rFonts w:ascii="Times New Roman" w:eastAsia="Times New Roman" w:hAnsi="Times New Roman" w:cs="Times New Roman"/>
          <w:i/>
          <w:sz w:val="24"/>
          <w:szCs w:val="24"/>
        </w:rPr>
        <w:t>WDR6</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SPG20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MBP</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ZNF256</w:t>
      </w:r>
      <w:r>
        <w:rPr>
          <w:rFonts w:ascii="Times New Roman" w:eastAsia="Times New Roman" w:hAnsi="Times New Roman" w:cs="Times New Roman"/>
          <w:sz w:val="24"/>
          <w:szCs w:val="24"/>
        </w:rPr>
        <w:t xml:space="preserve"> that were not detec</w:t>
      </w:r>
      <w:r>
        <w:rPr>
          <w:rFonts w:ascii="Times New Roman" w:eastAsia="Times New Roman" w:hAnsi="Times New Roman" w:cs="Times New Roman"/>
          <w:sz w:val="24"/>
          <w:szCs w:val="24"/>
        </w:rPr>
        <w:t xml:space="preserve">ted in any other </w:t>
      </w:r>
      <w:proofErr w:type="spellStart"/>
      <w:r>
        <w:rPr>
          <w:rFonts w:ascii="Times New Roman" w:eastAsia="Times New Roman" w:hAnsi="Times New Roman" w:cs="Times New Roman"/>
          <w:sz w:val="24"/>
          <w:szCs w:val="24"/>
        </w:rPr>
        <w:t>ccRCC</w:t>
      </w:r>
      <w:proofErr w:type="spellEnd"/>
      <w:r>
        <w:rPr>
          <w:rFonts w:ascii="Times New Roman" w:eastAsia="Times New Roman" w:hAnsi="Times New Roman" w:cs="Times New Roman"/>
          <w:sz w:val="24"/>
          <w:szCs w:val="24"/>
        </w:rPr>
        <w:t xml:space="preserve"> patient (bulk WES). C3N-01200-T2 snRNA data was mapped with </w:t>
      </w:r>
      <w:r>
        <w:rPr>
          <w:rFonts w:ascii="Times New Roman" w:eastAsia="Times New Roman" w:hAnsi="Times New Roman" w:cs="Times New Roman"/>
          <w:i/>
          <w:sz w:val="24"/>
          <w:szCs w:val="24"/>
        </w:rPr>
        <w:t>MSH</w:t>
      </w:r>
      <w:r>
        <w:rPr>
          <w:rFonts w:ascii="Times New Roman" w:eastAsia="Times New Roman" w:hAnsi="Times New Roman" w:cs="Times New Roman"/>
          <w:sz w:val="24"/>
          <w:szCs w:val="24"/>
        </w:rPr>
        <w:t xml:space="preserve"> P286H mutation. C3N-01200-T3 snRNA data was mapped with the same </w:t>
      </w:r>
      <w:r>
        <w:rPr>
          <w:rFonts w:ascii="Times New Roman" w:eastAsia="Times New Roman" w:hAnsi="Times New Roman" w:cs="Times New Roman"/>
          <w:i/>
          <w:sz w:val="24"/>
          <w:szCs w:val="24"/>
        </w:rPr>
        <w:t>MSH3</w:t>
      </w:r>
      <w:r>
        <w:rPr>
          <w:rFonts w:ascii="Times New Roman" w:eastAsia="Times New Roman" w:hAnsi="Times New Roman" w:cs="Times New Roman"/>
          <w:sz w:val="24"/>
          <w:szCs w:val="24"/>
        </w:rPr>
        <w:t xml:space="preserve"> mutation detected in C3N-01200-T2 snRNA data, and the same </w:t>
      </w:r>
      <w:r>
        <w:rPr>
          <w:rFonts w:ascii="Times New Roman" w:eastAsia="Times New Roman" w:hAnsi="Times New Roman" w:cs="Times New Roman"/>
          <w:i/>
          <w:sz w:val="24"/>
          <w:szCs w:val="24"/>
        </w:rPr>
        <w:t>SPG20</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WDR6</w:t>
      </w:r>
      <w:r>
        <w:rPr>
          <w:rFonts w:ascii="Times New Roman" w:eastAsia="Times New Roman" w:hAnsi="Times New Roman" w:cs="Times New Roman"/>
          <w:sz w:val="24"/>
          <w:szCs w:val="24"/>
        </w:rPr>
        <w:t xml:space="preserve"> mutations detected in C3N</w:t>
      </w:r>
      <w:r>
        <w:rPr>
          <w:rFonts w:ascii="Times New Roman" w:eastAsia="Times New Roman" w:hAnsi="Times New Roman" w:cs="Times New Roman"/>
          <w:sz w:val="24"/>
          <w:szCs w:val="24"/>
        </w:rPr>
        <w:t>-01200-T1 snRNA.</w:t>
      </w:r>
    </w:p>
    <w:p w14:paraId="00000003" w14:textId="77777777" w:rsidR="007724F5" w:rsidRDefault="007724F5">
      <w:pPr>
        <w:spacing w:line="480" w:lineRule="auto"/>
        <w:rPr>
          <w:rFonts w:ascii="Times New Roman" w:eastAsia="Times New Roman" w:hAnsi="Times New Roman" w:cs="Times New Roman"/>
          <w:sz w:val="24"/>
          <w:szCs w:val="24"/>
        </w:rPr>
      </w:pPr>
    </w:p>
    <w:p w14:paraId="00000004" w14:textId="3DDB0360" w:rsidR="007724F5" w:rsidRDefault="007D61D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Note 2. Chromatin accessibility across nephron epithelial cell types.</w:t>
      </w:r>
      <w:r>
        <w:rPr>
          <w:rFonts w:ascii="Times New Roman" w:eastAsia="Times New Roman" w:hAnsi="Times New Roman" w:cs="Times New Roman"/>
          <w:sz w:val="24"/>
          <w:szCs w:val="24"/>
        </w:rPr>
        <w:t xml:space="preserve"> We were interested in the chromatin accessibility difference among the normal epithelial cells from the two NAT samples. They are largely composed of the </w:t>
      </w:r>
      <w:r>
        <w:rPr>
          <w:rFonts w:ascii="Times New Roman" w:eastAsia="Times New Roman" w:hAnsi="Times New Roman" w:cs="Times New Roman"/>
          <w:sz w:val="24"/>
          <w:szCs w:val="24"/>
        </w:rPr>
        <w:t>two groups: proximal tubule</w:t>
      </w:r>
      <w:bookmarkStart w:id="1" w:name="_GoBack"/>
      <w:bookmarkEnd w:id="1"/>
      <w:r>
        <w:rPr>
          <w:rFonts w:ascii="Times New Roman" w:eastAsia="Times New Roman" w:hAnsi="Times New Roman" w:cs="Times New Roman"/>
          <w:sz w:val="24"/>
          <w:szCs w:val="24"/>
        </w:rPr>
        <w:t xml:space="preserve"> and L</w:t>
      </w:r>
      <w:r>
        <w:rPr>
          <w:rFonts w:ascii="Times New Roman" w:eastAsia="Times New Roman" w:hAnsi="Times New Roman" w:cs="Times New Roman"/>
          <w:sz w:val="24"/>
          <w:szCs w:val="24"/>
        </w:rPr>
        <w:t xml:space="preserve">oop of Henle cells (50.2 % and 35.6% of all cells from NAT respectively, Extended Data Fig. 7b). Among the rest of the cells, we observed groups of principal cells (5.9%), distal convoluted </w:t>
      </w:r>
      <w:r>
        <w:rPr>
          <w:rFonts w:ascii="Times New Roman" w:eastAsia="Times New Roman" w:hAnsi="Times New Roman" w:cs="Times New Roman"/>
          <w:sz w:val="24"/>
          <w:szCs w:val="24"/>
        </w:rPr>
        <w:lastRenderedPageBreak/>
        <w:t>tubule cells (5.0%), and intercalated c</w:t>
      </w:r>
      <w:r>
        <w:rPr>
          <w:rFonts w:ascii="Times New Roman" w:eastAsia="Times New Roman" w:hAnsi="Times New Roman" w:cs="Times New Roman"/>
          <w:sz w:val="24"/>
          <w:szCs w:val="24"/>
        </w:rPr>
        <w:t>ells (3.3%). We assessed chromatin accessibility differences among different cell types from the NAT samples and the motif enrichment of the TFs driving the differences in the transcriptional regulation among them. We saw that the Loop of Henle cells showe</w:t>
      </w:r>
      <w:r>
        <w:rPr>
          <w:rFonts w:ascii="Times New Roman" w:eastAsia="Times New Roman" w:hAnsi="Times New Roman" w:cs="Times New Roman"/>
          <w:sz w:val="24"/>
          <w:szCs w:val="24"/>
        </w:rPr>
        <w:t>d enrichment of the TF motifs from the FOS/JUN family.</w:t>
      </w:r>
    </w:p>
    <w:p w14:paraId="00000005" w14:textId="77777777" w:rsidR="007724F5" w:rsidRDefault="007724F5">
      <w:pPr>
        <w:spacing w:line="480" w:lineRule="auto"/>
        <w:rPr>
          <w:rFonts w:ascii="Times New Roman" w:eastAsia="Times New Roman" w:hAnsi="Times New Roman" w:cs="Times New Roman"/>
          <w:sz w:val="24"/>
          <w:szCs w:val="24"/>
        </w:rPr>
      </w:pPr>
    </w:p>
    <w:sectPr w:rsidR="007724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4F5"/>
    <w:rsid w:val="007724F5"/>
    <w:rsid w:val="007D6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2A77E6"/>
  <w15:docId w15:val="{839D4B02-63A6-F849-9C32-4180D73B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Wu, Yige</cp:lastModifiedBy>
  <cp:revision>2</cp:revision>
  <dcterms:created xsi:type="dcterms:W3CDTF">2021-02-04T21:21:00Z</dcterms:created>
  <dcterms:modified xsi:type="dcterms:W3CDTF">2021-02-04T21:22:00Z</dcterms:modified>
</cp:coreProperties>
</file>